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07D14" w14:textId="77777777" w:rsidR="00C4518C" w:rsidRPr="005B1CCB" w:rsidRDefault="00C4518C" w:rsidP="00560318">
      <w:pPr>
        <w:spacing w:line="360" w:lineRule="auto"/>
        <w:jc w:val="center"/>
        <w:rPr>
          <w:rFonts w:ascii="Palatino Linotype" w:hAnsi="Palatino Linotype"/>
        </w:rPr>
      </w:pPr>
      <w:r w:rsidRPr="005B1CCB">
        <w:rPr>
          <w:rFonts w:ascii="Palatino Linotype" w:hAnsi="Palatino Linotype"/>
          <w:noProof/>
          <w:lang w:eastAsia="en-GB"/>
        </w:rPr>
        <w:drawing>
          <wp:inline distT="0" distB="0" distL="0" distR="0" wp14:anchorId="157DC37F" wp14:editId="14C1AEDD">
            <wp:extent cx="2124075" cy="1691197"/>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188062" cy="1742144"/>
                    </a:xfrm>
                    <a:prstGeom prst="rect">
                      <a:avLst/>
                    </a:prstGeom>
                  </pic:spPr>
                </pic:pic>
              </a:graphicData>
            </a:graphic>
          </wp:inline>
        </w:drawing>
      </w:r>
      <w:r w:rsidRPr="005B1CCB">
        <w:rPr>
          <w:rFonts w:ascii="Palatino Linotype" w:hAnsi="Palatino Linotype"/>
          <w:noProof/>
          <w:lang w:eastAsia="en-GB"/>
        </w:rPr>
        <w:drawing>
          <wp:inline distT="0" distB="0" distL="0" distR="0" wp14:anchorId="655E11F3" wp14:editId="64E383EC">
            <wp:extent cx="2194036" cy="1690370"/>
            <wp:effectExtent l="0" t="0" r="0" b="5080"/>
            <wp:docPr id="22" name="Picture 22" descr="Image result for eps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psrc"/>
                    <pic:cNvPicPr>
                      <a:picLocks noChangeAspect="1" noChangeArrowheads="1"/>
                    </pic:cNvPicPr>
                  </pic:nvPicPr>
                  <pic:blipFill rotWithShape="1">
                    <a:blip r:embed="rId12">
                      <a:extLst>
                        <a:ext uri="{28A0092B-C50C-407E-A947-70E740481C1C}">
                          <a14:useLocalDpi xmlns:a14="http://schemas.microsoft.com/office/drawing/2010/main" val="0"/>
                        </a:ext>
                      </a:extLst>
                    </a:blip>
                    <a:srcRect l="11250" t="9000" r="13750"/>
                    <a:stretch/>
                  </pic:blipFill>
                  <pic:spPr bwMode="auto">
                    <a:xfrm>
                      <a:off x="0" y="0"/>
                      <a:ext cx="2292847" cy="1766498"/>
                    </a:xfrm>
                    <a:prstGeom prst="rect">
                      <a:avLst/>
                    </a:prstGeom>
                    <a:noFill/>
                    <a:ln>
                      <a:noFill/>
                    </a:ln>
                    <a:extLst>
                      <a:ext uri="{53640926-AAD7-44D8-BBD7-CCE9431645EC}">
                        <a14:shadowObscured xmlns:a14="http://schemas.microsoft.com/office/drawing/2010/main"/>
                      </a:ext>
                    </a:extLst>
                  </pic:spPr>
                </pic:pic>
              </a:graphicData>
            </a:graphic>
          </wp:inline>
        </w:drawing>
      </w:r>
    </w:p>
    <w:p w14:paraId="086B609B" w14:textId="77777777" w:rsidR="00977F2A" w:rsidRPr="00977F2A" w:rsidRDefault="00977F2A" w:rsidP="00977F2A">
      <w:pPr>
        <w:spacing w:line="360" w:lineRule="auto"/>
        <w:rPr>
          <w:rFonts w:ascii="Palatino Linotype" w:hAnsi="Palatino Linotype"/>
          <w:b/>
          <w:sz w:val="48"/>
          <w:szCs w:val="48"/>
        </w:rPr>
      </w:pPr>
    </w:p>
    <w:p w14:paraId="1A65C2D9" w14:textId="77777777" w:rsidR="00560318" w:rsidRPr="00977F2A" w:rsidRDefault="00E11D33" w:rsidP="00DC35A9">
      <w:pPr>
        <w:spacing w:line="360" w:lineRule="auto"/>
        <w:jc w:val="center"/>
        <w:rPr>
          <w:rFonts w:ascii="Palatino Linotype" w:hAnsi="Palatino Linotype"/>
          <w:b/>
          <w:sz w:val="48"/>
          <w:szCs w:val="48"/>
        </w:rPr>
      </w:pPr>
      <w:r w:rsidRPr="00977F2A">
        <w:rPr>
          <w:rFonts w:ascii="Palatino Linotype" w:hAnsi="Palatino Linotype"/>
          <w:b/>
          <w:sz w:val="48"/>
          <w:szCs w:val="48"/>
        </w:rPr>
        <w:t xml:space="preserve">The development of an electrochemical sensor for detecting </w:t>
      </w:r>
      <w:r w:rsidR="000D3F2A" w:rsidRPr="00977F2A">
        <w:rPr>
          <w:rFonts w:ascii="Palatino Linotype" w:hAnsi="Palatino Linotype"/>
          <w:b/>
          <w:sz w:val="48"/>
          <w:szCs w:val="48"/>
        </w:rPr>
        <w:t xml:space="preserve">and measuring </w:t>
      </w:r>
      <w:r w:rsidRPr="00977F2A">
        <w:rPr>
          <w:rFonts w:ascii="Palatino Linotype" w:hAnsi="Palatino Linotype"/>
          <w:b/>
          <w:sz w:val="48"/>
          <w:szCs w:val="48"/>
        </w:rPr>
        <w:t xml:space="preserve">circulating tumour DNA in human fluids </w:t>
      </w:r>
    </w:p>
    <w:p w14:paraId="4CF0BC93" w14:textId="77777777" w:rsidR="00E11D33" w:rsidRPr="005B1CCB" w:rsidRDefault="00E11D33" w:rsidP="0052183A">
      <w:pPr>
        <w:spacing w:line="360" w:lineRule="auto"/>
        <w:jc w:val="center"/>
        <w:rPr>
          <w:rFonts w:ascii="Palatino Linotype" w:hAnsi="Palatino Linotype"/>
          <w:b/>
          <w:sz w:val="36"/>
          <w:szCs w:val="36"/>
        </w:rPr>
      </w:pPr>
      <w:r w:rsidRPr="005B1CCB">
        <w:rPr>
          <w:rFonts w:ascii="Palatino Linotype" w:hAnsi="Palatino Linotype"/>
          <w:b/>
          <w:sz w:val="36"/>
          <w:szCs w:val="36"/>
        </w:rPr>
        <w:t>By</w:t>
      </w:r>
    </w:p>
    <w:p w14:paraId="4A7F20A7" w14:textId="77777777" w:rsidR="00E11D33" w:rsidRPr="005B1CCB" w:rsidRDefault="00E11D33" w:rsidP="0052183A">
      <w:pPr>
        <w:spacing w:line="360" w:lineRule="auto"/>
        <w:jc w:val="center"/>
        <w:rPr>
          <w:rFonts w:ascii="Palatino Linotype" w:hAnsi="Palatino Linotype"/>
          <w:b/>
          <w:sz w:val="36"/>
          <w:szCs w:val="36"/>
        </w:rPr>
      </w:pPr>
      <w:r w:rsidRPr="005B1CCB">
        <w:rPr>
          <w:rFonts w:ascii="Palatino Linotype" w:hAnsi="Palatino Linotype"/>
          <w:b/>
          <w:sz w:val="36"/>
          <w:szCs w:val="36"/>
        </w:rPr>
        <w:t>Attoye</w:t>
      </w:r>
      <w:r w:rsidR="00977F2A">
        <w:rPr>
          <w:rFonts w:ascii="Palatino Linotype" w:hAnsi="Palatino Linotype"/>
          <w:b/>
          <w:sz w:val="36"/>
          <w:szCs w:val="36"/>
        </w:rPr>
        <w:t>, B O</w:t>
      </w:r>
      <w:r w:rsidRPr="005B1CCB">
        <w:rPr>
          <w:rFonts w:ascii="Palatino Linotype" w:hAnsi="Palatino Linotype"/>
          <w:b/>
          <w:sz w:val="36"/>
          <w:szCs w:val="36"/>
        </w:rPr>
        <w:t xml:space="preserve"> (201692049)</w:t>
      </w:r>
    </w:p>
    <w:p w14:paraId="0A148AED" w14:textId="77777777" w:rsidR="00DC35A9" w:rsidRPr="005B1CCB" w:rsidRDefault="00DC35A9" w:rsidP="0052183A">
      <w:pPr>
        <w:spacing w:line="360" w:lineRule="auto"/>
        <w:jc w:val="center"/>
        <w:rPr>
          <w:rFonts w:ascii="Palatino Linotype" w:hAnsi="Palatino Linotype"/>
          <w:b/>
          <w:sz w:val="36"/>
          <w:szCs w:val="36"/>
        </w:rPr>
      </w:pPr>
    </w:p>
    <w:p w14:paraId="51225AEC" w14:textId="77777777" w:rsidR="00E65EB0" w:rsidRPr="005B1CCB" w:rsidRDefault="00DC35A9" w:rsidP="0052183A">
      <w:pPr>
        <w:spacing w:line="360" w:lineRule="auto"/>
        <w:jc w:val="center"/>
        <w:rPr>
          <w:rFonts w:ascii="Palatino Linotype" w:hAnsi="Palatino Linotype"/>
          <w:b/>
          <w:sz w:val="36"/>
          <w:szCs w:val="36"/>
        </w:rPr>
      </w:pPr>
      <w:r w:rsidRPr="005B1CCB">
        <w:rPr>
          <w:rFonts w:ascii="Palatino Linotype" w:hAnsi="Palatino Linotype"/>
          <w:b/>
          <w:sz w:val="36"/>
          <w:szCs w:val="36"/>
        </w:rPr>
        <w:t xml:space="preserve">Thesis presented for the degree of Doctor of </w:t>
      </w:r>
      <w:r w:rsidR="00F148D7">
        <w:rPr>
          <w:rFonts w:ascii="Palatino Linotype" w:hAnsi="Palatino Linotype"/>
          <w:b/>
          <w:sz w:val="36"/>
          <w:szCs w:val="36"/>
        </w:rPr>
        <w:t>Engineering (EngD)</w:t>
      </w:r>
      <w:r w:rsidRPr="005B1CCB">
        <w:rPr>
          <w:rFonts w:ascii="Palatino Linotype" w:hAnsi="Palatino Linotype"/>
          <w:b/>
          <w:sz w:val="36"/>
          <w:szCs w:val="36"/>
        </w:rPr>
        <w:t>, University of Strathclyde</w:t>
      </w:r>
      <w:r w:rsidR="002F68E9" w:rsidRPr="005B1CCB">
        <w:rPr>
          <w:rFonts w:ascii="Palatino Linotype" w:hAnsi="Palatino Linotype"/>
          <w:b/>
          <w:sz w:val="36"/>
          <w:szCs w:val="36"/>
        </w:rPr>
        <w:t>.</w:t>
      </w:r>
      <w:r w:rsidRPr="005B1CCB">
        <w:rPr>
          <w:rFonts w:ascii="Palatino Linotype" w:hAnsi="Palatino Linotype"/>
          <w:b/>
          <w:sz w:val="36"/>
          <w:szCs w:val="36"/>
        </w:rPr>
        <w:t xml:space="preserve"> 2021</w:t>
      </w:r>
    </w:p>
    <w:p w14:paraId="2E06EBBF" w14:textId="77777777" w:rsidR="006D5988" w:rsidRPr="005B1CCB" w:rsidRDefault="00E65EB0" w:rsidP="00A94994">
      <w:pPr>
        <w:spacing w:line="360" w:lineRule="auto"/>
        <w:jc w:val="center"/>
        <w:rPr>
          <w:rFonts w:ascii="Palatino Linotype" w:hAnsi="Palatino Linotype"/>
          <w:b/>
          <w:sz w:val="28"/>
          <w:szCs w:val="28"/>
        </w:rPr>
      </w:pPr>
      <w:r w:rsidRPr="005B1CCB">
        <w:rPr>
          <w:rFonts w:ascii="Palatino Linotype" w:hAnsi="Palatino Linotype"/>
          <w:b/>
          <w:sz w:val="28"/>
          <w:szCs w:val="28"/>
        </w:rPr>
        <w:t>EPSRC (grant</w:t>
      </w:r>
      <w:r w:rsidR="00DC35A9" w:rsidRPr="005B1CCB">
        <w:rPr>
          <w:rFonts w:ascii="Palatino Linotype" w:hAnsi="Palatino Linotype"/>
          <w:b/>
          <w:sz w:val="28"/>
          <w:szCs w:val="28"/>
        </w:rPr>
        <w:t xml:space="preserve"> reference number EP/L015595/1)</w:t>
      </w:r>
    </w:p>
    <w:p w14:paraId="5A8EDA53" w14:textId="77777777" w:rsidR="00AD3403" w:rsidRPr="005B1CCB" w:rsidRDefault="0054607C" w:rsidP="00045CD0">
      <w:pPr>
        <w:pStyle w:val="Heading1"/>
        <w:numPr>
          <w:ilvl w:val="0"/>
          <w:numId w:val="0"/>
        </w:numPr>
        <w:spacing w:line="360" w:lineRule="auto"/>
        <w:ind w:left="432"/>
        <w:rPr>
          <w:rFonts w:ascii="Palatino Linotype" w:hAnsi="Palatino Linotype"/>
        </w:rPr>
      </w:pPr>
      <w:bookmarkStart w:id="0" w:name="_Toc84528018"/>
      <w:r w:rsidRPr="005B1CCB">
        <w:rPr>
          <w:rFonts w:ascii="Palatino Linotype" w:hAnsi="Palatino Linotype"/>
        </w:rPr>
        <w:lastRenderedPageBreak/>
        <w:t>DECLARATION</w:t>
      </w:r>
      <w:bookmarkEnd w:id="0"/>
      <w:r w:rsidRPr="005B1CCB">
        <w:rPr>
          <w:rFonts w:ascii="Palatino Linotype" w:hAnsi="Palatino Linotype"/>
        </w:rPr>
        <w:t xml:space="preserve"> </w:t>
      </w:r>
    </w:p>
    <w:p w14:paraId="355A771F" w14:textId="77777777" w:rsidR="00AD3403" w:rsidRPr="005B1CCB" w:rsidRDefault="00AD3403" w:rsidP="0052183A">
      <w:pPr>
        <w:autoSpaceDE w:val="0"/>
        <w:autoSpaceDN w:val="0"/>
        <w:adjustRightInd w:val="0"/>
        <w:spacing w:after="0" w:line="360" w:lineRule="auto"/>
        <w:rPr>
          <w:rFonts w:ascii="Palatino Linotype" w:hAnsi="Palatino Linotype" w:cs="Times New Roman"/>
          <w:sz w:val="24"/>
          <w:szCs w:val="24"/>
        </w:rPr>
      </w:pPr>
    </w:p>
    <w:p w14:paraId="6A98B959" w14:textId="77777777" w:rsidR="00561500" w:rsidRPr="005B1CCB" w:rsidRDefault="00561500"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This thesis is the result of my original research. It has been composed by me and has not been previously submitted for examination that has led to the award of a degree.</w:t>
      </w:r>
    </w:p>
    <w:p w14:paraId="000B8A6A" w14:textId="77777777" w:rsidR="00561500" w:rsidRPr="005B1CCB" w:rsidRDefault="00561500" w:rsidP="00F148D7">
      <w:pPr>
        <w:autoSpaceDE w:val="0"/>
        <w:autoSpaceDN w:val="0"/>
        <w:adjustRightInd w:val="0"/>
        <w:spacing w:after="0" w:line="360" w:lineRule="auto"/>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F148D7">
        <w:rPr>
          <w:rFonts w:ascii="Palatino Linotype" w:hAnsi="Palatino Linotype" w:cs="Times New Roman"/>
          <w:sz w:val="24"/>
          <w:szCs w:val="24"/>
        </w:rPr>
        <w:t xml:space="preserve">                               </w:t>
      </w:r>
    </w:p>
    <w:p w14:paraId="55C9BA61" w14:textId="77777777" w:rsidR="00561500" w:rsidRPr="005B1CCB" w:rsidRDefault="00561500"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‘The copyright of this thesis belongs to the author under the terms of the United Kingdom Copyright Acts as qualified by University of Strathclyde Regulation 3.50. Due acknowledgements must always be made of the use of any material contained in, or derived from, this thesis’.</w:t>
      </w:r>
    </w:p>
    <w:p w14:paraId="37000C15" w14:textId="77777777" w:rsidR="00561500" w:rsidRPr="005B1CCB" w:rsidRDefault="00561500" w:rsidP="0052183A">
      <w:pPr>
        <w:autoSpaceDE w:val="0"/>
        <w:autoSpaceDN w:val="0"/>
        <w:adjustRightInd w:val="0"/>
        <w:spacing w:after="0" w:line="360" w:lineRule="auto"/>
        <w:jc w:val="both"/>
        <w:rPr>
          <w:rFonts w:ascii="Palatino Linotype" w:hAnsi="Palatino Linotype" w:cs="Times New Roman"/>
          <w:sz w:val="24"/>
          <w:szCs w:val="24"/>
        </w:rPr>
      </w:pPr>
    </w:p>
    <w:p w14:paraId="17DC57E0" w14:textId="77777777" w:rsidR="00561500" w:rsidRPr="005B1CCB" w:rsidRDefault="00561500" w:rsidP="00561500">
      <w:pPr>
        <w:autoSpaceDE w:val="0"/>
        <w:autoSpaceDN w:val="0"/>
        <w:adjustRightInd w:val="0"/>
        <w:spacing w:after="0" w:line="360" w:lineRule="auto"/>
        <w:rPr>
          <w:rFonts w:ascii="Palatino Linotype" w:hAnsi="Palatino Linotype" w:cs="Times New Roman"/>
          <w:sz w:val="24"/>
          <w:szCs w:val="24"/>
        </w:rPr>
      </w:pPr>
      <w:r w:rsidRPr="005B1CCB">
        <w:rPr>
          <w:rFonts w:ascii="Palatino Linotype" w:hAnsi="Palatino Linotype" w:cs="Times New Roman"/>
          <w:sz w:val="24"/>
          <w:szCs w:val="24"/>
        </w:rPr>
        <w:t>Bukola Attoye,</w:t>
      </w:r>
    </w:p>
    <w:p w14:paraId="7B23E278" w14:textId="77777777" w:rsidR="00561500" w:rsidRPr="005B1CCB" w:rsidRDefault="00561500" w:rsidP="00561500">
      <w:pPr>
        <w:autoSpaceDE w:val="0"/>
        <w:autoSpaceDN w:val="0"/>
        <w:adjustRightInd w:val="0"/>
        <w:spacing w:after="0" w:line="360" w:lineRule="auto"/>
        <w:rPr>
          <w:rFonts w:ascii="Palatino Linotype" w:hAnsi="Palatino Linotype" w:cs="Times New Roman"/>
          <w:sz w:val="24"/>
          <w:szCs w:val="24"/>
        </w:rPr>
      </w:pPr>
      <w:r w:rsidRPr="005B1CCB">
        <w:rPr>
          <w:rFonts w:ascii="Palatino Linotype" w:hAnsi="Palatino Linotype" w:cs="Times New Roman"/>
          <w:sz w:val="24"/>
          <w:szCs w:val="24"/>
        </w:rPr>
        <w:t>University of Strathclyde</w:t>
      </w:r>
    </w:p>
    <w:p w14:paraId="2AB41B58" w14:textId="77777777" w:rsidR="00561500" w:rsidRPr="005B1CCB" w:rsidRDefault="00561500"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30. 06. 2021</w:t>
      </w:r>
    </w:p>
    <w:p w14:paraId="5A89BB49" w14:textId="77777777" w:rsidR="00561500" w:rsidRPr="005B1CCB" w:rsidRDefault="00561500" w:rsidP="0052183A">
      <w:pPr>
        <w:autoSpaceDE w:val="0"/>
        <w:autoSpaceDN w:val="0"/>
        <w:adjustRightInd w:val="0"/>
        <w:spacing w:after="0" w:line="360" w:lineRule="auto"/>
        <w:jc w:val="both"/>
        <w:rPr>
          <w:rFonts w:ascii="Palatino Linotype" w:hAnsi="Palatino Linotype" w:cs="Times New Roman"/>
          <w:sz w:val="24"/>
          <w:szCs w:val="24"/>
        </w:rPr>
      </w:pPr>
    </w:p>
    <w:p w14:paraId="70E2C1D3" w14:textId="77777777" w:rsidR="00A377EE" w:rsidRPr="005B1CCB" w:rsidRDefault="00AD3403"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This thesis has been submitted in fulfilment of the requirements for a</w:t>
      </w:r>
      <w:r w:rsidR="001D049C" w:rsidRPr="005B1CCB">
        <w:rPr>
          <w:rFonts w:ascii="Palatino Linotype" w:hAnsi="Palatino Linotype" w:cs="Times New Roman"/>
          <w:sz w:val="24"/>
          <w:szCs w:val="24"/>
        </w:rPr>
        <w:t>n</w:t>
      </w:r>
      <w:r w:rsidRPr="005B1CCB">
        <w:rPr>
          <w:rFonts w:ascii="Palatino Linotype" w:hAnsi="Palatino Linotype" w:cs="Times New Roman"/>
          <w:sz w:val="24"/>
          <w:szCs w:val="24"/>
        </w:rPr>
        <w:t xml:space="preserve"> </w:t>
      </w:r>
      <w:r w:rsidR="001D049C" w:rsidRPr="005B1CCB">
        <w:rPr>
          <w:rFonts w:ascii="Palatino Linotype" w:hAnsi="Palatino Linotype" w:cs="Times New Roman"/>
          <w:sz w:val="24"/>
          <w:szCs w:val="24"/>
        </w:rPr>
        <w:t>Eng</w:t>
      </w:r>
      <w:r w:rsidRPr="005B1CCB">
        <w:rPr>
          <w:rFonts w:ascii="Palatino Linotype" w:hAnsi="Palatino Linotype" w:cs="Times New Roman"/>
          <w:sz w:val="24"/>
          <w:szCs w:val="24"/>
        </w:rPr>
        <w:t>D</w:t>
      </w:r>
      <w:r w:rsidR="00686B07" w:rsidRPr="005B1CCB">
        <w:rPr>
          <w:rFonts w:ascii="Palatino Linotype" w:hAnsi="Palatino Linotype" w:cs="Times New Roman"/>
          <w:sz w:val="24"/>
          <w:szCs w:val="24"/>
        </w:rPr>
        <w:t xml:space="preserve"> degree </w:t>
      </w:r>
      <w:r w:rsidRPr="005B1CCB">
        <w:rPr>
          <w:rFonts w:ascii="Palatino Linotype" w:hAnsi="Palatino Linotype" w:cs="Times New Roman"/>
          <w:sz w:val="24"/>
          <w:szCs w:val="24"/>
        </w:rPr>
        <w:t>at</w:t>
      </w:r>
      <w:r w:rsidR="00561500" w:rsidRPr="005B1CCB">
        <w:rPr>
          <w:rFonts w:ascii="Palatino Linotype" w:hAnsi="Palatino Linotype" w:cs="Times New Roman"/>
          <w:sz w:val="24"/>
          <w:szCs w:val="24"/>
        </w:rPr>
        <w:t xml:space="preserve"> the University of Strathclyde.</w:t>
      </w:r>
    </w:p>
    <w:p w14:paraId="4632A17B" w14:textId="77777777" w:rsidR="00AD3403" w:rsidRPr="005B1CCB" w:rsidRDefault="00AD3403"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Please note the following terms and conditions of use:</w:t>
      </w:r>
    </w:p>
    <w:p w14:paraId="1F69BFD5" w14:textId="77777777" w:rsidR="00AD3403" w:rsidRPr="005B1CCB" w:rsidRDefault="00AD3403" w:rsidP="0052183A">
      <w:pPr>
        <w:autoSpaceDE w:val="0"/>
        <w:autoSpaceDN w:val="0"/>
        <w:adjustRightInd w:val="0"/>
        <w:spacing w:after="0" w:line="360" w:lineRule="auto"/>
        <w:rPr>
          <w:rFonts w:ascii="Palatino Linotype" w:hAnsi="Palatino Linotype" w:cs="Times New Roman"/>
          <w:sz w:val="24"/>
          <w:szCs w:val="24"/>
        </w:rPr>
      </w:pPr>
      <w:r w:rsidRPr="005B1CCB">
        <w:rPr>
          <w:rFonts w:ascii="Palatino Linotype" w:hAnsi="Palatino Linotype" w:cs="Times New Roman"/>
          <w:sz w:val="24"/>
          <w:szCs w:val="24"/>
        </w:rPr>
        <w:t>This work is protected by copyright and other intellectual property rights, which are</w:t>
      </w:r>
      <w:r w:rsidR="00047041" w:rsidRPr="005B1CCB">
        <w:rPr>
          <w:rFonts w:ascii="Palatino Linotype" w:hAnsi="Palatino Linotype" w:cs="Times New Roman"/>
          <w:sz w:val="24"/>
          <w:szCs w:val="24"/>
        </w:rPr>
        <w:t xml:space="preserve"> retained </w:t>
      </w:r>
      <w:r w:rsidRPr="005B1CCB">
        <w:rPr>
          <w:rFonts w:ascii="Palatino Linotype" w:hAnsi="Palatino Linotype" w:cs="Times New Roman"/>
          <w:sz w:val="24"/>
          <w:szCs w:val="24"/>
        </w:rPr>
        <w:t>by the thesis author, unless otherwise stated.</w:t>
      </w:r>
    </w:p>
    <w:p w14:paraId="36F1012E" w14:textId="77777777" w:rsidR="00AD3403" w:rsidRPr="005B1CCB" w:rsidRDefault="00AD3403"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A copy can be downloaded for personal non-commer</w:t>
      </w:r>
      <w:r w:rsidR="00686B07" w:rsidRPr="005B1CCB">
        <w:rPr>
          <w:rFonts w:ascii="Palatino Linotype" w:hAnsi="Palatino Linotype" w:cs="Times New Roman"/>
          <w:sz w:val="24"/>
          <w:szCs w:val="24"/>
        </w:rPr>
        <w:t xml:space="preserve">cial research or study, without </w:t>
      </w:r>
      <w:r w:rsidRPr="005B1CCB">
        <w:rPr>
          <w:rFonts w:ascii="Palatino Linotype" w:hAnsi="Palatino Linotype" w:cs="Times New Roman"/>
          <w:sz w:val="24"/>
          <w:szCs w:val="24"/>
        </w:rPr>
        <w:t>prior permission or charge.</w:t>
      </w:r>
    </w:p>
    <w:p w14:paraId="56C72165" w14:textId="77777777" w:rsidR="00AD3403" w:rsidRPr="005B1CCB" w:rsidRDefault="00AD3403"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This thesis cannot be reproduced or quoted extensive</w:t>
      </w:r>
      <w:r w:rsidR="00686B07" w:rsidRPr="005B1CCB">
        <w:rPr>
          <w:rFonts w:ascii="Palatino Linotype" w:hAnsi="Palatino Linotype" w:cs="Times New Roman"/>
          <w:sz w:val="24"/>
          <w:szCs w:val="24"/>
        </w:rPr>
        <w:t xml:space="preserve">ly from without first obtaining </w:t>
      </w:r>
      <w:r w:rsidRPr="005B1CCB">
        <w:rPr>
          <w:rFonts w:ascii="Palatino Linotype" w:hAnsi="Palatino Linotype" w:cs="Times New Roman"/>
          <w:sz w:val="24"/>
          <w:szCs w:val="24"/>
        </w:rPr>
        <w:t>permission in writing from the author.</w:t>
      </w:r>
    </w:p>
    <w:p w14:paraId="3058F7CF" w14:textId="77777777" w:rsidR="00AD3403" w:rsidRPr="005B1CCB" w:rsidRDefault="00AD3403"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The content must not be changed in any way or sold commercially in any format or</w:t>
      </w:r>
      <w:r w:rsidR="00047041"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medium without the formal permission of the author.</w:t>
      </w:r>
    </w:p>
    <w:p w14:paraId="60278B0D" w14:textId="77777777" w:rsidR="00AD3403" w:rsidRPr="005B1CCB" w:rsidRDefault="00AD3403" w:rsidP="0052183A">
      <w:pPr>
        <w:autoSpaceDE w:val="0"/>
        <w:autoSpaceDN w:val="0"/>
        <w:adjustRightInd w:val="0"/>
        <w:spacing w:after="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When referring to this work, full bibliographic detai</w:t>
      </w:r>
      <w:r w:rsidR="00686B07" w:rsidRPr="005B1CCB">
        <w:rPr>
          <w:rFonts w:ascii="Palatino Linotype" w:hAnsi="Palatino Linotype" w:cs="Times New Roman"/>
          <w:sz w:val="24"/>
          <w:szCs w:val="24"/>
        </w:rPr>
        <w:t xml:space="preserve">ls including the author, title, </w:t>
      </w:r>
      <w:r w:rsidRPr="005B1CCB">
        <w:rPr>
          <w:rFonts w:ascii="Palatino Linotype" w:hAnsi="Palatino Linotype" w:cs="Times New Roman"/>
          <w:sz w:val="24"/>
          <w:szCs w:val="24"/>
        </w:rPr>
        <w:t>awarding institution and date of the thesis must be given.</w:t>
      </w:r>
    </w:p>
    <w:p w14:paraId="680E5D2B" w14:textId="77777777" w:rsidR="00AD3403" w:rsidRPr="005B1CCB" w:rsidRDefault="00AD3403" w:rsidP="0052183A">
      <w:pPr>
        <w:spacing w:line="360" w:lineRule="auto"/>
        <w:rPr>
          <w:rFonts w:ascii="Palatino Linotype" w:hAnsi="Palatino Linotype" w:cs="Times New Roman"/>
          <w:sz w:val="24"/>
          <w:szCs w:val="24"/>
        </w:rPr>
      </w:pPr>
    </w:p>
    <w:p w14:paraId="0A192699"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01EA653F"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183AD511"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240CA2FB"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13D52B56"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73EC45E6"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4A428995"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75A4EADF" w14:textId="77777777" w:rsidR="00012EDC" w:rsidRPr="005B1CCB" w:rsidRDefault="00012EDC" w:rsidP="008B5F07">
      <w:pPr>
        <w:tabs>
          <w:tab w:val="left" w:pos="5388"/>
        </w:tabs>
        <w:spacing w:line="360" w:lineRule="auto"/>
        <w:rPr>
          <w:rFonts w:ascii="Palatino Linotype" w:hAnsi="Palatino Linotype" w:cs="Times New Roman"/>
          <w:b/>
        </w:rPr>
      </w:pPr>
    </w:p>
    <w:p w14:paraId="52D373BB" w14:textId="77777777" w:rsidR="00FF1211" w:rsidRPr="005B1CCB" w:rsidRDefault="00FF1211" w:rsidP="008B5F07">
      <w:pPr>
        <w:tabs>
          <w:tab w:val="left" w:pos="5388"/>
        </w:tabs>
        <w:spacing w:line="360" w:lineRule="auto"/>
        <w:rPr>
          <w:rFonts w:ascii="Palatino Linotype" w:hAnsi="Palatino Linotype" w:cs="Times New Roman"/>
          <w:b/>
        </w:rPr>
      </w:pPr>
    </w:p>
    <w:p w14:paraId="150BBD8E" w14:textId="77777777" w:rsidR="003157BF" w:rsidRPr="005B1CCB" w:rsidRDefault="001C5827" w:rsidP="0052183A">
      <w:pPr>
        <w:tabs>
          <w:tab w:val="left" w:pos="5388"/>
        </w:tabs>
        <w:spacing w:line="360" w:lineRule="auto"/>
        <w:jc w:val="center"/>
        <w:rPr>
          <w:rFonts w:ascii="Palatino Linotype" w:hAnsi="Palatino Linotype" w:cs="Times New Roman"/>
          <w:b/>
        </w:rPr>
      </w:pPr>
      <w:r w:rsidRPr="005B1CCB">
        <w:rPr>
          <w:rFonts w:ascii="Palatino Linotype" w:hAnsi="Palatino Linotype" w:cs="Times New Roman"/>
          <w:b/>
        </w:rPr>
        <w:t xml:space="preserve">Dedicated </w:t>
      </w:r>
      <w:r w:rsidR="0036057A" w:rsidRPr="005B1CCB">
        <w:rPr>
          <w:rFonts w:ascii="Palatino Linotype" w:hAnsi="Palatino Linotype" w:cs="Times New Roman"/>
          <w:b/>
        </w:rPr>
        <w:t>to</w:t>
      </w:r>
      <w:r w:rsidRPr="005B1CCB">
        <w:rPr>
          <w:rFonts w:ascii="Palatino Linotype" w:hAnsi="Palatino Linotype" w:cs="Times New Roman"/>
          <w:b/>
        </w:rPr>
        <w:t xml:space="preserve"> my parents</w:t>
      </w:r>
      <w:r w:rsidR="0036057A" w:rsidRPr="005B1CCB">
        <w:rPr>
          <w:rFonts w:ascii="Palatino Linotype" w:hAnsi="Palatino Linotype" w:cs="Times New Roman"/>
          <w:b/>
        </w:rPr>
        <w:t>.</w:t>
      </w:r>
    </w:p>
    <w:p w14:paraId="7E73A448"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35726B19"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01836B30"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29B3C065"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6FE89FC2" w14:textId="77777777" w:rsidR="001C5827" w:rsidRPr="005B1CCB" w:rsidRDefault="001C5827" w:rsidP="0052183A">
      <w:pPr>
        <w:tabs>
          <w:tab w:val="left" w:pos="5388"/>
        </w:tabs>
        <w:spacing w:line="360" w:lineRule="auto"/>
        <w:jc w:val="center"/>
        <w:rPr>
          <w:rFonts w:ascii="Palatino Linotype" w:hAnsi="Palatino Linotype" w:cs="Times New Roman"/>
          <w:b/>
        </w:rPr>
      </w:pPr>
    </w:p>
    <w:p w14:paraId="4A45BC3E" w14:textId="77777777" w:rsidR="00012EDC" w:rsidRPr="005B1CCB" w:rsidRDefault="00012EDC" w:rsidP="0052183A">
      <w:pPr>
        <w:tabs>
          <w:tab w:val="left" w:pos="5388"/>
        </w:tabs>
        <w:spacing w:line="360" w:lineRule="auto"/>
        <w:jc w:val="both"/>
        <w:rPr>
          <w:rFonts w:ascii="Palatino Linotype" w:hAnsi="Palatino Linotype" w:cs="Times New Roman"/>
          <w:b/>
        </w:rPr>
      </w:pPr>
    </w:p>
    <w:p w14:paraId="705361D3" w14:textId="77777777" w:rsidR="009D2712" w:rsidRPr="005B1CCB" w:rsidRDefault="009D2712" w:rsidP="0052183A">
      <w:pPr>
        <w:tabs>
          <w:tab w:val="left" w:pos="5388"/>
        </w:tabs>
        <w:spacing w:line="360" w:lineRule="auto"/>
        <w:jc w:val="both"/>
        <w:rPr>
          <w:rFonts w:ascii="Palatino Linotype" w:hAnsi="Palatino Linotype" w:cs="Times New Roman"/>
          <w:b/>
        </w:rPr>
      </w:pPr>
    </w:p>
    <w:p w14:paraId="49DCCA8C" w14:textId="77777777" w:rsidR="00F052E6" w:rsidRPr="005B1CCB" w:rsidRDefault="00F052E6" w:rsidP="0052183A">
      <w:pPr>
        <w:tabs>
          <w:tab w:val="left" w:pos="5388"/>
        </w:tabs>
        <w:spacing w:line="360" w:lineRule="auto"/>
        <w:jc w:val="both"/>
        <w:rPr>
          <w:rFonts w:ascii="Palatino Linotype" w:hAnsi="Palatino Linotype" w:cs="Times New Roman"/>
          <w:b/>
        </w:rPr>
      </w:pPr>
    </w:p>
    <w:p w14:paraId="3653301B" w14:textId="77777777" w:rsidR="00F052E6" w:rsidRPr="005B1CCB" w:rsidRDefault="00F052E6" w:rsidP="0052183A">
      <w:pPr>
        <w:tabs>
          <w:tab w:val="left" w:pos="5388"/>
        </w:tabs>
        <w:spacing w:line="360" w:lineRule="auto"/>
        <w:jc w:val="both"/>
        <w:rPr>
          <w:rFonts w:ascii="Palatino Linotype" w:hAnsi="Palatino Linotype" w:cs="Times New Roman"/>
          <w:b/>
        </w:rPr>
      </w:pPr>
    </w:p>
    <w:p w14:paraId="30694E15" w14:textId="77777777" w:rsidR="00F052E6" w:rsidRPr="005B1CCB" w:rsidRDefault="00F052E6" w:rsidP="0052183A">
      <w:pPr>
        <w:tabs>
          <w:tab w:val="left" w:pos="5388"/>
        </w:tabs>
        <w:spacing w:line="360" w:lineRule="auto"/>
        <w:jc w:val="both"/>
        <w:rPr>
          <w:rFonts w:ascii="Palatino Linotype" w:hAnsi="Palatino Linotype" w:cs="Times New Roman"/>
          <w:b/>
        </w:rPr>
      </w:pPr>
    </w:p>
    <w:p w14:paraId="52E5400A" w14:textId="77777777" w:rsidR="00FF1211" w:rsidRPr="005B1CCB" w:rsidRDefault="00FF1211" w:rsidP="0052183A">
      <w:pPr>
        <w:tabs>
          <w:tab w:val="left" w:pos="5388"/>
        </w:tabs>
        <w:spacing w:line="360" w:lineRule="auto"/>
        <w:jc w:val="both"/>
        <w:rPr>
          <w:rFonts w:ascii="Palatino Linotype" w:hAnsi="Palatino Linotype" w:cs="Times New Roman"/>
          <w:b/>
        </w:rPr>
      </w:pPr>
    </w:p>
    <w:p w14:paraId="3FD69341" w14:textId="77777777" w:rsidR="00AD3403" w:rsidRPr="005B1CCB" w:rsidRDefault="0054607C" w:rsidP="00CC0A3C">
      <w:pPr>
        <w:pStyle w:val="Heading1"/>
        <w:numPr>
          <w:ilvl w:val="0"/>
          <w:numId w:val="0"/>
        </w:numPr>
        <w:spacing w:line="360" w:lineRule="auto"/>
        <w:ind w:left="432"/>
        <w:jc w:val="center"/>
        <w:rPr>
          <w:rFonts w:ascii="Palatino Linotype" w:hAnsi="Palatino Linotype"/>
        </w:rPr>
      </w:pPr>
      <w:bookmarkStart w:id="1" w:name="_Toc84528019"/>
      <w:r w:rsidRPr="005B1CCB">
        <w:rPr>
          <w:rFonts w:ascii="Palatino Linotype" w:hAnsi="Palatino Linotype"/>
        </w:rPr>
        <w:lastRenderedPageBreak/>
        <w:t>ABSTRACT</w:t>
      </w:r>
      <w:bookmarkEnd w:id="1"/>
    </w:p>
    <w:p w14:paraId="25DBF35D" w14:textId="77777777" w:rsidR="005107D6" w:rsidRPr="005B1CCB" w:rsidRDefault="00E47315" w:rsidP="0052183A">
      <w:pPr>
        <w:spacing w:line="360" w:lineRule="auto"/>
        <w:jc w:val="both"/>
        <w:rPr>
          <w:rFonts w:ascii="Palatino Linotype" w:hAnsi="Palatino Linotype" w:cs="Times New Roman"/>
          <w:sz w:val="24"/>
          <w:szCs w:val="24"/>
          <w:lang w:val="en" w:eastAsia="en-GB"/>
        </w:rPr>
      </w:pPr>
      <w:r w:rsidRPr="005B1CCB">
        <w:rPr>
          <w:rFonts w:ascii="Palatino Linotype" w:hAnsi="Palatino Linotype" w:cs="Times New Roman"/>
          <w:sz w:val="24"/>
          <w:szCs w:val="24"/>
          <w:lang w:val="en" w:eastAsia="en-GB"/>
        </w:rPr>
        <w:t xml:space="preserve">   </w:t>
      </w:r>
      <w:r w:rsidR="000D62DA" w:rsidRPr="005B1CCB">
        <w:rPr>
          <w:rFonts w:ascii="Palatino Linotype" w:hAnsi="Palatino Linotype" w:cs="Times New Roman"/>
          <w:sz w:val="24"/>
          <w:szCs w:val="24"/>
          <w:lang w:val="en" w:eastAsia="en-GB"/>
        </w:rPr>
        <w:t xml:space="preserve">The </w:t>
      </w:r>
      <w:r w:rsidR="005A7DA6" w:rsidRPr="005B1CCB">
        <w:rPr>
          <w:rFonts w:ascii="Palatino Linotype" w:hAnsi="Palatino Linotype" w:cs="Times New Roman"/>
          <w:sz w:val="24"/>
          <w:szCs w:val="24"/>
          <w:lang w:val="en" w:eastAsia="en-GB"/>
        </w:rPr>
        <w:t xml:space="preserve">high </w:t>
      </w:r>
      <w:r w:rsidR="000D62DA" w:rsidRPr="005B1CCB">
        <w:rPr>
          <w:rFonts w:ascii="Palatino Linotype" w:hAnsi="Palatino Linotype" w:cs="Times New Roman"/>
          <w:sz w:val="24"/>
          <w:szCs w:val="24"/>
          <w:lang w:val="en" w:eastAsia="en-GB"/>
        </w:rPr>
        <w:t>rate</w:t>
      </w:r>
      <w:r w:rsidR="005A7DA6" w:rsidRPr="005B1CCB">
        <w:rPr>
          <w:rFonts w:ascii="Palatino Linotype" w:hAnsi="Palatino Linotype" w:cs="Times New Roman"/>
          <w:sz w:val="24"/>
          <w:szCs w:val="24"/>
          <w:lang w:val="en" w:eastAsia="en-GB"/>
        </w:rPr>
        <w:t>s</w:t>
      </w:r>
      <w:r w:rsidR="000D62DA" w:rsidRPr="005B1CCB">
        <w:rPr>
          <w:rFonts w:ascii="Palatino Linotype" w:hAnsi="Palatino Linotype" w:cs="Times New Roman"/>
          <w:sz w:val="24"/>
          <w:szCs w:val="24"/>
          <w:lang w:val="en" w:eastAsia="en-GB"/>
        </w:rPr>
        <w:t xml:space="preserve"> of mortality </w:t>
      </w:r>
      <w:r w:rsidR="005A7DA6" w:rsidRPr="005B1CCB">
        <w:rPr>
          <w:rFonts w:ascii="Palatino Linotype" w:hAnsi="Palatino Linotype" w:cs="Times New Roman"/>
          <w:sz w:val="24"/>
          <w:szCs w:val="24"/>
          <w:lang w:val="en" w:eastAsia="en-GB"/>
        </w:rPr>
        <w:t>amongst</w:t>
      </w:r>
      <w:r w:rsidR="000D62DA" w:rsidRPr="005B1CCB">
        <w:rPr>
          <w:rFonts w:ascii="Palatino Linotype" w:hAnsi="Palatino Linotype" w:cs="Times New Roman"/>
          <w:sz w:val="24"/>
          <w:szCs w:val="24"/>
          <w:lang w:val="en" w:eastAsia="en-GB"/>
        </w:rPr>
        <w:t xml:space="preserve"> cancer patients </w:t>
      </w:r>
      <w:r w:rsidR="005A7DA6" w:rsidRPr="005B1CCB">
        <w:rPr>
          <w:rFonts w:ascii="Palatino Linotype" w:hAnsi="Palatino Linotype" w:cs="Times New Roman"/>
          <w:sz w:val="24"/>
          <w:szCs w:val="24"/>
          <w:lang w:val="en" w:eastAsia="en-GB"/>
        </w:rPr>
        <w:t>highlights</w:t>
      </w:r>
      <w:r w:rsidR="000D62DA" w:rsidRPr="005B1CCB">
        <w:rPr>
          <w:rFonts w:ascii="Palatino Linotype" w:hAnsi="Palatino Linotype" w:cs="Times New Roman"/>
          <w:sz w:val="24"/>
          <w:szCs w:val="24"/>
          <w:lang w:val="en" w:eastAsia="en-GB"/>
        </w:rPr>
        <w:t xml:space="preserve"> the need for </w:t>
      </w:r>
      <w:r w:rsidR="00B232F7" w:rsidRPr="005B1CCB">
        <w:rPr>
          <w:rFonts w:ascii="Palatino Linotype" w:hAnsi="Palatino Linotype" w:cs="Times New Roman"/>
          <w:sz w:val="24"/>
          <w:szCs w:val="24"/>
          <w:lang w:val="en" w:eastAsia="en-GB"/>
        </w:rPr>
        <w:t xml:space="preserve">advances in </w:t>
      </w:r>
      <w:r w:rsidR="000D62DA" w:rsidRPr="005B1CCB">
        <w:rPr>
          <w:rFonts w:ascii="Palatino Linotype" w:hAnsi="Palatino Linotype" w:cs="Times New Roman"/>
          <w:sz w:val="24"/>
          <w:szCs w:val="24"/>
          <w:lang w:val="en" w:eastAsia="en-GB"/>
        </w:rPr>
        <w:t xml:space="preserve">rapid detection </w:t>
      </w:r>
      <w:r w:rsidR="00B232F7" w:rsidRPr="005B1CCB">
        <w:rPr>
          <w:rFonts w:ascii="Palatino Linotype" w:hAnsi="Palatino Linotype" w:cs="Times New Roman"/>
          <w:sz w:val="24"/>
          <w:szCs w:val="24"/>
          <w:lang w:val="en" w:eastAsia="en-GB"/>
        </w:rPr>
        <w:t>and enhanced point of care (</w:t>
      </w:r>
      <w:r w:rsidR="000D62DA" w:rsidRPr="005B1CCB">
        <w:rPr>
          <w:rFonts w:ascii="Palatino Linotype" w:hAnsi="Palatino Linotype" w:cs="Times New Roman"/>
          <w:sz w:val="24"/>
          <w:szCs w:val="24"/>
          <w:lang w:val="en" w:eastAsia="en-GB"/>
        </w:rPr>
        <w:t>PoC</w:t>
      </w:r>
      <w:r w:rsidR="00B232F7" w:rsidRPr="005B1CCB">
        <w:rPr>
          <w:rFonts w:ascii="Palatino Linotype" w:hAnsi="Palatino Linotype" w:cs="Times New Roman"/>
          <w:sz w:val="24"/>
          <w:szCs w:val="24"/>
          <w:lang w:val="en" w:eastAsia="en-GB"/>
        </w:rPr>
        <w:t>)</w:t>
      </w:r>
      <w:r w:rsidR="000D62DA" w:rsidRPr="005B1CCB">
        <w:rPr>
          <w:rFonts w:ascii="Palatino Linotype" w:hAnsi="Palatino Linotype" w:cs="Times New Roman"/>
          <w:sz w:val="24"/>
          <w:szCs w:val="24"/>
          <w:lang w:val="en" w:eastAsia="en-GB"/>
        </w:rPr>
        <w:t xml:space="preserve"> test</w:t>
      </w:r>
      <w:r w:rsidR="00B232F7" w:rsidRPr="005B1CCB">
        <w:rPr>
          <w:rFonts w:ascii="Palatino Linotype" w:hAnsi="Palatino Linotype" w:cs="Times New Roman"/>
          <w:sz w:val="24"/>
          <w:szCs w:val="24"/>
          <w:lang w:val="en" w:eastAsia="en-GB"/>
        </w:rPr>
        <w:t>ing</w:t>
      </w:r>
      <w:r w:rsidR="000D62DA" w:rsidRPr="005B1CCB">
        <w:rPr>
          <w:rFonts w:ascii="Palatino Linotype" w:hAnsi="Palatino Linotype" w:cs="Times New Roman"/>
          <w:sz w:val="24"/>
          <w:szCs w:val="24"/>
          <w:lang w:val="en" w:eastAsia="en-GB"/>
        </w:rPr>
        <w:t xml:space="preserve">. </w:t>
      </w:r>
      <w:r w:rsidR="005107D6" w:rsidRPr="005B1CCB">
        <w:rPr>
          <w:rFonts w:ascii="Palatino Linotype" w:hAnsi="Palatino Linotype" w:cs="Times New Roman"/>
          <w:sz w:val="24"/>
          <w:szCs w:val="24"/>
        </w:rPr>
        <w:t xml:space="preserve">A simple approach tailored towards </w:t>
      </w:r>
      <w:r w:rsidR="000D62DA" w:rsidRPr="005B1CCB">
        <w:rPr>
          <w:rFonts w:ascii="Palatino Linotype" w:hAnsi="Palatino Linotype" w:cs="Times New Roman"/>
          <w:sz w:val="24"/>
          <w:szCs w:val="24"/>
        </w:rPr>
        <w:t>PoC</w:t>
      </w:r>
      <w:r w:rsidR="005107D6" w:rsidRPr="005B1CCB">
        <w:rPr>
          <w:rFonts w:ascii="Palatino Linotype" w:hAnsi="Palatino Linotype" w:cs="Times New Roman"/>
          <w:sz w:val="24"/>
          <w:szCs w:val="24"/>
        </w:rPr>
        <w:t xml:space="preserve"> cancer </w:t>
      </w:r>
      <w:r w:rsidR="00B232F7" w:rsidRPr="005B1CCB">
        <w:rPr>
          <w:rFonts w:ascii="Palatino Linotype" w:hAnsi="Palatino Linotype" w:cs="Times New Roman"/>
          <w:sz w:val="24"/>
          <w:szCs w:val="24"/>
        </w:rPr>
        <w:t xml:space="preserve">detection and </w:t>
      </w:r>
      <w:r w:rsidR="005107D6" w:rsidRPr="005B1CCB">
        <w:rPr>
          <w:rFonts w:ascii="Palatino Linotype" w:hAnsi="Palatino Linotype" w:cs="Times New Roman"/>
          <w:sz w:val="24"/>
          <w:szCs w:val="24"/>
        </w:rPr>
        <w:t>monitoring using label</w:t>
      </w:r>
      <w:r w:rsidR="00615B6C" w:rsidRPr="005B1CCB">
        <w:rPr>
          <w:rFonts w:ascii="Palatino Linotype" w:hAnsi="Palatino Linotype" w:cs="Times New Roman"/>
          <w:sz w:val="24"/>
          <w:szCs w:val="24"/>
        </w:rPr>
        <w:t>-</w:t>
      </w:r>
      <w:r w:rsidR="005107D6" w:rsidRPr="005B1CCB">
        <w:rPr>
          <w:rFonts w:ascii="Palatino Linotype" w:hAnsi="Palatino Linotype" w:cs="Times New Roman"/>
          <w:sz w:val="24"/>
          <w:szCs w:val="24"/>
        </w:rPr>
        <w:t xml:space="preserve">free electrochemical biosensors is presented. </w:t>
      </w:r>
      <w:r w:rsidR="005107D6" w:rsidRPr="005B1CCB">
        <w:rPr>
          <w:rFonts w:ascii="Palatino Linotype" w:hAnsi="Palatino Linotype" w:cs="Times New Roman"/>
          <w:sz w:val="24"/>
          <w:szCs w:val="24"/>
          <w:lang w:val="en" w:eastAsia="en-GB"/>
        </w:rPr>
        <w:t>Screen</w:t>
      </w:r>
      <w:r w:rsidR="00692615" w:rsidRPr="005B1CCB">
        <w:rPr>
          <w:rFonts w:ascii="Palatino Linotype" w:hAnsi="Palatino Linotype" w:cs="Times New Roman"/>
          <w:sz w:val="24"/>
          <w:szCs w:val="24"/>
          <w:lang w:val="en" w:eastAsia="en-GB"/>
        </w:rPr>
        <w:t>-</w:t>
      </w:r>
      <w:r w:rsidR="005107D6" w:rsidRPr="005B1CCB">
        <w:rPr>
          <w:rFonts w:ascii="Palatino Linotype" w:hAnsi="Palatino Linotype" w:cs="Times New Roman"/>
          <w:sz w:val="24"/>
          <w:szCs w:val="24"/>
          <w:lang w:val="en" w:eastAsia="en-GB"/>
        </w:rPr>
        <w:t xml:space="preserve">Printed Carbon electrodes (SPCEs) have been extensively employed as an economical transducer substrate for electrochemical biosensing applications due to their simplicity, affordability and versatility. </w:t>
      </w:r>
      <w:r w:rsidR="00F62BAD" w:rsidRPr="005B1CCB">
        <w:rPr>
          <w:rFonts w:ascii="Palatino Linotype" w:hAnsi="Palatino Linotype" w:cs="Times New Roman"/>
          <w:sz w:val="24"/>
          <w:szCs w:val="24"/>
        </w:rPr>
        <w:t>In this work</w:t>
      </w:r>
      <w:r w:rsidR="008C3743" w:rsidRPr="005B1CCB">
        <w:rPr>
          <w:rFonts w:ascii="Palatino Linotype" w:hAnsi="Palatino Linotype" w:cs="Times New Roman"/>
          <w:sz w:val="24"/>
          <w:szCs w:val="24"/>
        </w:rPr>
        <w:t>,</w:t>
      </w:r>
      <w:r w:rsidR="00F62BAD" w:rsidRPr="005B1CCB">
        <w:rPr>
          <w:rFonts w:ascii="Palatino Linotype" w:hAnsi="Palatino Linotype" w:cs="Times New Roman"/>
          <w:sz w:val="24"/>
          <w:szCs w:val="24"/>
        </w:rPr>
        <w:t xml:space="preserve"> a simple, low</w:t>
      </w:r>
      <w:r w:rsidR="00692615" w:rsidRPr="005B1CCB">
        <w:rPr>
          <w:rFonts w:ascii="Palatino Linotype" w:hAnsi="Palatino Linotype" w:cs="Times New Roman"/>
          <w:sz w:val="24"/>
          <w:szCs w:val="24"/>
        </w:rPr>
        <w:t>-</w:t>
      </w:r>
      <w:r w:rsidR="00F62BAD" w:rsidRPr="005B1CCB">
        <w:rPr>
          <w:rFonts w:ascii="Palatino Linotype" w:hAnsi="Palatino Linotype" w:cs="Times New Roman"/>
          <w:sz w:val="24"/>
          <w:szCs w:val="24"/>
        </w:rPr>
        <w:t xml:space="preserve">cost DNA biosensor </w:t>
      </w:r>
      <w:r w:rsidR="00331C49" w:rsidRPr="005B1CCB">
        <w:rPr>
          <w:rFonts w:ascii="Palatino Linotype" w:hAnsi="Palatino Linotype" w:cs="Times New Roman"/>
          <w:sz w:val="24"/>
          <w:szCs w:val="24"/>
        </w:rPr>
        <w:t xml:space="preserve">is presented </w:t>
      </w:r>
      <w:r w:rsidR="00F62BAD" w:rsidRPr="005B1CCB">
        <w:rPr>
          <w:rFonts w:ascii="Palatino Linotype" w:hAnsi="Palatino Linotype" w:cs="Times New Roman"/>
          <w:sz w:val="24"/>
          <w:szCs w:val="24"/>
        </w:rPr>
        <w:t xml:space="preserve">which </w:t>
      </w:r>
      <w:r w:rsidR="006D12FB" w:rsidRPr="005B1CCB">
        <w:rPr>
          <w:rFonts w:ascii="Palatino Linotype" w:hAnsi="Palatino Linotype" w:cs="Times New Roman"/>
          <w:sz w:val="24"/>
          <w:szCs w:val="24"/>
        </w:rPr>
        <w:t xml:space="preserve">after initial work with Tp53 </w:t>
      </w:r>
      <w:r w:rsidR="00F62BAD" w:rsidRPr="005B1CCB">
        <w:rPr>
          <w:rFonts w:ascii="Palatino Linotype" w:hAnsi="Palatino Linotype" w:cs="Times New Roman"/>
          <w:sz w:val="24"/>
          <w:szCs w:val="24"/>
        </w:rPr>
        <w:t xml:space="preserve">was developed specifically to detect mutations in a key oncogene (KRAS).  </w:t>
      </w:r>
      <w:r w:rsidR="00692615" w:rsidRPr="005B1CCB">
        <w:rPr>
          <w:rFonts w:ascii="Palatino Linotype" w:hAnsi="Palatino Linotype" w:cs="Times New Roman"/>
          <w:sz w:val="24"/>
          <w:szCs w:val="24"/>
        </w:rPr>
        <w:t>S</w:t>
      </w:r>
      <w:r w:rsidR="00F62BAD" w:rsidRPr="005B1CCB">
        <w:rPr>
          <w:rFonts w:ascii="Palatino Linotype" w:hAnsi="Palatino Linotype" w:cs="Times New Roman"/>
          <w:sz w:val="24"/>
          <w:szCs w:val="24"/>
        </w:rPr>
        <w:t xml:space="preserve">ensor </w:t>
      </w:r>
      <w:r w:rsidR="00331C49" w:rsidRPr="005B1CCB">
        <w:rPr>
          <w:rFonts w:ascii="Palatino Linotype" w:hAnsi="Palatino Linotype" w:cs="Times New Roman"/>
          <w:sz w:val="24"/>
          <w:szCs w:val="24"/>
        </w:rPr>
        <w:t>array</w:t>
      </w:r>
      <w:r w:rsidR="00692615" w:rsidRPr="005B1CCB">
        <w:rPr>
          <w:rFonts w:ascii="Palatino Linotype" w:hAnsi="Palatino Linotype" w:cs="Times New Roman"/>
          <w:sz w:val="24"/>
          <w:szCs w:val="24"/>
        </w:rPr>
        <w:t>s</w:t>
      </w:r>
      <w:r w:rsidR="00331C49" w:rsidRPr="005B1CCB">
        <w:rPr>
          <w:rFonts w:ascii="Palatino Linotype" w:hAnsi="Palatino Linotype" w:cs="Times New Roman"/>
          <w:sz w:val="24"/>
          <w:szCs w:val="24"/>
        </w:rPr>
        <w:t xml:space="preserve"> of </w:t>
      </w:r>
      <w:r w:rsidR="00692615" w:rsidRPr="005B1CCB">
        <w:rPr>
          <w:rFonts w:ascii="Palatino Linotype" w:hAnsi="Palatino Linotype" w:cs="Times New Roman"/>
          <w:sz w:val="24"/>
          <w:szCs w:val="24"/>
        </w:rPr>
        <w:t>SPCEs</w:t>
      </w:r>
      <w:r w:rsidR="00F62BAD" w:rsidRPr="005B1CCB">
        <w:rPr>
          <w:rFonts w:ascii="Palatino Linotype" w:hAnsi="Palatino Linotype" w:cs="Times New Roman"/>
          <w:sz w:val="24"/>
          <w:szCs w:val="24"/>
        </w:rPr>
        <w:t xml:space="preserve"> </w:t>
      </w:r>
      <w:r w:rsidR="00692615" w:rsidRPr="005B1CCB">
        <w:rPr>
          <w:rFonts w:ascii="Palatino Linotype" w:hAnsi="Palatino Linotype" w:cs="Times New Roman"/>
          <w:sz w:val="24"/>
          <w:szCs w:val="24"/>
        </w:rPr>
        <w:t>and carbon-nanotube (CNT) modified SPCEs</w:t>
      </w:r>
      <w:r w:rsidR="00F62BAD" w:rsidRPr="005B1CCB">
        <w:rPr>
          <w:rFonts w:ascii="Palatino Linotype" w:hAnsi="Palatino Linotype" w:cs="Times New Roman"/>
          <w:sz w:val="24"/>
          <w:szCs w:val="24"/>
        </w:rPr>
        <w:t xml:space="preserve"> </w:t>
      </w:r>
      <w:r w:rsidR="00692615" w:rsidRPr="005B1CCB">
        <w:rPr>
          <w:rFonts w:ascii="Palatino Linotype" w:hAnsi="Palatino Linotype" w:cs="Times New Roman"/>
          <w:sz w:val="24"/>
          <w:szCs w:val="24"/>
        </w:rPr>
        <w:t xml:space="preserve">were used </w:t>
      </w:r>
      <w:r w:rsidR="00F62BAD" w:rsidRPr="005B1CCB">
        <w:rPr>
          <w:rFonts w:ascii="Palatino Linotype" w:hAnsi="Palatino Linotype" w:cs="Times New Roman"/>
          <w:sz w:val="24"/>
          <w:szCs w:val="24"/>
        </w:rPr>
        <w:t xml:space="preserve">to perform multiplexed measurements of DNA hybridisation.  </w:t>
      </w:r>
    </w:p>
    <w:p w14:paraId="02140CF5" w14:textId="77777777" w:rsidR="00122FBF" w:rsidRPr="005B1CCB" w:rsidRDefault="00E47315"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0D62DA" w:rsidRPr="005B1CCB">
        <w:rPr>
          <w:rFonts w:ascii="Palatino Linotype" w:hAnsi="Palatino Linotype" w:cs="Times New Roman"/>
          <w:sz w:val="24"/>
          <w:szCs w:val="24"/>
        </w:rPr>
        <w:t xml:space="preserve">Various amplification techniques </w:t>
      </w:r>
      <w:r w:rsidR="00E536A6" w:rsidRPr="005B1CCB">
        <w:rPr>
          <w:rFonts w:ascii="Palatino Linotype" w:hAnsi="Palatino Linotype" w:cs="Times New Roman"/>
          <w:sz w:val="24"/>
          <w:szCs w:val="24"/>
        </w:rPr>
        <w:t xml:space="preserve">for </w:t>
      </w:r>
      <w:r w:rsidR="000F5BF7" w:rsidRPr="005B1CCB">
        <w:rPr>
          <w:rFonts w:ascii="Palatino Linotype" w:hAnsi="Palatino Linotype" w:cs="Times New Roman"/>
          <w:sz w:val="24"/>
          <w:szCs w:val="24"/>
        </w:rPr>
        <w:t xml:space="preserve">enriching the pool of mutated DNA strands </w:t>
      </w:r>
      <w:r w:rsidR="000D62DA" w:rsidRPr="005B1CCB">
        <w:rPr>
          <w:rFonts w:ascii="Palatino Linotype" w:hAnsi="Palatino Linotype" w:cs="Times New Roman"/>
          <w:sz w:val="24"/>
          <w:szCs w:val="24"/>
        </w:rPr>
        <w:t>were explored and optimised</w:t>
      </w:r>
      <w:r w:rsidR="00122FBF" w:rsidRPr="005B1CCB">
        <w:rPr>
          <w:rFonts w:ascii="Palatino Linotype" w:hAnsi="Palatino Linotype" w:cs="Times New Roman"/>
          <w:sz w:val="24"/>
          <w:szCs w:val="24"/>
        </w:rPr>
        <w:t>.</w:t>
      </w:r>
      <w:r w:rsidR="000D62DA" w:rsidRPr="005B1CCB">
        <w:rPr>
          <w:rFonts w:ascii="Palatino Linotype" w:hAnsi="Palatino Linotype" w:cs="Times New Roman"/>
          <w:sz w:val="24"/>
          <w:szCs w:val="24"/>
        </w:rPr>
        <w:t xml:space="preserve"> </w:t>
      </w:r>
      <w:r w:rsidR="000F5BF7" w:rsidRPr="005B1CCB">
        <w:rPr>
          <w:rFonts w:ascii="Palatino Linotype" w:hAnsi="Palatino Linotype" w:cs="Times New Roman"/>
          <w:sz w:val="24"/>
          <w:szCs w:val="24"/>
        </w:rPr>
        <w:t>Amine</w:t>
      </w:r>
      <w:r w:rsidR="00692615" w:rsidRPr="005B1CCB">
        <w:rPr>
          <w:rFonts w:ascii="Palatino Linotype" w:hAnsi="Palatino Linotype" w:cs="Times New Roman"/>
          <w:sz w:val="24"/>
          <w:szCs w:val="24"/>
        </w:rPr>
        <w:t>-</w:t>
      </w:r>
      <w:r w:rsidR="000F5BF7" w:rsidRPr="005B1CCB">
        <w:rPr>
          <w:rFonts w:ascii="Palatino Linotype" w:hAnsi="Palatino Linotype" w:cs="Times New Roman"/>
          <w:sz w:val="24"/>
          <w:szCs w:val="24"/>
        </w:rPr>
        <w:t>modified ss</w:t>
      </w:r>
      <w:r w:rsidR="005107D6" w:rsidRPr="005B1CCB">
        <w:rPr>
          <w:rFonts w:ascii="Palatino Linotype" w:hAnsi="Palatino Linotype" w:cs="Times New Roman"/>
          <w:sz w:val="24"/>
          <w:szCs w:val="24"/>
        </w:rPr>
        <w:t xml:space="preserve">DNA probes were immobilized by modifying </w:t>
      </w:r>
      <w:r w:rsidR="00692615" w:rsidRPr="005B1CCB">
        <w:rPr>
          <w:rFonts w:ascii="Palatino Linotype" w:hAnsi="Palatino Linotype" w:cs="Times New Roman"/>
          <w:sz w:val="24"/>
          <w:szCs w:val="24"/>
        </w:rPr>
        <w:t>SPCEs</w:t>
      </w:r>
      <w:r w:rsidR="005107D6" w:rsidRPr="005B1CCB">
        <w:rPr>
          <w:rFonts w:ascii="Palatino Linotype" w:hAnsi="Palatino Linotype" w:cs="Times New Roman"/>
          <w:sz w:val="24"/>
          <w:szCs w:val="24"/>
        </w:rPr>
        <w:t xml:space="preserve"> </w:t>
      </w:r>
      <w:r w:rsidR="00692615" w:rsidRPr="005B1CCB">
        <w:rPr>
          <w:rFonts w:ascii="Palatino Linotype" w:hAnsi="Palatino Linotype" w:cs="Times New Roman"/>
          <w:sz w:val="24"/>
          <w:szCs w:val="24"/>
        </w:rPr>
        <w:t xml:space="preserve">and CNT-SPCEs </w:t>
      </w:r>
      <w:r w:rsidR="005107D6" w:rsidRPr="005B1CCB">
        <w:rPr>
          <w:rFonts w:ascii="Palatino Linotype" w:hAnsi="Palatino Linotype" w:cs="Times New Roman"/>
          <w:sz w:val="24"/>
          <w:szCs w:val="24"/>
        </w:rPr>
        <w:t>with diazonium and EDC/NHS groups. The sensor performance was characterized using cyclic voltammetry</w:t>
      </w:r>
      <w:r w:rsidR="00A0523F" w:rsidRPr="005B1CCB">
        <w:rPr>
          <w:rFonts w:ascii="Palatino Linotype" w:hAnsi="Palatino Linotype" w:cs="Times New Roman"/>
          <w:sz w:val="24"/>
          <w:szCs w:val="24"/>
        </w:rPr>
        <w:t>, differential pulse voltammetry</w:t>
      </w:r>
      <w:r w:rsidR="00692615" w:rsidRPr="005B1CCB">
        <w:rPr>
          <w:rFonts w:ascii="Palatino Linotype" w:hAnsi="Palatino Linotype" w:cs="Times New Roman"/>
          <w:sz w:val="24"/>
          <w:szCs w:val="24"/>
        </w:rPr>
        <w:t>, square wave voltammetry</w:t>
      </w:r>
      <w:r w:rsidR="00A0523F" w:rsidRPr="005B1CCB">
        <w:rPr>
          <w:rFonts w:ascii="Palatino Linotype" w:hAnsi="Palatino Linotype" w:cs="Times New Roman"/>
          <w:sz w:val="24"/>
          <w:szCs w:val="24"/>
        </w:rPr>
        <w:t xml:space="preserve"> and electrochemical impedance spectroscopy all to different extents</w:t>
      </w:r>
      <w:r w:rsidR="005107D6" w:rsidRPr="005B1CCB">
        <w:rPr>
          <w:rFonts w:ascii="Palatino Linotype" w:hAnsi="Palatino Linotype" w:cs="Times New Roman"/>
          <w:sz w:val="24"/>
          <w:szCs w:val="24"/>
        </w:rPr>
        <w:t xml:space="preserve">. </w:t>
      </w:r>
      <w:r w:rsidR="00122FBF" w:rsidRPr="005B1CCB">
        <w:rPr>
          <w:rFonts w:ascii="Palatino Linotype" w:hAnsi="Palatino Linotype" w:cs="Times New Roman"/>
          <w:sz w:val="24"/>
          <w:szCs w:val="24"/>
        </w:rPr>
        <w:t xml:space="preserve">The detection principle was evaluated by showing effective </w:t>
      </w:r>
      <w:r w:rsidR="005151DA" w:rsidRPr="005B1CCB">
        <w:rPr>
          <w:rFonts w:ascii="Palatino Linotype" w:hAnsi="Palatino Linotype" w:cs="Times New Roman"/>
          <w:sz w:val="24"/>
          <w:szCs w:val="24"/>
        </w:rPr>
        <w:t xml:space="preserve">on-chip </w:t>
      </w:r>
      <w:r w:rsidR="00122FBF" w:rsidRPr="005B1CCB">
        <w:rPr>
          <w:rFonts w:ascii="Palatino Linotype" w:hAnsi="Palatino Linotype" w:cs="Times New Roman"/>
          <w:sz w:val="24"/>
          <w:szCs w:val="24"/>
        </w:rPr>
        <w:t>DNA hybridization techniques, discriminati</w:t>
      </w:r>
      <w:r w:rsidR="008F35AE" w:rsidRPr="005B1CCB">
        <w:rPr>
          <w:rFonts w:ascii="Palatino Linotype" w:hAnsi="Palatino Linotype" w:cs="Times New Roman"/>
          <w:sz w:val="24"/>
          <w:szCs w:val="24"/>
        </w:rPr>
        <w:t>on</w:t>
      </w:r>
      <w:r w:rsidR="00122FBF" w:rsidRPr="005B1CCB">
        <w:rPr>
          <w:rFonts w:ascii="Palatino Linotype" w:hAnsi="Palatino Linotype" w:cs="Times New Roman"/>
          <w:sz w:val="24"/>
          <w:szCs w:val="24"/>
        </w:rPr>
        <w:t xml:space="preserve"> using negative controls, and performing multiple repetitions to </w:t>
      </w:r>
      <w:r w:rsidR="008F35AE" w:rsidRPr="005B1CCB">
        <w:rPr>
          <w:rFonts w:ascii="Palatino Linotype" w:hAnsi="Palatino Linotype" w:cs="Times New Roman"/>
          <w:sz w:val="24"/>
          <w:szCs w:val="24"/>
        </w:rPr>
        <w:t>ascertain</w:t>
      </w:r>
      <w:r w:rsidR="00122FBF" w:rsidRPr="005B1CCB">
        <w:rPr>
          <w:rFonts w:ascii="Palatino Linotype" w:hAnsi="Palatino Linotype" w:cs="Times New Roman"/>
          <w:sz w:val="24"/>
          <w:szCs w:val="24"/>
        </w:rPr>
        <w:t xml:space="preserve"> reliability</w:t>
      </w:r>
      <w:r w:rsidR="008F35AE" w:rsidRPr="005B1CCB">
        <w:rPr>
          <w:rFonts w:ascii="Palatino Linotype" w:hAnsi="Palatino Linotype" w:cs="Times New Roman"/>
          <w:sz w:val="24"/>
          <w:szCs w:val="24"/>
        </w:rPr>
        <w:t xml:space="preserve"> of the system</w:t>
      </w:r>
      <w:r w:rsidR="00122FBF" w:rsidRPr="005B1CCB">
        <w:rPr>
          <w:rFonts w:ascii="Palatino Linotype" w:hAnsi="Palatino Linotype" w:cs="Times New Roman"/>
          <w:sz w:val="24"/>
          <w:szCs w:val="24"/>
        </w:rPr>
        <w:t>.</w:t>
      </w:r>
    </w:p>
    <w:p w14:paraId="5641C222" w14:textId="4E354668" w:rsidR="00F62BAD" w:rsidRPr="005B1CCB" w:rsidRDefault="00E47315"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5107D6" w:rsidRPr="005B1CCB">
        <w:rPr>
          <w:rFonts w:ascii="Palatino Linotype" w:hAnsi="Palatino Linotype" w:cs="Times New Roman"/>
          <w:sz w:val="24"/>
          <w:szCs w:val="24"/>
        </w:rPr>
        <w:t xml:space="preserve">The developed sensor displayed </w:t>
      </w:r>
      <w:r w:rsidR="00692615" w:rsidRPr="005B1CCB">
        <w:rPr>
          <w:rFonts w:ascii="Palatino Linotype" w:hAnsi="Palatino Linotype" w:cs="Times New Roman"/>
          <w:sz w:val="24"/>
          <w:szCs w:val="24"/>
        </w:rPr>
        <w:t xml:space="preserve">some </w:t>
      </w:r>
      <w:r w:rsidR="005107D6" w:rsidRPr="005B1CCB">
        <w:rPr>
          <w:rFonts w:ascii="Palatino Linotype" w:hAnsi="Palatino Linotype" w:cs="Times New Roman"/>
          <w:sz w:val="24"/>
          <w:szCs w:val="24"/>
        </w:rPr>
        <w:t xml:space="preserve">sensitivity and selectivity to </w:t>
      </w:r>
      <w:r w:rsidR="00E01602" w:rsidRPr="005B1CCB">
        <w:rPr>
          <w:rFonts w:ascii="Palatino Linotype" w:hAnsi="Palatino Linotype" w:cs="Times New Roman"/>
          <w:sz w:val="24"/>
          <w:szCs w:val="24"/>
        </w:rPr>
        <w:t>T</w:t>
      </w:r>
      <w:r w:rsidR="00692615" w:rsidRPr="005B1CCB">
        <w:rPr>
          <w:rFonts w:ascii="Palatino Linotype" w:hAnsi="Palatino Linotype" w:cs="Times New Roman"/>
          <w:sz w:val="24"/>
          <w:szCs w:val="24"/>
        </w:rPr>
        <w:t>p</w:t>
      </w:r>
      <w:r w:rsidR="00E01602" w:rsidRPr="005B1CCB">
        <w:rPr>
          <w:rFonts w:ascii="Palatino Linotype" w:hAnsi="Palatino Linotype" w:cs="Times New Roman"/>
          <w:sz w:val="24"/>
          <w:szCs w:val="24"/>
        </w:rPr>
        <w:t xml:space="preserve">53, </w:t>
      </w:r>
      <w:r w:rsidR="005107D6" w:rsidRPr="005B1CCB">
        <w:rPr>
          <w:rFonts w:ascii="Palatino Linotype" w:hAnsi="Palatino Linotype" w:cs="Times New Roman"/>
          <w:sz w:val="24"/>
          <w:szCs w:val="24"/>
        </w:rPr>
        <w:t xml:space="preserve">KRAS </w:t>
      </w:r>
      <w:r w:rsidR="000E43CF" w:rsidRPr="005B1CCB">
        <w:rPr>
          <w:rFonts w:ascii="Palatino Linotype" w:hAnsi="Palatino Linotype" w:cs="Times New Roman"/>
          <w:sz w:val="24"/>
          <w:szCs w:val="24"/>
        </w:rPr>
        <w:t>p</w:t>
      </w:r>
      <w:r w:rsidR="005107D6" w:rsidRPr="005B1CCB">
        <w:rPr>
          <w:rFonts w:ascii="Palatino Linotype" w:hAnsi="Palatino Linotype" w:cs="Times New Roman"/>
          <w:sz w:val="24"/>
          <w:szCs w:val="24"/>
        </w:rPr>
        <w:t>G12D</w:t>
      </w:r>
      <w:r w:rsidR="000E43CF" w:rsidRPr="005B1CCB">
        <w:rPr>
          <w:rFonts w:ascii="Palatino Linotype" w:hAnsi="Palatino Linotype" w:cs="Times New Roman"/>
          <w:sz w:val="24"/>
          <w:szCs w:val="24"/>
        </w:rPr>
        <w:t>,</w:t>
      </w:r>
      <w:r w:rsidR="005107D6" w:rsidRPr="005B1CCB">
        <w:rPr>
          <w:rFonts w:ascii="Palatino Linotype" w:hAnsi="Palatino Linotype" w:cs="Times New Roman"/>
          <w:sz w:val="24"/>
          <w:szCs w:val="24"/>
        </w:rPr>
        <w:t xml:space="preserve"> </w:t>
      </w:r>
      <w:r w:rsidR="00122FBF" w:rsidRPr="005B1CCB">
        <w:rPr>
          <w:rFonts w:ascii="Palatino Linotype" w:hAnsi="Palatino Linotype" w:cs="Times New Roman"/>
          <w:sz w:val="24"/>
          <w:szCs w:val="24"/>
        </w:rPr>
        <w:t xml:space="preserve">and KRAS </w:t>
      </w:r>
      <w:r w:rsidR="000E43CF" w:rsidRPr="005B1CCB">
        <w:rPr>
          <w:rFonts w:ascii="Palatino Linotype" w:hAnsi="Palatino Linotype" w:cs="Times New Roman"/>
          <w:sz w:val="24"/>
          <w:szCs w:val="24"/>
        </w:rPr>
        <w:t>p</w:t>
      </w:r>
      <w:r w:rsidR="00122FBF" w:rsidRPr="005B1CCB">
        <w:rPr>
          <w:rFonts w:ascii="Palatino Linotype" w:hAnsi="Palatino Linotype" w:cs="Times New Roman"/>
          <w:sz w:val="24"/>
          <w:szCs w:val="24"/>
        </w:rPr>
        <w:t>G13D DNA</w:t>
      </w:r>
      <w:r w:rsidR="00A5404C">
        <w:rPr>
          <w:rFonts w:ascii="Palatino Linotype" w:hAnsi="Palatino Linotype" w:cs="Times New Roman"/>
          <w:sz w:val="24"/>
          <w:szCs w:val="24"/>
        </w:rPr>
        <w:t>,</w:t>
      </w:r>
      <w:r w:rsidR="007970E0" w:rsidRPr="005B1CCB">
        <w:rPr>
          <w:rFonts w:ascii="Palatino Linotype" w:hAnsi="Palatino Linotype" w:cs="Times New Roman"/>
          <w:sz w:val="24"/>
          <w:szCs w:val="24"/>
        </w:rPr>
        <w:t xml:space="preserve"> all of which are important mutations in cancer progression</w:t>
      </w:r>
      <w:r w:rsidR="00122FBF" w:rsidRPr="005B1CCB">
        <w:rPr>
          <w:rFonts w:ascii="Palatino Linotype" w:hAnsi="Palatino Linotype" w:cs="Times New Roman"/>
          <w:sz w:val="24"/>
          <w:szCs w:val="24"/>
        </w:rPr>
        <w:t xml:space="preserve">. </w:t>
      </w:r>
      <w:r w:rsidR="00A5404C" w:rsidRPr="00A5404C">
        <w:rPr>
          <w:rFonts w:ascii="Palatino Linotype" w:hAnsi="Palatino Linotype" w:cs="Times New Roman"/>
          <w:sz w:val="24"/>
          <w:szCs w:val="24"/>
        </w:rPr>
        <w:t xml:space="preserve">For the amplified samples, 0.027 ng/µl amplicons were detectable while for the non-amplified samples, 0.85 ng/µl cfDNA concentration was detectable using the assay developed. </w:t>
      </w:r>
      <w:r w:rsidR="005107D6" w:rsidRPr="005B1CCB">
        <w:rPr>
          <w:rFonts w:ascii="Palatino Linotype" w:hAnsi="Palatino Linotype" w:cs="Times New Roman"/>
          <w:sz w:val="24"/>
          <w:szCs w:val="24"/>
        </w:rPr>
        <w:t xml:space="preserve">The </w:t>
      </w:r>
      <w:r w:rsidR="008F35AE" w:rsidRPr="005B1CCB">
        <w:rPr>
          <w:rFonts w:ascii="Palatino Linotype" w:hAnsi="Palatino Linotype" w:cs="Times New Roman"/>
          <w:sz w:val="24"/>
          <w:szCs w:val="24"/>
        </w:rPr>
        <w:t>importance</w:t>
      </w:r>
      <w:r w:rsidR="005107D6" w:rsidRPr="005B1CCB">
        <w:rPr>
          <w:rFonts w:ascii="Palatino Linotype" w:hAnsi="Palatino Linotype" w:cs="Times New Roman"/>
          <w:sz w:val="24"/>
          <w:szCs w:val="24"/>
        </w:rPr>
        <w:t xml:space="preserve"> of these findings lie</w:t>
      </w:r>
      <w:r w:rsidR="008F35AE" w:rsidRPr="005B1CCB">
        <w:rPr>
          <w:rFonts w:ascii="Palatino Linotype" w:hAnsi="Palatino Linotype" w:cs="Times New Roman"/>
          <w:sz w:val="24"/>
          <w:szCs w:val="24"/>
        </w:rPr>
        <w:t>s</w:t>
      </w:r>
      <w:r w:rsidR="005107D6" w:rsidRPr="005B1CCB">
        <w:rPr>
          <w:rFonts w:ascii="Palatino Linotype" w:hAnsi="Palatino Linotype" w:cs="Times New Roman"/>
          <w:sz w:val="24"/>
          <w:szCs w:val="24"/>
        </w:rPr>
        <w:t xml:space="preserve"> in the design of future electrochemical assays that are capable of discriminating between c</w:t>
      </w:r>
      <w:r w:rsidR="00BD1F6C" w:rsidRPr="005B1CCB">
        <w:rPr>
          <w:rFonts w:ascii="Palatino Linotype" w:hAnsi="Palatino Linotype" w:cs="Times New Roman"/>
          <w:sz w:val="24"/>
          <w:szCs w:val="24"/>
        </w:rPr>
        <w:t xml:space="preserve">irculating tumour </w:t>
      </w:r>
      <w:r w:rsidR="005107D6" w:rsidRPr="005B1CCB">
        <w:rPr>
          <w:rFonts w:ascii="Palatino Linotype" w:hAnsi="Palatino Linotype" w:cs="Times New Roman"/>
          <w:sz w:val="24"/>
          <w:szCs w:val="24"/>
        </w:rPr>
        <w:t xml:space="preserve">DNA in the blood prior to and post cancer therapy. </w:t>
      </w:r>
      <w:r w:rsidR="005107D6" w:rsidRPr="005B1CCB">
        <w:rPr>
          <w:rFonts w:ascii="Palatino Linotype" w:hAnsi="Palatino Linotype" w:cs="Times New Roman"/>
          <w:sz w:val="24"/>
          <w:szCs w:val="24"/>
        </w:rPr>
        <w:lastRenderedPageBreak/>
        <w:t xml:space="preserve">The </w:t>
      </w:r>
      <w:r w:rsidR="00492F11" w:rsidRPr="005B1CCB">
        <w:rPr>
          <w:rFonts w:ascii="Palatino Linotype" w:hAnsi="Palatino Linotype" w:cs="Times New Roman"/>
          <w:sz w:val="24"/>
          <w:szCs w:val="24"/>
        </w:rPr>
        <w:t>real-world</w:t>
      </w:r>
      <w:r w:rsidR="005107D6" w:rsidRPr="005B1CCB">
        <w:rPr>
          <w:rFonts w:ascii="Palatino Linotype" w:hAnsi="Palatino Linotype" w:cs="Times New Roman"/>
          <w:sz w:val="24"/>
          <w:szCs w:val="24"/>
        </w:rPr>
        <w:t xml:space="preserve"> application of this concept provides </w:t>
      </w:r>
      <w:r w:rsidR="00F27694" w:rsidRPr="005B1CCB">
        <w:rPr>
          <w:rFonts w:ascii="Palatino Linotype" w:hAnsi="Palatino Linotype" w:cs="Times New Roman"/>
          <w:sz w:val="24"/>
          <w:szCs w:val="24"/>
        </w:rPr>
        <w:t xml:space="preserve">not only early diagnostic capability but </w:t>
      </w:r>
      <w:r w:rsidR="005107D6" w:rsidRPr="005B1CCB">
        <w:rPr>
          <w:rFonts w:ascii="Palatino Linotype" w:hAnsi="Palatino Linotype" w:cs="Times New Roman"/>
          <w:sz w:val="24"/>
          <w:szCs w:val="24"/>
        </w:rPr>
        <w:t>an avenue for treatment decisions to be guided in such a way that health care providers can initiate, choose, avoid, alter or cease select</w:t>
      </w:r>
      <w:r w:rsidR="008F35AE" w:rsidRPr="005B1CCB">
        <w:rPr>
          <w:rFonts w:ascii="Palatino Linotype" w:hAnsi="Palatino Linotype" w:cs="Times New Roman"/>
          <w:sz w:val="24"/>
          <w:szCs w:val="24"/>
        </w:rPr>
        <w:t>ed</w:t>
      </w:r>
      <w:r w:rsidR="005107D6" w:rsidRPr="005B1CCB">
        <w:rPr>
          <w:rFonts w:ascii="Palatino Linotype" w:hAnsi="Palatino Linotype" w:cs="Times New Roman"/>
          <w:sz w:val="24"/>
          <w:szCs w:val="24"/>
        </w:rPr>
        <w:t xml:space="preserve"> therapies when caring for patients that have shown symptoms for cancer or who are at risk of having recurrent cancers.</w:t>
      </w:r>
      <w:r w:rsidR="00F62BAD" w:rsidRPr="005B1CCB">
        <w:rPr>
          <w:rFonts w:ascii="Palatino Linotype" w:hAnsi="Palatino Linotype" w:cs="Times New Roman"/>
          <w:sz w:val="24"/>
          <w:szCs w:val="24"/>
        </w:rPr>
        <w:t xml:space="preserve"> </w:t>
      </w:r>
    </w:p>
    <w:p w14:paraId="33C175DC" w14:textId="77777777" w:rsidR="006905E1" w:rsidRPr="005B1CCB" w:rsidRDefault="006905E1" w:rsidP="0052183A">
      <w:pPr>
        <w:spacing w:line="360" w:lineRule="auto"/>
        <w:jc w:val="both"/>
        <w:rPr>
          <w:rFonts w:ascii="Palatino Linotype" w:hAnsi="Palatino Linotype" w:cs="Times New Roman"/>
          <w:sz w:val="24"/>
          <w:szCs w:val="24"/>
        </w:rPr>
      </w:pPr>
    </w:p>
    <w:p w14:paraId="1FD34BCB" w14:textId="77777777" w:rsidR="006905E1" w:rsidRPr="005B1CCB" w:rsidRDefault="006905E1" w:rsidP="0052183A">
      <w:pPr>
        <w:spacing w:line="360" w:lineRule="auto"/>
        <w:jc w:val="both"/>
        <w:rPr>
          <w:rFonts w:ascii="Palatino Linotype" w:hAnsi="Palatino Linotype" w:cs="Times New Roman"/>
          <w:sz w:val="24"/>
          <w:szCs w:val="24"/>
        </w:rPr>
      </w:pPr>
    </w:p>
    <w:p w14:paraId="080F808B" w14:textId="77777777" w:rsidR="006905E1" w:rsidRPr="005B1CCB" w:rsidRDefault="006905E1" w:rsidP="0052183A">
      <w:pPr>
        <w:spacing w:line="360" w:lineRule="auto"/>
        <w:jc w:val="both"/>
        <w:rPr>
          <w:rFonts w:ascii="Palatino Linotype" w:hAnsi="Palatino Linotype" w:cs="Times New Roman"/>
          <w:sz w:val="24"/>
          <w:szCs w:val="24"/>
        </w:rPr>
      </w:pPr>
    </w:p>
    <w:p w14:paraId="55C30726" w14:textId="77777777" w:rsidR="006905E1" w:rsidRPr="005B1CCB" w:rsidRDefault="006905E1" w:rsidP="0052183A">
      <w:pPr>
        <w:spacing w:line="360" w:lineRule="auto"/>
        <w:jc w:val="both"/>
        <w:rPr>
          <w:rFonts w:ascii="Palatino Linotype" w:hAnsi="Palatino Linotype" w:cs="Times New Roman"/>
          <w:sz w:val="24"/>
          <w:szCs w:val="24"/>
        </w:rPr>
      </w:pPr>
    </w:p>
    <w:p w14:paraId="35F60E8D" w14:textId="77777777" w:rsidR="006905E1" w:rsidRPr="005B1CCB" w:rsidRDefault="006905E1" w:rsidP="0052183A">
      <w:pPr>
        <w:spacing w:line="360" w:lineRule="auto"/>
        <w:jc w:val="both"/>
        <w:rPr>
          <w:rFonts w:ascii="Palatino Linotype" w:hAnsi="Palatino Linotype" w:cs="Times New Roman"/>
          <w:sz w:val="24"/>
          <w:szCs w:val="24"/>
        </w:rPr>
      </w:pPr>
    </w:p>
    <w:p w14:paraId="3B991795" w14:textId="77777777" w:rsidR="006905E1" w:rsidRPr="005B1CCB" w:rsidRDefault="006905E1" w:rsidP="0052183A">
      <w:pPr>
        <w:spacing w:line="360" w:lineRule="auto"/>
        <w:jc w:val="both"/>
        <w:rPr>
          <w:rFonts w:ascii="Palatino Linotype" w:hAnsi="Palatino Linotype" w:cs="Times New Roman"/>
          <w:sz w:val="24"/>
          <w:szCs w:val="24"/>
        </w:rPr>
      </w:pPr>
    </w:p>
    <w:p w14:paraId="7B2A793B" w14:textId="77777777" w:rsidR="006905E1" w:rsidRPr="005B1CCB" w:rsidRDefault="006905E1" w:rsidP="0052183A">
      <w:pPr>
        <w:spacing w:line="360" w:lineRule="auto"/>
        <w:jc w:val="both"/>
        <w:rPr>
          <w:rFonts w:ascii="Palatino Linotype" w:hAnsi="Palatino Linotype" w:cs="Times New Roman"/>
          <w:sz w:val="24"/>
          <w:szCs w:val="24"/>
        </w:rPr>
      </w:pPr>
    </w:p>
    <w:p w14:paraId="2779BEED" w14:textId="77777777" w:rsidR="006905E1" w:rsidRPr="005B1CCB" w:rsidRDefault="006905E1" w:rsidP="0052183A">
      <w:pPr>
        <w:spacing w:line="360" w:lineRule="auto"/>
        <w:jc w:val="both"/>
        <w:rPr>
          <w:rFonts w:ascii="Palatino Linotype" w:hAnsi="Palatino Linotype" w:cs="Times New Roman"/>
          <w:sz w:val="24"/>
          <w:szCs w:val="24"/>
        </w:rPr>
      </w:pPr>
    </w:p>
    <w:p w14:paraId="049E528F" w14:textId="77777777" w:rsidR="006905E1" w:rsidRPr="005B1CCB" w:rsidRDefault="006905E1" w:rsidP="0052183A">
      <w:pPr>
        <w:spacing w:line="360" w:lineRule="auto"/>
        <w:jc w:val="both"/>
        <w:rPr>
          <w:rFonts w:ascii="Palatino Linotype" w:hAnsi="Palatino Linotype" w:cs="Times New Roman"/>
          <w:sz w:val="24"/>
          <w:szCs w:val="24"/>
        </w:rPr>
      </w:pPr>
    </w:p>
    <w:p w14:paraId="48D1DDDD" w14:textId="77777777" w:rsidR="006905E1" w:rsidRPr="005B1CCB" w:rsidRDefault="006905E1" w:rsidP="0052183A">
      <w:pPr>
        <w:spacing w:line="360" w:lineRule="auto"/>
        <w:jc w:val="both"/>
        <w:rPr>
          <w:rFonts w:ascii="Palatino Linotype" w:hAnsi="Palatino Linotype" w:cs="Times New Roman"/>
          <w:sz w:val="24"/>
          <w:szCs w:val="24"/>
        </w:rPr>
      </w:pPr>
    </w:p>
    <w:p w14:paraId="36393DAE" w14:textId="77777777" w:rsidR="006905E1" w:rsidRPr="005B1CCB" w:rsidRDefault="006905E1" w:rsidP="0052183A">
      <w:pPr>
        <w:spacing w:line="360" w:lineRule="auto"/>
        <w:jc w:val="both"/>
        <w:rPr>
          <w:rFonts w:ascii="Palatino Linotype" w:hAnsi="Palatino Linotype" w:cs="Times New Roman"/>
          <w:sz w:val="24"/>
          <w:szCs w:val="24"/>
        </w:rPr>
      </w:pPr>
    </w:p>
    <w:p w14:paraId="4D00003F" w14:textId="77777777" w:rsidR="006905E1" w:rsidRPr="005B1CCB" w:rsidRDefault="006905E1" w:rsidP="0052183A">
      <w:pPr>
        <w:spacing w:line="360" w:lineRule="auto"/>
        <w:jc w:val="both"/>
        <w:rPr>
          <w:rFonts w:ascii="Palatino Linotype" w:hAnsi="Palatino Linotype" w:cs="Times New Roman"/>
          <w:sz w:val="24"/>
          <w:szCs w:val="24"/>
        </w:rPr>
      </w:pPr>
    </w:p>
    <w:p w14:paraId="14164808" w14:textId="77777777" w:rsidR="006905E1" w:rsidRPr="005B1CCB" w:rsidRDefault="006905E1" w:rsidP="0052183A">
      <w:pPr>
        <w:spacing w:line="360" w:lineRule="auto"/>
        <w:jc w:val="both"/>
        <w:rPr>
          <w:rFonts w:ascii="Palatino Linotype" w:hAnsi="Palatino Linotype" w:cs="Times New Roman"/>
          <w:sz w:val="24"/>
          <w:szCs w:val="24"/>
        </w:rPr>
      </w:pPr>
    </w:p>
    <w:p w14:paraId="35D617E6" w14:textId="77777777" w:rsidR="006905E1" w:rsidRPr="005B1CCB" w:rsidRDefault="006905E1" w:rsidP="0052183A">
      <w:pPr>
        <w:spacing w:line="360" w:lineRule="auto"/>
        <w:jc w:val="both"/>
        <w:rPr>
          <w:rFonts w:ascii="Palatino Linotype" w:hAnsi="Palatino Linotype" w:cs="Times New Roman"/>
          <w:sz w:val="24"/>
          <w:szCs w:val="24"/>
        </w:rPr>
      </w:pPr>
    </w:p>
    <w:p w14:paraId="715FA6D9" w14:textId="77777777" w:rsidR="006905E1" w:rsidRPr="005B1CCB" w:rsidRDefault="006905E1" w:rsidP="0052183A">
      <w:pPr>
        <w:spacing w:line="360" w:lineRule="auto"/>
        <w:jc w:val="both"/>
        <w:rPr>
          <w:rFonts w:ascii="Palatino Linotype" w:hAnsi="Palatino Linotype" w:cs="Times New Roman"/>
          <w:sz w:val="24"/>
          <w:szCs w:val="24"/>
        </w:rPr>
      </w:pPr>
    </w:p>
    <w:p w14:paraId="7D90B9EE" w14:textId="77777777" w:rsidR="006905E1" w:rsidRPr="005B1CCB" w:rsidRDefault="006905E1" w:rsidP="0052183A">
      <w:pPr>
        <w:spacing w:line="360" w:lineRule="auto"/>
        <w:jc w:val="both"/>
        <w:rPr>
          <w:rFonts w:ascii="Palatino Linotype" w:hAnsi="Palatino Linotype" w:cs="Times New Roman"/>
          <w:sz w:val="24"/>
          <w:szCs w:val="24"/>
        </w:rPr>
      </w:pPr>
    </w:p>
    <w:p w14:paraId="3439DD44" w14:textId="77777777" w:rsidR="00E47315" w:rsidRPr="005B1CCB" w:rsidRDefault="00E47315" w:rsidP="0052183A">
      <w:pPr>
        <w:spacing w:line="360" w:lineRule="auto"/>
        <w:jc w:val="both"/>
        <w:rPr>
          <w:rFonts w:ascii="Palatino Linotype" w:hAnsi="Palatino Linotype" w:cs="Times New Roman"/>
          <w:sz w:val="24"/>
          <w:szCs w:val="24"/>
        </w:rPr>
      </w:pPr>
    </w:p>
    <w:p w14:paraId="2AEA52A5" w14:textId="77777777" w:rsidR="002A4CE4" w:rsidRPr="005B1CCB" w:rsidRDefault="002A4CE4" w:rsidP="002A4CE4">
      <w:pPr>
        <w:pStyle w:val="Heading1"/>
        <w:numPr>
          <w:ilvl w:val="0"/>
          <w:numId w:val="0"/>
        </w:numPr>
        <w:spacing w:line="360" w:lineRule="auto"/>
        <w:ind w:left="432"/>
        <w:jc w:val="center"/>
      </w:pPr>
      <w:bookmarkStart w:id="2" w:name="_Toc84528020"/>
      <w:r w:rsidRPr="005B1CCB">
        <w:lastRenderedPageBreak/>
        <w:t>PUBLICATIONS</w:t>
      </w:r>
      <w:bookmarkEnd w:id="2"/>
    </w:p>
    <w:p w14:paraId="7A714EB7" w14:textId="77777777" w:rsidR="006871FC" w:rsidRPr="005B1CCB" w:rsidRDefault="006871FC" w:rsidP="006871FC">
      <w:pPr>
        <w:pStyle w:val="Heading2"/>
        <w:numPr>
          <w:ilvl w:val="0"/>
          <w:numId w:val="0"/>
        </w:numPr>
        <w:ind w:left="576"/>
      </w:pPr>
      <w:bookmarkStart w:id="3" w:name="_Toc84528021"/>
      <w:r w:rsidRPr="005B1CCB">
        <w:t>Papers arising from work presented</w:t>
      </w:r>
      <w:r w:rsidR="003F1CEF" w:rsidRPr="005B1CCB">
        <w:t xml:space="preserve"> in this thesis</w:t>
      </w:r>
      <w:bookmarkEnd w:id="3"/>
    </w:p>
    <w:p w14:paraId="67E5CD52" w14:textId="77777777" w:rsidR="002A4CE4" w:rsidRPr="005B1CCB" w:rsidRDefault="002A4CE4" w:rsidP="002A4CE4">
      <w:pPr>
        <w:numPr>
          <w:ilvl w:val="0"/>
          <w:numId w:val="21"/>
        </w:numPr>
        <w:tabs>
          <w:tab w:val="left" w:pos="5388"/>
        </w:tabs>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B. Attoye, C. Pou, E. Blair, C. Rinaldi, F. Thomson, M. J. Baker, and D. K. Corrigan, “Developing a Low-Cost, Simple-to-Use Electrochemical Sensor for the Detection of Circulating Tumour DNA in Human Fluids,” </w:t>
      </w:r>
      <w:r w:rsidRPr="005B1CCB">
        <w:rPr>
          <w:rFonts w:ascii="Palatino Linotype" w:hAnsi="Palatino Linotype" w:cs="Times New Roman"/>
          <w:i/>
          <w:iCs/>
          <w:sz w:val="24"/>
          <w:szCs w:val="24"/>
        </w:rPr>
        <w:t>Biosensors</w:t>
      </w:r>
      <w:r w:rsidRPr="005B1CCB">
        <w:rPr>
          <w:rFonts w:ascii="Palatino Linotype" w:hAnsi="Palatino Linotype" w:cs="Times New Roman"/>
          <w:sz w:val="24"/>
          <w:szCs w:val="24"/>
        </w:rPr>
        <w:t xml:space="preserve">, vol. 10, no. 11, p. 156, Oct. 2020. </w:t>
      </w:r>
    </w:p>
    <w:p w14:paraId="7602B2F4" w14:textId="77777777" w:rsidR="002A4CE4" w:rsidRPr="005B1CCB" w:rsidRDefault="002A4CE4" w:rsidP="002A4CE4">
      <w:pPr>
        <w:numPr>
          <w:ilvl w:val="0"/>
          <w:numId w:val="21"/>
        </w:numPr>
        <w:tabs>
          <w:tab w:val="left" w:pos="5388"/>
        </w:tabs>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B. Attoye, M. Baker, C. Pou, F. Thomson, and D. K. Corrigan, “Electrochemical DNA Detection Methods to Measure Circulating Tumour DNA for Enhanced Diagnosis and Monitoring of Cancer,” </w:t>
      </w:r>
      <w:r w:rsidRPr="005B1CCB">
        <w:rPr>
          <w:rFonts w:ascii="Palatino Linotype" w:hAnsi="Palatino Linotype" w:cs="Times New Roman"/>
          <w:i/>
          <w:iCs/>
          <w:sz w:val="24"/>
          <w:szCs w:val="24"/>
        </w:rPr>
        <w:t>Proceedings</w:t>
      </w:r>
      <w:r w:rsidRPr="005B1CCB">
        <w:rPr>
          <w:rFonts w:ascii="Palatino Linotype" w:hAnsi="Palatino Linotype" w:cs="Times New Roman"/>
          <w:sz w:val="24"/>
          <w:szCs w:val="24"/>
        </w:rPr>
        <w:t>, vol. 60, no. 1, p. 15, Nov. 2020.</w:t>
      </w:r>
    </w:p>
    <w:p w14:paraId="6098379F" w14:textId="77777777" w:rsidR="00DB1183" w:rsidRPr="005B1CCB" w:rsidRDefault="00DB1183" w:rsidP="00513269">
      <w:pPr>
        <w:pStyle w:val="ListParagraph"/>
        <w:numPr>
          <w:ilvl w:val="0"/>
          <w:numId w:val="29"/>
        </w:numPr>
        <w:tabs>
          <w:tab w:val="left" w:pos="5388"/>
        </w:tabs>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Presented at ‘The 1st International Electronic Conference on Biosensors’</w:t>
      </w:r>
      <w:r w:rsidR="00513269" w:rsidRPr="005B1CCB">
        <w:rPr>
          <w:rFonts w:ascii="Palatino Linotype" w:hAnsi="Palatino Linotype" w:cs="Times New Roman"/>
          <w:sz w:val="24"/>
          <w:szCs w:val="24"/>
        </w:rPr>
        <w:t xml:space="preserve"> which took place between </w:t>
      </w:r>
      <w:r w:rsidRPr="005B1CCB">
        <w:rPr>
          <w:rFonts w:ascii="Palatino Linotype" w:hAnsi="Palatino Linotype" w:cs="Times New Roman"/>
          <w:sz w:val="24"/>
          <w:szCs w:val="24"/>
        </w:rPr>
        <w:t>02/11/2020 - 17/11/2020</w:t>
      </w:r>
    </w:p>
    <w:p w14:paraId="4A9AA7B4" w14:textId="77777777" w:rsidR="002A4CE4" w:rsidRPr="005B1CCB" w:rsidRDefault="002A4CE4" w:rsidP="002A4CE4">
      <w:pPr>
        <w:numPr>
          <w:ilvl w:val="0"/>
          <w:numId w:val="21"/>
        </w:numPr>
        <w:tabs>
          <w:tab w:val="left" w:pos="5388"/>
        </w:tabs>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B. Attoye, M. J. Baker, F. Thomson, C. Pou, and D. K. Corrigan, “Optimisation of an Electrochemical DNA Sensor for Measuring KRAS G12D and G13D Point Mutations in Different Tumour Types,” </w:t>
      </w:r>
      <w:r w:rsidRPr="005B1CCB">
        <w:rPr>
          <w:rFonts w:ascii="Palatino Linotype" w:hAnsi="Palatino Linotype" w:cs="Times New Roman"/>
          <w:i/>
          <w:iCs/>
          <w:sz w:val="24"/>
          <w:szCs w:val="24"/>
        </w:rPr>
        <w:t>Biosensors</w:t>
      </w:r>
      <w:r w:rsidRPr="005B1CCB">
        <w:rPr>
          <w:rFonts w:ascii="Palatino Linotype" w:hAnsi="Palatino Linotype" w:cs="Times New Roman"/>
          <w:sz w:val="24"/>
          <w:szCs w:val="24"/>
        </w:rPr>
        <w:t>, vol. 11, no. 2, p. 42, Feb. 2021.</w:t>
      </w:r>
    </w:p>
    <w:p w14:paraId="2A206F2C" w14:textId="77777777" w:rsidR="006871FC" w:rsidRPr="005B1CCB" w:rsidRDefault="006871FC" w:rsidP="006871FC">
      <w:pPr>
        <w:pStyle w:val="Heading2"/>
        <w:numPr>
          <w:ilvl w:val="0"/>
          <w:numId w:val="0"/>
        </w:numPr>
        <w:ind w:left="576"/>
      </w:pPr>
      <w:bookmarkStart w:id="4" w:name="_Toc84528022"/>
      <w:r w:rsidRPr="005B1CCB">
        <w:t>Papers arising from work not presented</w:t>
      </w:r>
      <w:r w:rsidR="00D25CBC" w:rsidRPr="005B1CCB">
        <w:t xml:space="preserve"> in this thesis</w:t>
      </w:r>
      <w:bookmarkEnd w:id="4"/>
    </w:p>
    <w:p w14:paraId="3955A91A" w14:textId="77777777" w:rsidR="00485875" w:rsidRPr="005B1CCB" w:rsidRDefault="00485875" w:rsidP="00485875">
      <w:pPr>
        <w:pStyle w:val="ListParagraph"/>
        <w:numPr>
          <w:ilvl w:val="0"/>
          <w:numId w:val="30"/>
        </w:numPr>
        <w:tabs>
          <w:tab w:val="left" w:pos="5388"/>
        </w:tabs>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L. Crossley, B. Attoye, V. Vezza, E. Blair, D. K. Corrigan, and S. Hannah, “Establishing a Field-Effect Transistor Sensor for the Detection of Mutations in the Tumour Protein 53 Gene </w:t>
      </w:r>
      <w:r w:rsidR="00050478" w:rsidRPr="005B1CCB">
        <w:rPr>
          <w:rFonts w:ascii="Palatino Linotype" w:hAnsi="Palatino Linotype" w:cs="Times New Roman"/>
          <w:sz w:val="24"/>
          <w:szCs w:val="24"/>
        </w:rPr>
        <w:t>(TP53</w:t>
      </w:r>
      <w:r w:rsidRPr="005B1CCB">
        <w:rPr>
          <w:rFonts w:ascii="Palatino Linotype" w:hAnsi="Palatino Linotype" w:cs="Times New Roman"/>
          <w:sz w:val="24"/>
          <w:szCs w:val="24"/>
        </w:rPr>
        <w:t xml:space="preserve">)— An Electrochemical Optimisation Approach,” 2019. </w:t>
      </w:r>
      <w:r w:rsidRPr="005B1CCB">
        <w:rPr>
          <w:rFonts w:ascii="Palatino Linotype" w:hAnsi="Palatino Linotype" w:cs="Times New Roman"/>
          <w:i/>
          <w:sz w:val="24"/>
          <w:szCs w:val="24"/>
        </w:rPr>
        <w:t>Biosensors</w:t>
      </w:r>
      <w:r w:rsidRPr="005B1CCB">
        <w:rPr>
          <w:rFonts w:ascii="Palatino Linotype" w:hAnsi="Palatino Linotype" w:cs="Times New Roman"/>
          <w:sz w:val="24"/>
          <w:szCs w:val="24"/>
        </w:rPr>
        <w:t>, vol. 9, no. 4, p. 141, Dec. 2019.</w:t>
      </w:r>
    </w:p>
    <w:p w14:paraId="2645142D" w14:textId="77777777" w:rsidR="00AD3403" w:rsidRPr="005B1CCB" w:rsidRDefault="00AD3403" w:rsidP="0052183A">
      <w:pPr>
        <w:tabs>
          <w:tab w:val="left" w:pos="5388"/>
        </w:tabs>
        <w:spacing w:line="360" w:lineRule="auto"/>
        <w:jc w:val="both"/>
        <w:rPr>
          <w:rFonts w:ascii="Palatino Linotype" w:hAnsi="Palatino Linotype" w:cs="Times New Roman"/>
          <w:b/>
        </w:rPr>
      </w:pPr>
    </w:p>
    <w:p w14:paraId="4323D1FF" w14:textId="77777777" w:rsidR="007F5686" w:rsidRPr="005B1CCB" w:rsidRDefault="007F5686" w:rsidP="0052183A">
      <w:pPr>
        <w:tabs>
          <w:tab w:val="left" w:pos="5388"/>
        </w:tabs>
        <w:spacing w:line="360" w:lineRule="auto"/>
        <w:jc w:val="both"/>
        <w:rPr>
          <w:rFonts w:ascii="Palatino Linotype" w:hAnsi="Palatino Linotype" w:cs="Times New Roman"/>
          <w:b/>
        </w:rPr>
      </w:pPr>
    </w:p>
    <w:p w14:paraId="503C00B2" w14:textId="77777777" w:rsidR="007F5686" w:rsidRPr="005B1CCB" w:rsidRDefault="007F5686" w:rsidP="0052183A">
      <w:pPr>
        <w:tabs>
          <w:tab w:val="left" w:pos="5388"/>
        </w:tabs>
        <w:spacing w:line="360" w:lineRule="auto"/>
        <w:jc w:val="both"/>
        <w:rPr>
          <w:rFonts w:ascii="Palatino Linotype" w:hAnsi="Palatino Linotype" w:cs="Times New Roman"/>
          <w:b/>
        </w:rPr>
      </w:pPr>
    </w:p>
    <w:p w14:paraId="28F39D6F" w14:textId="77777777" w:rsidR="007F5686" w:rsidRPr="005B1CCB" w:rsidRDefault="007F5686" w:rsidP="0052183A">
      <w:pPr>
        <w:tabs>
          <w:tab w:val="left" w:pos="5388"/>
        </w:tabs>
        <w:spacing w:line="360" w:lineRule="auto"/>
        <w:jc w:val="both"/>
        <w:rPr>
          <w:rFonts w:ascii="Palatino Linotype" w:hAnsi="Palatino Linotype" w:cs="Times New Roman"/>
          <w:b/>
        </w:rPr>
      </w:pPr>
    </w:p>
    <w:p w14:paraId="24EB6CF7" w14:textId="77777777" w:rsidR="007F5686" w:rsidRPr="005B1CCB" w:rsidRDefault="007F5686" w:rsidP="0052183A">
      <w:pPr>
        <w:tabs>
          <w:tab w:val="left" w:pos="5388"/>
        </w:tabs>
        <w:spacing w:line="360" w:lineRule="auto"/>
        <w:jc w:val="both"/>
        <w:rPr>
          <w:rFonts w:ascii="Palatino Linotype" w:hAnsi="Palatino Linotype" w:cs="Times New Roman"/>
          <w:b/>
        </w:rPr>
      </w:pPr>
    </w:p>
    <w:p w14:paraId="76BFF7B3" w14:textId="77777777" w:rsidR="007F5686" w:rsidRPr="005B1CCB" w:rsidRDefault="007F5686" w:rsidP="0052183A">
      <w:pPr>
        <w:tabs>
          <w:tab w:val="left" w:pos="5388"/>
        </w:tabs>
        <w:spacing w:line="360" w:lineRule="auto"/>
        <w:jc w:val="both"/>
        <w:rPr>
          <w:rFonts w:ascii="Palatino Linotype" w:hAnsi="Palatino Linotype" w:cs="Times New Roman"/>
          <w:b/>
        </w:rPr>
      </w:pPr>
    </w:p>
    <w:p w14:paraId="3D8E822B" w14:textId="77777777" w:rsidR="00232E02" w:rsidRPr="005B1CCB" w:rsidRDefault="00232E02" w:rsidP="0052183A">
      <w:pPr>
        <w:tabs>
          <w:tab w:val="left" w:pos="5388"/>
        </w:tabs>
        <w:spacing w:line="360" w:lineRule="auto"/>
        <w:jc w:val="both"/>
        <w:rPr>
          <w:rFonts w:ascii="Palatino Linotype" w:hAnsi="Palatino Linotype" w:cs="Times New Roman"/>
          <w:b/>
        </w:rPr>
      </w:pPr>
    </w:p>
    <w:p w14:paraId="1F247414" w14:textId="77777777" w:rsidR="00232E02" w:rsidRPr="005B1CCB" w:rsidRDefault="00232E02" w:rsidP="0052183A">
      <w:pPr>
        <w:tabs>
          <w:tab w:val="left" w:pos="5388"/>
        </w:tabs>
        <w:spacing w:line="360" w:lineRule="auto"/>
        <w:jc w:val="both"/>
        <w:rPr>
          <w:rFonts w:ascii="Palatino Linotype" w:hAnsi="Palatino Linotype" w:cs="Times New Roman"/>
          <w:b/>
        </w:rPr>
      </w:pPr>
    </w:p>
    <w:p w14:paraId="5485EF8B" w14:textId="77777777" w:rsidR="00232E02" w:rsidRPr="005B1CCB" w:rsidRDefault="00232E02" w:rsidP="0052183A">
      <w:pPr>
        <w:tabs>
          <w:tab w:val="left" w:pos="5388"/>
        </w:tabs>
        <w:spacing w:line="360" w:lineRule="auto"/>
        <w:jc w:val="both"/>
        <w:rPr>
          <w:rFonts w:ascii="Palatino Linotype" w:hAnsi="Palatino Linotype" w:cs="Times New Roman"/>
          <w:b/>
        </w:rPr>
      </w:pPr>
    </w:p>
    <w:p w14:paraId="31437DE4" w14:textId="77777777" w:rsidR="00232E02" w:rsidRPr="005B1CCB" w:rsidRDefault="00232E02" w:rsidP="0052183A">
      <w:pPr>
        <w:tabs>
          <w:tab w:val="left" w:pos="5388"/>
        </w:tabs>
        <w:spacing w:line="360" w:lineRule="auto"/>
        <w:jc w:val="both"/>
        <w:rPr>
          <w:rFonts w:ascii="Palatino Linotype" w:hAnsi="Palatino Linotype" w:cs="Times New Roman"/>
          <w:b/>
        </w:rPr>
      </w:pPr>
    </w:p>
    <w:p w14:paraId="054157DE" w14:textId="77777777" w:rsidR="00AF2BA0" w:rsidRPr="005B1CCB" w:rsidRDefault="0054607C" w:rsidP="00AC47C1">
      <w:pPr>
        <w:pStyle w:val="Heading1"/>
        <w:numPr>
          <w:ilvl w:val="0"/>
          <w:numId w:val="0"/>
        </w:numPr>
        <w:spacing w:line="360" w:lineRule="auto"/>
        <w:ind w:left="432"/>
        <w:jc w:val="center"/>
        <w:rPr>
          <w:rFonts w:ascii="Palatino Linotype" w:hAnsi="Palatino Linotype"/>
        </w:rPr>
      </w:pPr>
      <w:bookmarkStart w:id="5" w:name="_Toc84528023"/>
      <w:r w:rsidRPr="005B1CCB">
        <w:rPr>
          <w:rFonts w:ascii="Palatino Linotype" w:hAnsi="Palatino Linotype"/>
        </w:rPr>
        <w:t>ACKNOWLEDGEMENTS</w:t>
      </w:r>
      <w:bookmarkEnd w:id="5"/>
    </w:p>
    <w:p w14:paraId="36D4906D" w14:textId="460FDAD8" w:rsidR="00F47799" w:rsidRPr="005B1CCB" w:rsidRDefault="00492F11" w:rsidP="00F47799">
      <w:pPr>
        <w:spacing w:line="360" w:lineRule="auto"/>
        <w:jc w:val="both"/>
        <w:rPr>
          <w:rFonts w:ascii="Palatino Linotype" w:hAnsi="Palatino Linotype" w:cs="Times New Roman"/>
          <w:sz w:val="24"/>
          <w:szCs w:val="24"/>
        </w:rPr>
      </w:pPr>
      <w:r>
        <w:rPr>
          <w:rFonts w:ascii="Palatino Linotype" w:hAnsi="Palatino Linotype" w:cs="Times New Roman"/>
          <w:sz w:val="24"/>
          <w:szCs w:val="24"/>
        </w:rPr>
        <w:t xml:space="preserve">To God be ALL the glory. </w:t>
      </w:r>
      <w:r w:rsidR="00F47799" w:rsidRPr="005B1CCB">
        <w:rPr>
          <w:rFonts w:ascii="Palatino Linotype" w:hAnsi="Palatino Linotype" w:cs="Times New Roman"/>
          <w:sz w:val="24"/>
          <w:szCs w:val="24"/>
        </w:rPr>
        <w:t>I am</w:t>
      </w:r>
      <w:r w:rsidR="0089658F" w:rsidRPr="005B1CCB">
        <w:rPr>
          <w:rFonts w:ascii="Palatino Linotype" w:hAnsi="Palatino Linotype" w:cs="Times New Roman"/>
          <w:sz w:val="24"/>
          <w:szCs w:val="24"/>
        </w:rPr>
        <w:t xml:space="preserve"> grateful to my husband</w:t>
      </w:r>
      <w:r>
        <w:rPr>
          <w:rFonts w:ascii="Palatino Linotype" w:hAnsi="Palatino Linotype" w:cs="Times New Roman"/>
          <w:sz w:val="24"/>
          <w:szCs w:val="24"/>
        </w:rPr>
        <w:t>, Samuel Attoye,</w:t>
      </w:r>
      <w:r w:rsidR="0089658F" w:rsidRPr="005B1CCB">
        <w:rPr>
          <w:rFonts w:ascii="Palatino Linotype" w:hAnsi="Palatino Linotype" w:cs="Times New Roman"/>
          <w:sz w:val="24"/>
          <w:szCs w:val="24"/>
        </w:rPr>
        <w:t xml:space="preserve"> </w:t>
      </w:r>
      <w:r w:rsidR="00F47799" w:rsidRPr="005B1CCB">
        <w:rPr>
          <w:rFonts w:ascii="Palatino Linotype" w:hAnsi="Palatino Linotype" w:cs="Times New Roman"/>
          <w:sz w:val="24"/>
          <w:szCs w:val="24"/>
        </w:rPr>
        <w:t>for his encouragement</w:t>
      </w:r>
      <w:r w:rsidR="00EC59BB" w:rsidRPr="005B1CCB">
        <w:rPr>
          <w:rFonts w:ascii="Palatino Linotype" w:hAnsi="Palatino Linotype" w:cs="Times New Roman"/>
          <w:sz w:val="24"/>
          <w:szCs w:val="24"/>
        </w:rPr>
        <w:t xml:space="preserve"> and prayers</w:t>
      </w:r>
      <w:r w:rsidR="00F47799" w:rsidRPr="005B1CCB">
        <w:rPr>
          <w:rFonts w:ascii="Palatino Linotype" w:hAnsi="Palatino Linotype" w:cs="Times New Roman"/>
          <w:sz w:val="24"/>
          <w:szCs w:val="24"/>
        </w:rPr>
        <w:t>, my daughter</w:t>
      </w:r>
      <w:r w:rsidR="00D74B3F" w:rsidRPr="005B1CCB">
        <w:rPr>
          <w:rFonts w:ascii="Palatino Linotype" w:hAnsi="Palatino Linotype" w:cs="Times New Roman"/>
          <w:sz w:val="24"/>
          <w:szCs w:val="24"/>
        </w:rPr>
        <w:t>s</w:t>
      </w:r>
      <w:r w:rsidR="00FF63AB">
        <w:rPr>
          <w:rFonts w:ascii="Palatino Linotype" w:hAnsi="Palatino Linotype" w:cs="Times New Roman"/>
          <w:sz w:val="24"/>
          <w:szCs w:val="24"/>
        </w:rPr>
        <w:t xml:space="preserve"> Christabel and Arabel,</w:t>
      </w:r>
      <w:r w:rsidR="00F47799" w:rsidRPr="005B1CCB">
        <w:rPr>
          <w:rFonts w:ascii="Palatino Linotype" w:hAnsi="Palatino Linotype" w:cs="Times New Roman"/>
          <w:sz w:val="24"/>
          <w:szCs w:val="24"/>
        </w:rPr>
        <w:t xml:space="preserve"> for bringing </w:t>
      </w:r>
      <w:r>
        <w:rPr>
          <w:rFonts w:ascii="Palatino Linotype" w:hAnsi="Palatino Linotype" w:cs="Times New Roman"/>
          <w:sz w:val="24"/>
          <w:szCs w:val="24"/>
        </w:rPr>
        <w:t xml:space="preserve">me </w:t>
      </w:r>
      <w:r w:rsidR="00F47799" w:rsidRPr="005B1CCB">
        <w:rPr>
          <w:rFonts w:ascii="Palatino Linotype" w:hAnsi="Palatino Linotype" w:cs="Times New Roman"/>
          <w:sz w:val="24"/>
          <w:szCs w:val="24"/>
        </w:rPr>
        <w:t xml:space="preserve">so much </w:t>
      </w:r>
      <w:r>
        <w:rPr>
          <w:rFonts w:ascii="Palatino Linotype" w:hAnsi="Palatino Linotype" w:cs="Times New Roman"/>
          <w:sz w:val="24"/>
          <w:szCs w:val="24"/>
        </w:rPr>
        <w:t>joy and</w:t>
      </w:r>
      <w:r w:rsidR="00F47799" w:rsidRPr="005B1CCB">
        <w:rPr>
          <w:rFonts w:ascii="Palatino Linotype" w:hAnsi="Palatino Linotype" w:cs="Times New Roman"/>
          <w:sz w:val="24"/>
          <w:szCs w:val="24"/>
        </w:rPr>
        <w:t xml:space="preserve"> love, </w:t>
      </w:r>
      <w:r w:rsidR="00D26275" w:rsidRPr="005B1CCB">
        <w:rPr>
          <w:rFonts w:ascii="Palatino Linotype" w:hAnsi="Palatino Linotype" w:cs="Times New Roman"/>
          <w:sz w:val="24"/>
          <w:szCs w:val="24"/>
        </w:rPr>
        <w:t xml:space="preserve">my </w:t>
      </w:r>
      <w:r w:rsidR="00FF63AB">
        <w:rPr>
          <w:rFonts w:ascii="Palatino Linotype" w:hAnsi="Palatino Linotype" w:cs="Times New Roman"/>
          <w:sz w:val="24"/>
          <w:szCs w:val="24"/>
        </w:rPr>
        <w:t>d</w:t>
      </w:r>
      <w:r w:rsidR="00D26275" w:rsidRPr="005B1CCB">
        <w:rPr>
          <w:rFonts w:ascii="Palatino Linotype" w:hAnsi="Palatino Linotype" w:cs="Times New Roman"/>
          <w:sz w:val="24"/>
          <w:szCs w:val="24"/>
        </w:rPr>
        <w:t xml:space="preserve">ad, Mr Dada Omolaiye </w:t>
      </w:r>
      <w:r w:rsidR="00F47799" w:rsidRPr="005B1CCB">
        <w:rPr>
          <w:rFonts w:ascii="Palatino Linotype" w:hAnsi="Palatino Linotype" w:cs="Times New Roman"/>
          <w:sz w:val="24"/>
          <w:szCs w:val="24"/>
        </w:rPr>
        <w:t xml:space="preserve">and my </w:t>
      </w:r>
      <w:r w:rsidR="00223760" w:rsidRPr="005B1CCB">
        <w:rPr>
          <w:rFonts w:ascii="Palatino Linotype" w:hAnsi="Palatino Linotype" w:cs="Times New Roman"/>
          <w:sz w:val="24"/>
          <w:szCs w:val="24"/>
        </w:rPr>
        <w:t>other</w:t>
      </w:r>
      <w:r w:rsidR="00F47799" w:rsidRPr="005B1CCB">
        <w:rPr>
          <w:rFonts w:ascii="Palatino Linotype" w:hAnsi="Palatino Linotype" w:cs="Times New Roman"/>
          <w:sz w:val="24"/>
          <w:szCs w:val="24"/>
        </w:rPr>
        <w:t xml:space="preserve"> family members</w:t>
      </w:r>
      <w:r w:rsidR="00ED5495" w:rsidRPr="005B1CCB">
        <w:rPr>
          <w:rFonts w:ascii="Palatino Linotype" w:hAnsi="Palatino Linotype" w:cs="Times New Roman"/>
          <w:sz w:val="24"/>
          <w:szCs w:val="24"/>
        </w:rPr>
        <w:t xml:space="preserve"> and friends</w:t>
      </w:r>
      <w:r w:rsidR="00F47799" w:rsidRPr="005B1CCB">
        <w:rPr>
          <w:rFonts w:ascii="Palatino Linotype" w:hAnsi="Palatino Linotype" w:cs="Times New Roman"/>
          <w:sz w:val="24"/>
          <w:szCs w:val="24"/>
        </w:rPr>
        <w:t xml:space="preserve"> for all their support through the years.</w:t>
      </w:r>
    </w:p>
    <w:p w14:paraId="15CEF82C" w14:textId="77777777" w:rsidR="00492F11" w:rsidRDefault="00492F11" w:rsidP="00492F11">
      <w:pPr>
        <w:spacing w:line="360" w:lineRule="auto"/>
        <w:jc w:val="both"/>
        <w:rPr>
          <w:rFonts w:ascii="Palatino Linotype" w:hAnsi="Palatino Linotype" w:cs="Times New Roman"/>
          <w:sz w:val="24"/>
          <w:szCs w:val="24"/>
        </w:rPr>
      </w:pPr>
      <w:r>
        <w:rPr>
          <w:rFonts w:ascii="Palatino Linotype" w:hAnsi="Palatino Linotype" w:cs="Times New Roman"/>
          <w:sz w:val="24"/>
          <w:szCs w:val="24"/>
        </w:rPr>
        <w:t>My</w:t>
      </w:r>
      <w:r w:rsidRPr="005B1CCB">
        <w:rPr>
          <w:rFonts w:ascii="Palatino Linotype" w:hAnsi="Palatino Linotype" w:cs="Times New Roman"/>
          <w:sz w:val="24"/>
          <w:szCs w:val="24"/>
        </w:rPr>
        <w:t xml:space="preserve"> gratitude </w:t>
      </w:r>
      <w:r>
        <w:rPr>
          <w:rFonts w:ascii="Palatino Linotype" w:hAnsi="Palatino Linotype" w:cs="Times New Roman"/>
          <w:sz w:val="24"/>
          <w:szCs w:val="24"/>
        </w:rPr>
        <w:t xml:space="preserve">goes </w:t>
      </w:r>
      <w:r w:rsidRPr="005B1CCB">
        <w:rPr>
          <w:rFonts w:ascii="Palatino Linotype" w:hAnsi="Palatino Linotype" w:cs="Times New Roman"/>
          <w:sz w:val="24"/>
          <w:szCs w:val="24"/>
        </w:rPr>
        <w:t xml:space="preserve">to my supervisors, Dr Damion Corrigan and Dr Matthew Baker for their guidance, help, advice and support throughout this study. I am grateful to Dr Fiona Thomson and Dr Chantevy Pou for their inputs and for supplying the representative clinical samples used in this research. They are supported by CRUK and ECMC core funding. </w:t>
      </w:r>
    </w:p>
    <w:p w14:paraId="0ABE8FFD" w14:textId="29D49C27" w:rsidR="00492F11" w:rsidRPr="005B1CCB" w:rsidRDefault="00492F11" w:rsidP="00492F11">
      <w:pPr>
        <w:spacing w:line="360" w:lineRule="auto"/>
        <w:jc w:val="both"/>
        <w:rPr>
          <w:rFonts w:ascii="Palatino Linotype" w:hAnsi="Palatino Linotype" w:cs="Times New Roman"/>
          <w:sz w:val="24"/>
          <w:szCs w:val="24"/>
        </w:rPr>
      </w:pPr>
      <w:r>
        <w:rPr>
          <w:rFonts w:ascii="Palatino Linotype" w:hAnsi="Palatino Linotype" w:cs="Times New Roman"/>
          <w:sz w:val="24"/>
          <w:szCs w:val="24"/>
        </w:rPr>
        <w:t xml:space="preserve">A special gratitude also </w:t>
      </w:r>
      <w:r w:rsidRPr="005B1CCB">
        <w:rPr>
          <w:rFonts w:ascii="Palatino Linotype" w:hAnsi="Palatino Linotype" w:cs="Times New Roman"/>
          <w:sz w:val="24"/>
          <w:szCs w:val="24"/>
        </w:rPr>
        <w:t>goes to Dr Damion Corrigan</w:t>
      </w:r>
      <w:r w:rsidR="00EB2CD2">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Dr Adrian Butterworth </w:t>
      </w:r>
      <w:r w:rsidR="00EB2CD2">
        <w:rPr>
          <w:rFonts w:ascii="Palatino Linotype" w:hAnsi="Palatino Linotype" w:cs="Times New Roman"/>
          <w:sz w:val="24"/>
          <w:szCs w:val="24"/>
        </w:rPr>
        <w:t xml:space="preserve">and Hassan Sada </w:t>
      </w:r>
      <w:r w:rsidRPr="005B1CCB">
        <w:rPr>
          <w:rFonts w:ascii="Palatino Linotype" w:hAnsi="Palatino Linotype" w:cs="Times New Roman"/>
          <w:sz w:val="24"/>
          <w:szCs w:val="24"/>
        </w:rPr>
        <w:t>for helping me proof-read this thesis.</w:t>
      </w:r>
    </w:p>
    <w:p w14:paraId="13B588F5" w14:textId="558057F6" w:rsidR="00AF2BA0" w:rsidRPr="005B1CCB" w:rsidRDefault="00492F11" w:rsidP="0052183A">
      <w:pPr>
        <w:spacing w:line="360" w:lineRule="auto"/>
        <w:jc w:val="both"/>
        <w:rPr>
          <w:rFonts w:ascii="Palatino Linotype" w:hAnsi="Palatino Linotype" w:cs="Times New Roman"/>
          <w:sz w:val="24"/>
          <w:szCs w:val="24"/>
        </w:rPr>
      </w:pPr>
      <w:r>
        <w:rPr>
          <w:rFonts w:ascii="Palatino Linotype" w:hAnsi="Palatino Linotype" w:cs="Times New Roman"/>
          <w:sz w:val="24"/>
          <w:szCs w:val="24"/>
        </w:rPr>
        <w:t>I acknowledge the</w:t>
      </w:r>
      <w:r w:rsidRPr="005B1CCB">
        <w:rPr>
          <w:rFonts w:ascii="Palatino Linotype" w:hAnsi="Palatino Linotype" w:cs="Times New Roman"/>
          <w:sz w:val="24"/>
          <w:szCs w:val="24"/>
        </w:rPr>
        <w:t xml:space="preserve"> CDT Medical Devices at the University of Strathclyde through which the grant </w:t>
      </w:r>
      <w:r>
        <w:rPr>
          <w:rFonts w:ascii="Palatino Linotype" w:hAnsi="Palatino Linotype" w:cs="Times New Roman"/>
          <w:sz w:val="24"/>
          <w:szCs w:val="24"/>
        </w:rPr>
        <w:t xml:space="preserve">for this research </w:t>
      </w:r>
      <w:r w:rsidRPr="005B1CCB">
        <w:rPr>
          <w:rFonts w:ascii="Palatino Linotype" w:hAnsi="Palatino Linotype" w:cs="Times New Roman"/>
          <w:sz w:val="24"/>
          <w:szCs w:val="24"/>
        </w:rPr>
        <w:t xml:space="preserve">was received. </w:t>
      </w:r>
      <w:r w:rsidR="008C3743" w:rsidRPr="005B1CCB">
        <w:rPr>
          <w:rFonts w:ascii="Palatino Linotype" w:hAnsi="Palatino Linotype" w:cs="Times New Roman"/>
          <w:sz w:val="24"/>
          <w:szCs w:val="24"/>
        </w:rPr>
        <w:t xml:space="preserve">This research was sponsored and supported by EPSRC (grant reference number EP/L015595/1). </w:t>
      </w:r>
    </w:p>
    <w:p w14:paraId="47E9D3ED" w14:textId="77777777" w:rsidR="00AF2BA0" w:rsidRPr="005B1CCB" w:rsidRDefault="00AF2BA0" w:rsidP="0052183A">
      <w:pPr>
        <w:spacing w:line="360" w:lineRule="auto"/>
        <w:rPr>
          <w:rFonts w:ascii="Palatino Linotype" w:hAnsi="Palatino Linotype" w:cs="Times New Roman"/>
        </w:rPr>
      </w:pPr>
    </w:p>
    <w:p w14:paraId="70740289" w14:textId="77777777" w:rsidR="00AF2BA0" w:rsidRPr="005B1CCB" w:rsidRDefault="00AF2BA0" w:rsidP="0052183A">
      <w:pPr>
        <w:spacing w:line="360" w:lineRule="auto"/>
        <w:rPr>
          <w:rFonts w:ascii="Palatino Linotype" w:hAnsi="Palatino Linotype" w:cs="Times New Roman"/>
        </w:rPr>
      </w:pPr>
    </w:p>
    <w:p w14:paraId="2D924100" w14:textId="77777777" w:rsidR="00AF2BA0" w:rsidRPr="005B1CCB" w:rsidRDefault="00AF2BA0" w:rsidP="0052183A">
      <w:pPr>
        <w:spacing w:line="360" w:lineRule="auto"/>
        <w:rPr>
          <w:rFonts w:ascii="Palatino Linotype" w:hAnsi="Palatino Linotype" w:cs="Times New Roman"/>
        </w:rPr>
      </w:pPr>
    </w:p>
    <w:p w14:paraId="5ED460F5" w14:textId="77777777" w:rsidR="00AF2BA0" w:rsidRPr="005B1CCB" w:rsidRDefault="00AF2BA0" w:rsidP="0052183A">
      <w:pPr>
        <w:spacing w:line="360" w:lineRule="auto"/>
        <w:rPr>
          <w:rFonts w:ascii="Palatino Linotype" w:hAnsi="Palatino Linotype" w:cs="Times New Roman"/>
        </w:rPr>
      </w:pPr>
    </w:p>
    <w:p w14:paraId="14988D8B" w14:textId="77777777" w:rsidR="00AF2BA0" w:rsidRPr="005B1CCB" w:rsidRDefault="00AF2BA0" w:rsidP="0052183A">
      <w:pPr>
        <w:spacing w:line="360" w:lineRule="auto"/>
        <w:rPr>
          <w:rFonts w:ascii="Palatino Linotype" w:hAnsi="Palatino Linotype" w:cs="Times New Roman"/>
        </w:rPr>
      </w:pPr>
    </w:p>
    <w:p w14:paraId="3B7ACE9C" w14:textId="77777777" w:rsidR="00EE0EBD" w:rsidRPr="005B1CCB" w:rsidRDefault="00EE0EBD" w:rsidP="00045CD0">
      <w:pPr>
        <w:pStyle w:val="Heading1"/>
        <w:numPr>
          <w:ilvl w:val="0"/>
          <w:numId w:val="0"/>
        </w:numPr>
        <w:spacing w:line="360" w:lineRule="auto"/>
        <w:ind w:left="432"/>
        <w:rPr>
          <w:rFonts w:ascii="Palatino Linotype" w:hAnsi="Palatino Linotype"/>
        </w:rPr>
      </w:pPr>
      <w:bookmarkStart w:id="6" w:name="_Toc84528024"/>
      <w:r w:rsidRPr="005B1CCB">
        <w:rPr>
          <w:rFonts w:ascii="Palatino Linotype" w:hAnsi="Palatino Linotype"/>
        </w:rPr>
        <w:lastRenderedPageBreak/>
        <w:t>LIST OF TABLE</w:t>
      </w:r>
      <w:r w:rsidR="00F670C2" w:rsidRPr="005B1CCB">
        <w:rPr>
          <w:rFonts w:ascii="Palatino Linotype" w:hAnsi="Palatino Linotype"/>
        </w:rPr>
        <w:t>S</w:t>
      </w:r>
      <w:bookmarkEnd w:id="6"/>
    </w:p>
    <w:p w14:paraId="3DFE3168" w14:textId="77777777" w:rsidR="00C17D56" w:rsidRDefault="00C17D56" w:rsidP="00701B05">
      <w:pPr>
        <w:pStyle w:val="TableofFigures"/>
        <w:tabs>
          <w:tab w:val="right" w:leader="dot" w:pos="9061"/>
        </w:tabs>
        <w:spacing w:line="360" w:lineRule="auto"/>
        <w:rPr>
          <w:rFonts w:ascii="Palatino Linotype" w:hAnsi="Palatino Linotype"/>
          <w:sz w:val="24"/>
          <w:szCs w:val="24"/>
        </w:rPr>
      </w:pPr>
    </w:p>
    <w:bookmarkStart w:id="7" w:name="_Hlk84275241"/>
    <w:p w14:paraId="26BB360A" w14:textId="7DAD60FA" w:rsidR="00C17D56" w:rsidRPr="00492F11" w:rsidRDefault="003928B6">
      <w:pPr>
        <w:pStyle w:val="TableofFigures"/>
        <w:tabs>
          <w:tab w:val="right" w:leader="dot" w:pos="8494"/>
        </w:tabs>
        <w:rPr>
          <w:rFonts w:ascii="Palatino Linotype" w:eastAsiaTheme="minorEastAsia" w:hAnsi="Palatino Linotype"/>
          <w:noProof/>
          <w:sz w:val="24"/>
          <w:szCs w:val="24"/>
          <w:lang w:eastAsia="en-GB"/>
        </w:rPr>
      </w:pPr>
      <w:r w:rsidRPr="005B1CCB">
        <w:rPr>
          <w:rFonts w:ascii="Palatino Linotype" w:hAnsi="Palatino Linotype"/>
          <w:sz w:val="24"/>
          <w:szCs w:val="24"/>
        </w:rPr>
        <w:fldChar w:fldCharType="begin"/>
      </w:r>
      <w:r w:rsidRPr="005B1CCB">
        <w:rPr>
          <w:rFonts w:ascii="Palatino Linotype" w:hAnsi="Palatino Linotype"/>
          <w:sz w:val="24"/>
          <w:szCs w:val="24"/>
        </w:rPr>
        <w:instrText xml:space="preserve"> TOC \h \z \c "Table" </w:instrText>
      </w:r>
      <w:r w:rsidRPr="005B1CCB">
        <w:rPr>
          <w:rFonts w:ascii="Palatino Linotype" w:hAnsi="Palatino Linotype"/>
          <w:sz w:val="24"/>
          <w:szCs w:val="24"/>
        </w:rPr>
        <w:fldChar w:fldCharType="separate"/>
      </w:r>
      <w:bookmarkStart w:id="8" w:name="_Hlk84527498"/>
      <w:r w:rsidR="00612A45">
        <w:rPr>
          <w:noProof/>
        </w:rPr>
        <w:fldChar w:fldCharType="begin"/>
      </w:r>
      <w:r w:rsidR="00612A45">
        <w:rPr>
          <w:noProof/>
        </w:rPr>
        <w:instrText xml:space="preserve"> HYPERLINK \l "_Toc84272322" </w:instrText>
      </w:r>
      <w:r w:rsidR="00612A45">
        <w:rPr>
          <w:noProof/>
        </w:rPr>
        <w:fldChar w:fldCharType="separate"/>
      </w:r>
      <w:r w:rsidR="00C17D56" w:rsidRPr="00492F11">
        <w:rPr>
          <w:rStyle w:val="Hyperlink"/>
          <w:rFonts w:ascii="Palatino Linotype" w:hAnsi="Palatino Linotype"/>
          <w:noProof/>
          <w:sz w:val="24"/>
          <w:szCs w:val="24"/>
        </w:rPr>
        <w:t>Table 1: Key characteristics between Serum and Plasma</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_Toc84272322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34</w:t>
      </w:r>
      <w:r w:rsidR="00C17D56" w:rsidRPr="00492F11">
        <w:rPr>
          <w:rFonts w:ascii="Palatino Linotype" w:hAnsi="Palatino Linotype"/>
          <w:noProof/>
          <w:webHidden/>
          <w:sz w:val="24"/>
          <w:szCs w:val="24"/>
        </w:rPr>
        <w:fldChar w:fldCharType="end"/>
      </w:r>
      <w:r w:rsidR="00612A45">
        <w:rPr>
          <w:rFonts w:ascii="Palatino Linotype" w:hAnsi="Palatino Linotype"/>
          <w:noProof/>
          <w:sz w:val="24"/>
          <w:szCs w:val="24"/>
        </w:rPr>
        <w:fldChar w:fldCharType="end"/>
      </w:r>
    </w:p>
    <w:p w14:paraId="7714ED0E" w14:textId="4863639D"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23" w:history="1">
        <w:r w:rsidR="00C17D56" w:rsidRPr="00492F11">
          <w:rPr>
            <w:rStyle w:val="Hyperlink"/>
            <w:rFonts w:ascii="Palatino Linotype" w:hAnsi="Palatino Linotype"/>
            <w:noProof/>
            <w:sz w:val="24"/>
            <w:szCs w:val="24"/>
          </w:rPr>
          <w:t>Table 2: Key features of the current liquid biopsy detection platforms</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_Toc84272323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38</w:t>
        </w:r>
        <w:r w:rsidR="00C17D56" w:rsidRPr="00492F11">
          <w:rPr>
            <w:rFonts w:ascii="Palatino Linotype" w:hAnsi="Palatino Linotype"/>
            <w:noProof/>
            <w:webHidden/>
            <w:sz w:val="24"/>
            <w:szCs w:val="24"/>
          </w:rPr>
          <w:fldChar w:fldCharType="end"/>
        </w:r>
      </w:hyperlink>
    </w:p>
    <w:p w14:paraId="78D7209A" w14:textId="6E4C9A7F"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24" w:history="1">
        <w:r w:rsidR="00C17D56" w:rsidRPr="00492F11">
          <w:rPr>
            <w:rStyle w:val="Hyperlink"/>
            <w:rFonts w:ascii="Palatino Linotype" w:hAnsi="Palatino Linotype" w:cstheme="minorHAnsi"/>
            <w:noProof/>
            <w:sz w:val="24"/>
            <w:szCs w:val="24"/>
          </w:rPr>
          <w:t>Table 3: Reaction setup using HotStarTaq Plus DNA Polymerase</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_Toc84272324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76</w:t>
        </w:r>
        <w:r w:rsidR="00C17D56" w:rsidRPr="00492F11">
          <w:rPr>
            <w:rFonts w:ascii="Palatino Linotype" w:hAnsi="Palatino Linotype"/>
            <w:noProof/>
            <w:webHidden/>
            <w:sz w:val="24"/>
            <w:szCs w:val="24"/>
          </w:rPr>
          <w:fldChar w:fldCharType="end"/>
        </w:r>
      </w:hyperlink>
    </w:p>
    <w:p w14:paraId="700AB126" w14:textId="42960671"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25" w:history="1">
        <w:r w:rsidR="00C17D56" w:rsidRPr="00492F11">
          <w:rPr>
            <w:rStyle w:val="Hyperlink"/>
            <w:rFonts w:ascii="Palatino Linotype" w:hAnsi="Palatino Linotype"/>
            <w:noProof/>
            <w:sz w:val="24"/>
            <w:szCs w:val="24"/>
          </w:rPr>
          <w:t>Table 4: PCR cycling protocol</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_Toc84272325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77</w:t>
        </w:r>
        <w:r w:rsidR="00C17D56" w:rsidRPr="00492F11">
          <w:rPr>
            <w:rFonts w:ascii="Palatino Linotype" w:hAnsi="Palatino Linotype"/>
            <w:noProof/>
            <w:webHidden/>
            <w:sz w:val="24"/>
            <w:szCs w:val="24"/>
          </w:rPr>
          <w:fldChar w:fldCharType="end"/>
        </w:r>
      </w:hyperlink>
    </w:p>
    <w:p w14:paraId="653AECB9" w14:textId="64F7B9DA"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26" w:history="1">
        <w:r w:rsidR="00C17D56" w:rsidRPr="00492F11">
          <w:rPr>
            <w:rStyle w:val="Hyperlink"/>
            <w:rFonts w:ascii="Palatino Linotype" w:hAnsi="Palatino Linotype"/>
            <w:noProof/>
            <w:sz w:val="24"/>
            <w:szCs w:val="24"/>
          </w:rPr>
          <w:t>Table 5: Reaction setup using sso7d-fusion polymerase</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_Toc84272326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78</w:t>
        </w:r>
        <w:r w:rsidR="00C17D56" w:rsidRPr="00492F11">
          <w:rPr>
            <w:rFonts w:ascii="Palatino Linotype" w:hAnsi="Palatino Linotype"/>
            <w:noProof/>
            <w:webHidden/>
            <w:sz w:val="24"/>
            <w:szCs w:val="24"/>
          </w:rPr>
          <w:fldChar w:fldCharType="end"/>
        </w:r>
      </w:hyperlink>
    </w:p>
    <w:p w14:paraId="20986108" w14:textId="7002BF11"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27" w:history="1">
        <w:r w:rsidR="00C17D56" w:rsidRPr="00492F11">
          <w:rPr>
            <w:rStyle w:val="Hyperlink"/>
            <w:rFonts w:ascii="Palatino Linotype" w:hAnsi="Palatino Linotype"/>
            <w:noProof/>
            <w:sz w:val="24"/>
            <w:szCs w:val="24"/>
          </w:rPr>
          <w:t>Table 6: qPCR cycling protocol</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_Toc84272327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78</w:t>
        </w:r>
        <w:r w:rsidR="00C17D56" w:rsidRPr="00492F11">
          <w:rPr>
            <w:rFonts w:ascii="Palatino Linotype" w:hAnsi="Palatino Linotype"/>
            <w:noProof/>
            <w:webHidden/>
            <w:sz w:val="24"/>
            <w:szCs w:val="24"/>
          </w:rPr>
          <w:fldChar w:fldCharType="end"/>
        </w:r>
      </w:hyperlink>
    </w:p>
    <w:p w14:paraId="10CF31FF" w14:textId="33F4449E"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28" w:history="1">
        <w:r w:rsidR="00C17D56" w:rsidRPr="00492F11">
          <w:rPr>
            <w:rStyle w:val="Hyperlink"/>
            <w:rFonts w:ascii="Palatino Linotype" w:hAnsi="Palatino Linotype"/>
            <w:noProof/>
            <w:sz w:val="24"/>
            <w:szCs w:val="24"/>
          </w:rPr>
          <w:t>Table 7: phusion PCR protocol</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_Toc84272328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82</w:t>
        </w:r>
        <w:r w:rsidR="00C17D56" w:rsidRPr="00492F11">
          <w:rPr>
            <w:rFonts w:ascii="Palatino Linotype" w:hAnsi="Palatino Linotype"/>
            <w:noProof/>
            <w:webHidden/>
            <w:sz w:val="24"/>
            <w:szCs w:val="24"/>
          </w:rPr>
          <w:fldChar w:fldCharType="end"/>
        </w:r>
      </w:hyperlink>
    </w:p>
    <w:p w14:paraId="77BDBF0D" w14:textId="3D182ABA"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29" w:history="1">
        <w:r w:rsidR="00C17D56" w:rsidRPr="00492F11">
          <w:rPr>
            <w:rStyle w:val="Hyperlink"/>
            <w:rFonts w:ascii="Palatino Linotype" w:hAnsi="Palatino Linotype"/>
            <w:noProof/>
            <w:sz w:val="24"/>
            <w:szCs w:val="24"/>
          </w:rPr>
          <w:t>Table 8: Phusion PCR cycling protocol</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_Toc84272329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83</w:t>
        </w:r>
        <w:r w:rsidR="00C17D56" w:rsidRPr="00492F11">
          <w:rPr>
            <w:rFonts w:ascii="Palatino Linotype" w:hAnsi="Palatino Linotype"/>
            <w:noProof/>
            <w:webHidden/>
            <w:sz w:val="24"/>
            <w:szCs w:val="24"/>
          </w:rPr>
          <w:fldChar w:fldCharType="end"/>
        </w:r>
      </w:hyperlink>
    </w:p>
    <w:p w14:paraId="45575780" w14:textId="26424062"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30" w:history="1">
        <w:r w:rsidR="00C17D56" w:rsidRPr="00492F11">
          <w:rPr>
            <w:rStyle w:val="Hyperlink"/>
            <w:rFonts w:ascii="Palatino Linotype" w:hAnsi="Palatino Linotype"/>
            <w:noProof/>
            <w:sz w:val="24"/>
            <w:szCs w:val="24"/>
          </w:rPr>
          <w:t>Table 9: TP53 DNA oligonucleotides used for hybridisation</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_Toc84272330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93</w:t>
        </w:r>
        <w:r w:rsidR="00C17D56" w:rsidRPr="00492F11">
          <w:rPr>
            <w:rFonts w:ascii="Palatino Linotype" w:hAnsi="Palatino Linotype"/>
            <w:noProof/>
            <w:webHidden/>
            <w:sz w:val="24"/>
            <w:szCs w:val="24"/>
          </w:rPr>
          <w:fldChar w:fldCharType="end"/>
        </w:r>
      </w:hyperlink>
    </w:p>
    <w:p w14:paraId="42C4940E" w14:textId="3B0404E4" w:rsidR="00C17D56" w:rsidRPr="00492F11" w:rsidRDefault="00DD4134" w:rsidP="00492F11">
      <w:pPr>
        <w:pStyle w:val="TableofFigures"/>
        <w:tabs>
          <w:tab w:val="right" w:leader="dot" w:pos="8494"/>
        </w:tabs>
        <w:spacing w:line="360" w:lineRule="auto"/>
        <w:rPr>
          <w:rFonts w:ascii="Palatino Linotype" w:eastAsiaTheme="minorEastAsia" w:hAnsi="Palatino Linotype"/>
          <w:noProof/>
          <w:sz w:val="24"/>
          <w:szCs w:val="24"/>
          <w:lang w:eastAsia="en-GB"/>
        </w:rPr>
      </w:pPr>
      <w:hyperlink w:anchor="_Toc84272331" w:history="1">
        <w:r w:rsidR="00C17D56" w:rsidRPr="00492F11">
          <w:rPr>
            <w:rStyle w:val="Hyperlink"/>
            <w:rFonts w:ascii="Palatino Linotype" w:hAnsi="Palatino Linotype"/>
            <w:noProof/>
            <w:sz w:val="24"/>
            <w:szCs w:val="24"/>
          </w:rPr>
          <w:t>Table 10: RANDLES SEVCIK EQUATION – CLEAN MACROELECTRODE ANALYSIS</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_Toc84272331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101</w:t>
        </w:r>
        <w:r w:rsidR="00C17D56" w:rsidRPr="00492F11">
          <w:rPr>
            <w:rFonts w:ascii="Palatino Linotype" w:hAnsi="Palatino Linotype"/>
            <w:noProof/>
            <w:webHidden/>
            <w:sz w:val="24"/>
            <w:szCs w:val="24"/>
          </w:rPr>
          <w:fldChar w:fldCharType="end"/>
        </w:r>
      </w:hyperlink>
    </w:p>
    <w:p w14:paraId="7777629E" w14:textId="3E38F1F1" w:rsidR="006A02C9" w:rsidRDefault="00DD4134" w:rsidP="006A02C9">
      <w:pPr>
        <w:pStyle w:val="TableofFigures"/>
        <w:tabs>
          <w:tab w:val="right" w:leader="dot" w:pos="8494"/>
        </w:tabs>
        <w:spacing w:line="360" w:lineRule="auto"/>
        <w:rPr>
          <w:rStyle w:val="Hyperlink"/>
          <w:rFonts w:ascii="Palatino Linotype" w:hAnsi="Palatino Linotype"/>
          <w:noProof/>
          <w:sz w:val="24"/>
          <w:szCs w:val="24"/>
        </w:rPr>
      </w:pPr>
      <w:hyperlink w:anchor="_Toc84272332" w:history="1">
        <w:r w:rsidR="00C17D56" w:rsidRPr="00492F11">
          <w:rPr>
            <w:rStyle w:val="Hyperlink"/>
            <w:rFonts w:ascii="Palatino Linotype" w:hAnsi="Palatino Linotype"/>
            <w:noProof/>
            <w:sz w:val="24"/>
            <w:szCs w:val="24"/>
          </w:rPr>
          <w:t>Table 11: RANDLES SEVCIK EQUATION – DNA IMMOBILISED MACROELECTRODE ANALYSIS</w:t>
        </w:r>
        <w:r w:rsidR="00C17D56" w:rsidRPr="00492F11">
          <w:rPr>
            <w:rFonts w:ascii="Palatino Linotype" w:hAnsi="Palatino Linotype"/>
            <w:noProof/>
            <w:webHidden/>
            <w:sz w:val="24"/>
            <w:szCs w:val="24"/>
          </w:rPr>
          <w:tab/>
        </w:r>
        <w:r w:rsidR="00C17D56" w:rsidRPr="00492F11">
          <w:rPr>
            <w:rFonts w:ascii="Palatino Linotype" w:hAnsi="Palatino Linotype"/>
            <w:noProof/>
            <w:webHidden/>
            <w:sz w:val="24"/>
            <w:szCs w:val="24"/>
          </w:rPr>
          <w:fldChar w:fldCharType="begin"/>
        </w:r>
        <w:r w:rsidR="00C17D56" w:rsidRPr="00492F11">
          <w:rPr>
            <w:rFonts w:ascii="Palatino Linotype" w:hAnsi="Palatino Linotype"/>
            <w:noProof/>
            <w:webHidden/>
            <w:sz w:val="24"/>
            <w:szCs w:val="24"/>
          </w:rPr>
          <w:instrText xml:space="preserve"> PAGEREF _Toc84272332 \h </w:instrText>
        </w:r>
        <w:r w:rsidR="00C17D56" w:rsidRPr="00492F11">
          <w:rPr>
            <w:rFonts w:ascii="Palatino Linotype" w:hAnsi="Palatino Linotype"/>
            <w:noProof/>
            <w:webHidden/>
            <w:sz w:val="24"/>
            <w:szCs w:val="24"/>
          </w:rPr>
        </w:r>
        <w:r w:rsidR="00C17D56" w:rsidRPr="00492F11">
          <w:rPr>
            <w:rFonts w:ascii="Palatino Linotype" w:hAnsi="Palatino Linotype"/>
            <w:noProof/>
            <w:webHidden/>
            <w:sz w:val="24"/>
            <w:szCs w:val="24"/>
          </w:rPr>
          <w:fldChar w:fldCharType="separate"/>
        </w:r>
        <w:r w:rsidR="007D2C9F">
          <w:rPr>
            <w:rFonts w:ascii="Palatino Linotype" w:hAnsi="Palatino Linotype"/>
            <w:noProof/>
            <w:webHidden/>
            <w:sz w:val="24"/>
            <w:szCs w:val="24"/>
          </w:rPr>
          <w:t>102</w:t>
        </w:r>
        <w:r w:rsidR="00C17D56" w:rsidRPr="00492F11">
          <w:rPr>
            <w:rFonts w:ascii="Palatino Linotype" w:hAnsi="Palatino Linotype"/>
            <w:noProof/>
            <w:webHidden/>
            <w:sz w:val="24"/>
            <w:szCs w:val="24"/>
          </w:rPr>
          <w:fldChar w:fldCharType="end"/>
        </w:r>
      </w:hyperlink>
    </w:p>
    <w:p w14:paraId="06391607" w14:textId="4AA23B78" w:rsidR="006A02C9" w:rsidRDefault="006A02C9" w:rsidP="006A02C9">
      <w:pPr>
        <w:spacing w:line="360" w:lineRule="auto"/>
        <w:rPr>
          <w:rFonts w:ascii="Palatino Linotype" w:hAnsi="Palatino Linotype"/>
          <w:noProof/>
          <w:sz w:val="24"/>
          <w:szCs w:val="24"/>
        </w:rPr>
      </w:pPr>
      <w:r>
        <w:rPr>
          <w:rFonts w:ascii="Palatino Linotype" w:hAnsi="Palatino Linotype"/>
          <w:noProof/>
          <w:sz w:val="24"/>
          <w:szCs w:val="24"/>
        </w:rPr>
        <w:t xml:space="preserve">Table 12: </w:t>
      </w:r>
      <w:r w:rsidRPr="006A02C9">
        <w:rPr>
          <w:rFonts w:ascii="Palatino Linotype" w:hAnsi="Palatino Linotype"/>
          <w:noProof/>
          <w:sz w:val="24"/>
          <w:szCs w:val="24"/>
        </w:rPr>
        <w:t>List of KRAS pG12D DNA sequences employed in this study</w:t>
      </w:r>
      <w:r>
        <w:rPr>
          <w:rFonts w:ascii="Palatino Linotype" w:hAnsi="Palatino Linotype"/>
          <w:noProof/>
          <w:sz w:val="24"/>
          <w:szCs w:val="24"/>
        </w:rPr>
        <w:t>……</w:t>
      </w:r>
      <w:r w:rsidR="00FF63AB">
        <w:rPr>
          <w:rFonts w:ascii="Palatino Linotype" w:hAnsi="Palatino Linotype"/>
          <w:noProof/>
          <w:sz w:val="24"/>
          <w:szCs w:val="24"/>
        </w:rPr>
        <w:t>...</w:t>
      </w:r>
      <w:r>
        <w:rPr>
          <w:rFonts w:ascii="Palatino Linotype" w:hAnsi="Palatino Linotype"/>
          <w:noProof/>
          <w:sz w:val="24"/>
          <w:szCs w:val="24"/>
        </w:rPr>
        <w:t>1</w:t>
      </w:r>
      <w:r w:rsidR="007D2C9F">
        <w:rPr>
          <w:rFonts w:ascii="Palatino Linotype" w:hAnsi="Palatino Linotype"/>
          <w:noProof/>
          <w:sz w:val="24"/>
          <w:szCs w:val="24"/>
        </w:rPr>
        <w:t>09</w:t>
      </w:r>
    </w:p>
    <w:p w14:paraId="5BB49740" w14:textId="6BB42D3F" w:rsidR="006A02C9" w:rsidRDefault="006A02C9" w:rsidP="006A02C9">
      <w:pPr>
        <w:spacing w:line="360" w:lineRule="auto"/>
        <w:rPr>
          <w:rFonts w:ascii="Palatino Linotype" w:hAnsi="Palatino Linotype"/>
          <w:noProof/>
          <w:sz w:val="24"/>
          <w:szCs w:val="24"/>
        </w:rPr>
      </w:pPr>
      <w:r>
        <w:rPr>
          <w:rFonts w:ascii="Palatino Linotype" w:hAnsi="Palatino Linotype"/>
          <w:noProof/>
          <w:sz w:val="24"/>
          <w:szCs w:val="24"/>
        </w:rPr>
        <w:t>Table 13:</w:t>
      </w:r>
      <w:r w:rsidRPr="006A02C9">
        <w:rPr>
          <w:noProof/>
        </w:rPr>
        <w:t xml:space="preserve"> </w:t>
      </w:r>
      <w:r w:rsidRPr="006A02C9">
        <w:rPr>
          <w:rFonts w:ascii="Palatino Linotype" w:hAnsi="Palatino Linotype"/>
          <w:noProof/>
          <w:sz w:val="24"/>
          <w:szCs w:val="24"/>
        </w:rPr>
        <w:t>List of KRAS pG13D DNA sequences employed in this study</w:t>
      </w:r>
      <w:r>
        <w:rPr>
          <w:rFonts w:ascii="Palatino Linotype" w:hAnsi="Palatino Linotype"/>
          <w:noProof/>
          <w:sz w:val="24"/>
          <w:szCs w:val="24"/>
        </w:rPr>
        <w:t>…</w:t>
      </w:r>
      <w:r w:rsidR="00FF63AB">
        <w:rPr>
          <w:rFonts w:ascii="Palatino Linotype" w:hAnsi="Palatino Linotype"/>
          <w:noProof/>
          <w:sz w:val="24"/>
          <w:szCs w:val="24"/>
        </w:rPr>
        <w:t>...</w:t>
      </w:r>
      <w:r>
        <w:rPr>
          <w:rFonts w:ascii="Palatino Linotype" w:hAnsi="Palatino Linotype"/>
          <w:noProof/>
          <w:sz w:val="24"/>
          <w:szCs w:val="24"/>
        </w:rPr>
        <w:t>…1</w:t>
      </w:r>
      <w:r w:rsidR="00C565F3">
        <w:rPr>
          <w:rFonts w:ascii="Palatino Linotype" w:hAnsi="Palatino Linotype"/>
          <w:noProof/>
          <w:sz w:val="24"/>
          <w:szCs w:val="24"/>
        </w:rPr>
        <w:t>3</w:t>
      </w:r>
      <w:r w:rsidR="007D2C9F">
        <w:rPr>
          <w:rFonts w:ascii="Palatino Linotype" w:hAnsi="Palatino Linotype"/>
          <w:noProof/>
          <w:sz w:val="24"/>
          <w:szCs w:val="24"/>
        </w:rPr>
        <w:t>5</w:t>
      </w:r>
    </w:p>
    <w:p w14:paraId="6AD373F5" w14:textId="13596102" w:rsidR="006A02C9" w:rsidRDefault="006A02C9" w:rsidP="006A02C9">
      <w:pPr>
        <w:spacing w:line="360" w:lineRule="auto"/>
        <w:rPr>
          <w:rFonts w:ascii="Palatino Linotype" w:hAnsi="Palatino Linotype"/>
          <w:noProof/>
          <w:sz w:val="24"/>
          <w:szCs w:val="24"/>
        </w:rPr>
      </w:pPr>
      <w:r>
        <w:rPr>
          <w:rFonts w:ascii="Palatino Linotype" w:hAnsi="Palatino Linotype"/>
          <w:noProof/>
          <w:sz w:val="24"/>
          <w:szCs w:val="24"/>
        </w:rPr>
        <w:t>Table 14:</w:t>
      </w:r>
      <w:r w:rsidRPr="006A02C9">
        <w:rPr>
          <w:noProof/>
        </w:rPr>
        <w:t xml:space="preserve"> </w:t>
      </w:r>
      <w:r w:rsidRPr="006A02C9">
        <w:rPr>
          <w:rFonts w:ascii="Palatino Linotype" w:hAnsi="Palatino Linotype"/>
          <w:noProof/>
          <w:sz w:val="24"/>
          <w:szCs w:val="24"/>
        </w:rPr>
        <w:t>DNA quantification result showing wild-type amplification directly from plasma</w:t>
      </w:r>
      <w:r>
        <w:rPr>
          <w:rFonts w:ascii="Palatino Linotype" w:hAnsi="Palatino Linotype"/>
          <w:noProof/>
          <w:sz w:val="24"/>
          <w:szCs w:val="24"/>
        </w:rPr>
        <w:t>………………………………………………………………………….16</w:t>
      </w:r>
      <w:r w:rsidR="007D2C9F">
        <w:rPr>
          <w:rFonts w:ascii="Palatino Linotype" w:hAnsi="Palatino Linotype"/>
          <w:noProof/>
          <w:sz w:val="24"/>
          <w:szCs w:val="24"/>
        </w:rPr>
        <w:t>4</w:t>
      </w:r>
    </w:p>
    <w:p w14:paraId="3779DA37" w14:textId="3BC74A6E" w:rsidR="006A02C9" w:rsidRDefault="006A02C9" w:rsidP="006A02C9">
      <w:pPr>
        <w:spacing w:line="360" w:lineRule="auto"/>
        <w:rPr>
          <w:rFonts w:ascii="Palatino Linotype" w:hAnsi="Palatino Linotype"/>
          <w:noProof/>
          <w:sz w:val="24"/>
          <w:szCs w:val="24"/>
        </w:rPr>
      </w:pPr>
      <w:r>
        <w:rPr>
          <w:rFonts w:ascii="Palatino Linotype" w:hAnsi="Palatino Linotype"/>
          <w:noProof/>
          <w:sz w:val="24"/>
          <w:szCs w:val="24"/>
        </w:rPr>
        <w:t>Table 15:</w:t>
      </w:r>
      <w:r w:rsidRPr="006A02C9">
        <w:rPr>
          <w:noProof/>
        </w:rPr>
        <w:t xml:space="preserve"> </w:t>
      </w:r>
      <w:r w:rsidRPr="006A02C9">
        <w:rPr>
          <w:rFonts w:ascii="Palatino Linotype" w:hAnsi="Palatino Linotype"/>
          <w:noProof/>
          <w:sz w:val="24"/>
          <w:szCs w:val="24"/>
        </w:rPr>
        <w:t>DNA quantification result showing mutant amplification from plasma samples</w:t>
      </w:r>
      <w:r>
        <w:rPr>
          <w:rFonts w:ascii="Palatino Linotype" w:hAnsi="Palatino Linotype"/>
          <w:noProof/>
          <w:sz w:val="24"/>
          <w:szCs w:val="24"/>
        </w:rPr>
        <w:t>………………………………………………………………………………1</w:t>
      </w:r>
      <w:r w:rsidR="00C565F3">
        <w:rPr>
          <w:rFonts w:ascii="Palatino Linotype" w:hAnsi="Palatino Linotype"/>
          <w:noProof/>
          <w:sz w:val="24"/>
          <w:szCs w:val="24"/>
        </w:rPr>
        <w:t>6</w:t>
      </w:r>
      <w:r w:rsidR="007D2C9F">
        <w:rPr>
          <w:rFonts w:ascii="Palatino Linotype" w:hAnsi="Palatino Linotype"/>
          <w:noProof/>
          <w:sz w:val="24"/>
          <w:szCs w:val="24"/>
        </w:rPr>
        <w:t>7</w:t>
      </w:r>
    </w:p>
    <w:p w14:paraId="47FD8CD7" w14:textId="7004C834" w:rsidR="006A02C9" w:rsidRDefault="006A02C9" w:rsidP="006A02C9">
      <w:pPr>
        <w:spacing w:line="360" w:lineRule="auto"/>
        <w:rPr>
          <w:rFonts w:ascii="Palatino Linotype" w:hAnsi="Palatino Linotype"/>
          <w:noProof/>
          <w:sz w:val="24"/>
          <w:szCs w:val="24"/>
        </w:rPr>
      </w:pPr>
      <w:r>
        <w:rPr>
          <w:rFonts w:ascii="Palatino Linotype" w:hAnsi="Palatino Linotype"/>
          <w:noProof/>
          <w:sz w:val="24"/>
          <w:szCs w:val="24"/>
        </w:rPr>
        <w:t>Table 16:</w:t>
      </w:r>
      <w:r w:rsidRPr="006A02C9">
        <w:rPr>
          <w:noProof/>
        </w:rPr>
        <w:t xml:space="preserve"> </w:t>
      </w:r>
      <w:r w:rsidRPr="006A02C9">
        <w:rPr>
          <w:rFonts w:ascii="Palatino Linotype" w:hAnsi="Palatino Linotype"/>
          <w:noProof/>
          <w:sz w:val="24"/>
          <w:szCs w:val="24"/>
        </w:rPr>
        <w:t>Non-amplified cfDNA concentrations for all eight patients</w:t>
      </w:r>
      <w:r>
        <w:rPr>
          <w:rFonts w:ascii="Palatino Linotype" w:hAnsi="Palatino Linotype"/>
          <w:noProof/>
          <w:sz w:val="24"/>
          <w:szCs w:val="24"/>
        </w:rPr>
        <w:t>……</w:t>
      </w:r>
      <w:r w:rsidR="00FF63AB">
        <w:rPr>
          <w:rFonts w:ascii="Palatino Linotype" w:hAnsi="Palatino Linotype"/>
          <w:noProof/>
          <w:sz w:val="24"/>
          <w:szCs w:val="24"/>
        </w:rPr>
        <w:t>..</w:t>
      </w:r>
      <w:r>
        <w:rPr>
          <w:rFonts w:ascii="Palatino Linotype" w:hAnsi="Palatino Linotype"/>
          <w:noProof/>
          <w:sz w:val="24"/>
          <w:szCs w:val="24"/>
        </w:rPr>
        <w:t>…1</w:t>
      </w:r>
      <w:r w:rsidR="00C565F3">
        <w:rPr>
          <w:rFonts w:ascii="Palatino Linotype" w:hAnsi="Palatino Linotype"/>
          <w:noProof/>
          <w:sz w:val="24"/>
          <w:szCs w:val="24"/>
        </w:rPr>
        <w:t>6</w:t>
      </w:r>
      <w:r w:rsidR="007D2C9F">
        <w:rPr>
          <w:rFonts w:ascii="Palatino Linotype" w:hAnsi="Palatino Linotype"/>
          <w:noProof/>
          <w:sz w:val="24"/>
          <w:szCs w:val="24"/>
        </w:rPr>
        <w:t>8</w:t>
      </w:r>
    </w:p>
    <w:p w14:paraId="5E26669B" w14:textId="72CA722A" w:rsidR="006A02C9" w:rsidRPr="00492F11" w:rsidRDefault="006A02C9" w:rsidP="00492F11">
      <w:pPr>
        <w:spacing w:line="360" w:lineRule="auto"/>
        <w:rPr>
          <w:rFonts w:ascii="Palatino Linotype" w:hAnsi="Palatino Linotype"/>
          <w:noProof/>
          <w:sz w:val="24"/>
          <w:szCs w:val="24"/>
        </w:rPr>
      </w:pPr>
      <w:r>
        <w:rPr>
          <w:rFonts w:ascii="Palatino Linotype" w:hAnsi="Palatino Linotype"/>
          <w:noProof/>
          <w:sz w:val="24"/>
          <w:szCs w:val="24"/>
        </w:rPr>
        <w:t xml:space="preserve">Table 17: </w:t>
      </w:r>
      <w:r w:rsidRPr="006A02C9">
        <w:rPr>
          <w:rFonts w:ascii="Palatino Linotype" w:hAnsi="Palatino Linotype"/>
          <w:noProof/>
          <w:sz w:val="24"/>
          <w:szCs w:val="24"/>
        </w:rPr>
        <w:t>Table of quantitative determination of KRASpG12D and KRASpG13D in comparison to their respective wild type controls using BioRad QX200 droplet digital PCR assays from 1mL of plasma of various patient samples</w:t>
      </w:r>
      <w:r>
        <w:rPr>
          <w:rFonts w:ascii="Palatino Linotype" w:hAnsi="Palatino Linotype"/>
          <w:noProof/>
          <w:sz w:val="24"/>
          <w:szCs w:val="24"/>
        </w:rPr>
        <w:t>…17</w:t>
      </w:r>
      <w:r w:rsidR="007D2C9F">
        <w:rPr>
          <w:rFonts w:ascii="Palatino Linotype" w:hAnsi="Palatino Linotype"/>
          <w:noProof/>
          <w:sz w:val="24"/>
          <w:szCs w:val="24"/>
        </w:rPr>
        <w:t>0</w:t>
      </w:r>
    </w:p>
    <w:bookmarkEnd w:id="8"/>
    <w:p w14:paraId="53C7BB48" w14:textId="3068A6ED" w:rsidR="00C17D56" w:rsidRDefault="00C17D56" w:rsidP="00C17D56">
      <w:pPr>
        <w:rPr>
          <w:noProof/>
        </w:rPr>
      </w:pPr>
    </w:p>
    <w:p w14:paraId="5CA6B385" w14:textId="0A755B23" w:rsidR="00C17D56" w:rsidRPr="005B1CCB" w:rsidRDefault="003928B6" w:rsidP="00F148D7">
      <w:pPr>
        <w:spacing w:line="360" w:lineRule="auto"/>
      </w:pPr>
      <w:r w:rsidRPr="005B1CCB">
        <w:rPr>
          <w:rFonts w:ascii="Palatino Linotype" w:hAnsi="Palatino Linotype"/>
          <w:sz w:val="24"/>
          <w:szCs w:val="24"/>
        </w:rPr>
        <w:fldChar w:fldCharType="end"/>
      </w:r>
      <w:bookmarkEnd w:id="7"/>
    </w:p>
    <w:p w14:paraId="5E37EFEA" w14:textId="77777777" w:rsidR="00F670C2" w:rsidRPr="005B1CCB" w:rsidRDefault="00F670C2" w:rsidP="00045CD0">
      <w:pPr>
        <w:pStyle w:val="Heading1"/>
        <w:numPr>
          <w:ilvl w:val="0"/>
          <w:numId w:val="0"/>
        </w:numPr>
        <w:spacing w:line="360" w:lineRule="auto"/>
        <w:ind w:left="432"/>
        <w:rPr>
          <w:rFonts w:ascii="Palatino Linotype" w:hAnsi="Palatino Linotype"/>
        </w:rPr>
      </w:pPr>
      <w:bookmarkStart w:id="9" w:name="_Toc84528025"/>
      <w:r w:rsidRPr="005B1CCB">
        <w:rPr>
          <w:rFonts w:ascii="Palatino Linotype" w:hAnsi="Palatino Linotype"/>
        </w:rPr>
        <w:lastRenderedPageBreak/>
        <w:t>LIST OF FIGURES</w:t>
      </w:r>
      <w:bookmarkEnd w:id="9"/>
    </w:p>
    <w:p w14:paraId="4552759C" w14:textId="12B0EF89" w:rsidR="00FF63AB" w:rsidRPr="00FF63AB" w:rsidRDefault="003928B6" w:rsidP="00FF63AB">
      <w:pPr>
        <w:pStyle w:val="TableofFigures"/>
        <w:tabs>
          <w:tab w:val="right" w:leader="dot" w:pos="8494"/>
        </w:tabs>
        <w:jc w:val="both"/>
        <w:rPr>
          <w:rFonts w:ascii="Palatino Linotype" w:eastAsiaTheme="minorEastAsia" w:hAnsi="Palatino Linotype"/>
          <w:noProof/>
          <w:sz w:val="24"/>
          <w:szCs w:val="24"/>
          <w:lang w:eastAsia="en-GB"/>
        </w:rPr>
      </w:pPr>
      <w:r w:rsidRPr="00FF63AB">
        <w:rPr>
          <w:rFonts w:ascii="Palatino Linotype" w:hAnsi="Palatino Linotype"/>
          <w:sz w:val="24"/>
          <w:szCs w:val="24"/>
        </w:rPr>
        <w:fldChar w:fldCharType="begin"/>
      </w:r>
      <w:r w:rsidRPr="00FF63AB">
        <w:rPr>
          <w:rFonts w:ascii="Palatino Linotype" w:hAnsi="Palatino Linotype"/>
          <w:sz w:val="24"/>
          <w:szCs w:val="24"/>
        </w:rPr>
        <w:instrText xml:space="preserve"> TOC \h \z \c "Figure" </w:instrText>
      </w:r>
      <w:r w:rsidRPr="00FF63AB">
        <w:rPr>
          <w:rFonts w:ascii="Palatino Linotype" w:hAnsi="Palatino Linotype"/>
          <w:sz w:val="24"/>
          <w:szCs w:val="24"/>
        </w:rPr>
        <w:fldChar w:fldCharType="separate"/>
      </w:r>
      <w:hyperlink w:anchor="_Toc84519596" w:history="1">
        <w:r w:rsidR="00FF63AB" w:rsidRPr="00FF63AB">
          <w:rPr>
            <w:rStyle w:val="Hyperlink"/>
            <w:rFonts w:ascii="Palatino Linotype" w:hAnsi="Palatino Linotype"/>
            <w:noProof/>
            <w:sz w:val="24"/>
            <w:szCs w:val="24"/>
          </w:rPr>
          <w:t>Figure 1: Release of ctDNA into the bloodstream by a tumour and distinguished from other cell-free DNA of non-cancerous origin by the presence of cancer specific mutations [29].</w:t>
        </w:r>
        <w:r w:rsidR="00FF63AB" w:rsidRPr="00FF63AB">
          <w:rPr>
            <w:rFonts w:ascii="Palatino Linotype" w:hAnsi="Palatino Linotype"/>
            <w:noProof/>
            <w:webHidden/>
            <w:sz w:val="24"/>
            <w:szCs w:val="24"/>
          </w:rPr>
          <w:tab/>
        </w:r>
        <w:r w:rsidR="00671BB7">
          <w:rPr>
            <w:rFonts w:ascii="Palatino Linotype" w:hAnsi="Palatino Linotype"/>
            <w:noProof/>
            <w:webHidden/>
            <w:sz w:val="24"/>
            <w:szCs w:val="24"/>
          </w:rPr>
          <w:t>3</w:t>
        </w:r>
        <w:r w:rsidR="003C6257">
          <w:rPr>
            <w:rFonts w:ascii="Palatino Linotype" w:hAnsi="Palatino Linotype"/>
            <w:noProof/>
            <w:webHidden/>
            <w:sz w:val="24"/>
            <w:szCs w:val="24"/>
          </w:rPr>
          <w:t>1</w:t>
        </w:r>
      </w:hyperlink>
    </w:p>
    <w:p w14:paraId="0776A975" w14:textId="0E41D2A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597" w:history="1">
        <w:r w:rsidR="00FF63AB" w:rsidRPr="00FF63AB">
          <w:rPr>
            <w:rStyle w:val="Hyperlink"/>
            <w:rFonts w:ascii="Palatino Linotype" w:hAnsi="Palatino Linotype"/>
            <w:noProof/>
            <w:sz w:val="24"/>
            <w:szCs w:val="24"/>
          </w:rPr>
          <w:t>Figure 2: 2 DNA strands with sugar-phosphate backbone wound around one another to produce a double helix; stabilized in part by hydrogen bonds between nitrogenous bases on either strand [130].</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_Toc84519597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46</w:t>
        </w:r>
        <w:r w:rsidR="00FF63AB" w:rsidRPr="00FF63AB">
          <w:rPr>
            <w:rFonts w:ascii="Palatino Linotype" w:hAnsi="Palatino Linotype"/>
            <w:noProof/>
            <w:webHidden/>
            <w:sz w:val="24"/>
            <w:szCs w:val="24"/>
          </w:rPr>
          <w:fldChar w:fldCharType="end"/>
        </w:r>
      </w:hyperlink>
    </w:p>
    <w:p w14:paraId="6E4FA16D" w14:textId="191818F5"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598" w:history="1">
        <w:r w:rsidR="00FF63AB" w:rsidRPr="00FF63AB">
          <w:rPr>
            <w:rStyle w:val="Hyperlink"/>
            <w:rFonts w:ascii="Palatino Linotype" w:hAnsi="Palatino Linotype"/>
            <w:noProof/>
            <w:sz w:val="24"/>
            <w:szCs w:val="24"/>
          </w:rPr>
          <w:t>Figure 3: Schematic drawing showing the PCR amplification technique [138]</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_Toc84519598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49</w:t>
        </w:r>
        <w:r w:rsidR="00FF63AB" w:rsidRPr="00FF63AB">
          <w:rPr>
            <w:rFonts w:ascii="Palatino Linotype" w:hAnsi="Palatino Linotype"/>
            <w:noProof/>
            <w:webHidden/>
            <w:sz w:val="24"/>
            <w:szCs w:val="24"/>
          </w:rPr>
          <w:fldChar w:fldCharType="end"/>
        </w:r>
      </w:hyperlink>
    </w:p>
    <w:p w14:paraId="7FF0CE13" w14:textId="378E5910"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599" w:history="1">
        <w:r w:rsidR="00FF63AB" w:rsidRPr="00FF63AB">
          <w:rPr>
            <w:rStyle w:val="Hyperlink"/>
            <w:rFonts w:ascii="Palatino Linotype" w:hAnsi="Palatino Linotype"/>
            <w:noProof/>
            <w:sz w:val="24"/>
            <w:szCs w:val="24"/>
          </w:rPr>
          <w:t>Figure 4: Basic principle of a biosensor consisting of a sensitive bio-molecular layer immobilised onto the surface of a solid substrate (transducer) that can measure the output signal [156]</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_Toc84519599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52</w:t>
        </w:r>
        <w:r w:rsidR="00FF63AB" w:rsidRPr="00FF63AB">
          <w:rPr>
            <w:rFonts w:ascii="Palatino Linotype" w:hAnsi="Palatino Linotype"/>
            <w:noProof/>
            <w:webHidden/>
            <w:sz w:val="24"/>
            <w:szCs w:val="24"/>
          </w:rPr>
          <w:fldChar w:fldCharType="end"/>
        </w:r>
      </w:hyperlink>
    </w:p>
    <w:p w14:paraId="541EBC4B" w14:textId="50042208"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0" w:history="1">
        <w:r w:rsidR="00FF63AB" w:rsidRPr="00FF63AB">
          <w:rPr>
            <w:rStyle w:val="Hyperlink"/>
            <w:rFonts w:ascii="Palatino Linotype" w:hAnsi="Palatino Linotype"/>
            <w:noProof/>
            <w:sz w:val="24"/>
            <w:szCs w:val="24"/>
          </w:rPr>
          <w:t>Figure 5: DNA probes confirming the presence of a suspected pathogen or mutation in patient samples by hybridising with a gene of interest [160]</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_Toc84519600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54</w:t>
        </w:r>
        <w:r w:rsidR="00FF63AB" w:rsidRPr="00FF63AB">
          <w:rPr>
            <w:rFonts w:ascii="Palatino Linotype" w:hAnsi="Palatino Linotype"/>
            <w:noProof/>
            <w:webHidden/>
            <w:sz w:val="24"/>
            <w:szCs w:val="24"/>
          </w:rPr>
          <w:fldChar w:fldCharType="end"/>
        </w:r>
      </w:hyperlink>
    </w:p>
    <w:p w14:paraId="3A2A59CB" w14:textId="78AF5A0C"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1" w:history="1">
        <w:r w:rsidR="00FF63AB" w:rsidRPr="00FF63AB">
          <w:rPr>
            <w:rStyle w:val="Hyperlink"/>
            <w:rFonts w:ascii="Palatino Linotype" w:hAnsi="Palatino Linotype"/>
            <w:noProof/>
            <w:sz w:val="24"/>
            <w:szCs w:val="24"/>
          </w:rPr>
          <w:t>Figure 6: Redox reaction mechanism in DNA sensing</w:t>
        </w:r>
        <w:r w:rsidR="00FF63AB" w:rsidRPr="00FF63AB">
          <w:rPr>
            <w:rFonts w:ascii="Palatino Linotype" w:hAnsi="Palatino Linotype"/>
            <w:noProof/>
            <w:webHidden/>
            <w:sz w:val="24"/>
            <w:szCs w:val="24"/>
          </w:rPr>
          <w:tab/>
        </w:r>
        <w:r w:rsidR="00C41793">
          <w:rPr>
            <w:rFonts w:ascii="Palatino Linotype" w:hAnsi="Palatino Linotype"/>
            <w:noProof/>
            <w:webHidden/>
            <w:sz w:val="24"/>
            <w:szCs w:val="24"/>
          </w:rPr>
          <w:t>60</w:t>
        </w:r>
      </w:hyperlink>
    </w:p>
    <w:p w14:paraId="05C3A4B4" w14:textId="41C691A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2" w:history="1">
        <w:r w:rsidR="00FF63AB" w:rsidRPr="00FF63AB">
          <w:rPr>
            <w:rStyle w:val="Hyperlink"/>
            <w:rFonts w:ascii="Palatino Linotype" w:hAnsi="Palatino Linotype"/>
            <w:noProof/>
            <w:sz w:val="24"/>
            <w:szCs w:val="24"/>
          </w:rPr>
          <w:t>Figure 7: Screen-printed (A) Single CNT-modified SPCEs and (B) Multi CNT-modified SPCE (C) gold electrodes [147]</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_Toc84519602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67</w:t>
        </w:r>
        <w:r w:rsidR="00FF63AB" w:rsidRPr="00FF63AB">
          <w:rPr>
            <w:rFonts w:ascii="Palatino Linotype" w:hAnsi="Palatino Linotype"/>
            <w:noProof/>
            <w:webHidden/>
            <w:sz w:val="24"/>
            <w:szCs w:val="24"/>
          </w:rPr>
          <w:fldChar w:fldCharType="end"/>
        </w:r>
      </w:hyperlink>
    </w:p>
    <w:p w14:paraId="3D924CB5" w14:textId="2EF65822"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3" w:history="1">
        <w:r w:rsidR="00FF63AB" w:rsidRPr="00FF63AB">
          <w:rPr>
            <w:rStyle w:val="Hyperlink"/>
            <w:rFonts w:ascii="Palatino Linotype" w:hAnsi="Palatino Linotype"/>
            <w:noProof/>
            <w:sz w:val="24"/>
            <w:szCs w:val="24"/>
          </w:rPr>
          <w:t>Figure 8: Electrochemical system comprising a potentiostat, multiplexer, screen-printed carbon electrodes, electrode connector and laptop</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_Toc84519603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68</w:t>
        </w:r>
        <w:r w:rsidR="00FF63AB" w:rsidRPr="00FF63AB">
          <w:rPr>
            <w:rFonts w:ascii="Palatino Linotype" w:hAnsi="Palatino Linotype"/>
            <w:noProof/>
            <w:webHidden/>
            <w:sz w:val="24"/>
            <w:szCs w:val="24"/>
          </w:rPr>
          <w:fldChar w:fldCharType="end"/>
        </w:r>
      </w:hyperlink>
    </w:p>
    <w:p w14:paraId="309581E3" w14:textId="754EED71"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4" w:history="1">
        <w:r w:rsidR="00FF63AB" w:rsidRPr="00FF63AB">
          <w:rPr>
            <w:rStyle w:val="Hyperlink"/>
            <w:rFonts w:ascii="Palatino Linotype" w:hAnsi="Palatino Linotype"/>
            <w:noProof/>
            <w:sz w:val="24"/>
            <w:szCs w:val="24"/>
          </w:rPr>
          <w:t>Figure 9:</w:t>
        </w:r>
        <w:r w:rsidR="00FF63AB" w:rsidRPr="00FF63AB">
          <w:rPr>
            <w:rStyle w:val="Hyperlink"/>
            <w:rFonts w:ascii="Palatino Linotype" w:hAnsi="Palatino Linotype" w:cstheme="minorHAnsi"/>
            <w:noProof/>
            <w:sz w:val="24"/>
            <w:szCs w:val="24"/>
          </w:rPr>
          <w:t xml:space="preserve"> Image of screen printed electrode array employed (8 × working electrodes with common Ag/AgCl reference and carbon counter electrodes along with schematic showing DNA functionalisation and DNA target binding</w:t>
        </w:r>
        <w:r w:rsidR="00FF63AB" w:rsidRPr="00FF63AB">
          <w:rPr>
            <w:rStyle w:val="Hyperlink"/>
            <w:rFonts w:ascii="Palatino Linotype" w:hAnsi="Palatino Linotype"/>
            <w:noProof/>
            <w:sz w:val="24"/>
            <w:szCs w:val="24"/>
          </w:rPr>
          <w:t>.</w:t>
        </w:r>
        <w:r w:rsidR="00FF63AB" w:rsidRPr="00FF63AB">
          <w:rPr>
            <w:rFonts w:ascii="Palatino Linotype" w:hAnsi="Palatino Linotype"/>
            <w:noProof/>
            <w:webHidden/>
            <w:sz w:val="24"/>
            <w:szCs w:val="24"/>
          </w:rPr>
          <w:tab/>
        </w:r>
        <w:r w:rsidR="00C41793">
          <w:rPr>
            <w:rFonts w:ascii="Palatino Linotype" w:hAnsi="Palatino Linotype"/>
            <w:noProof/>
            <w:webHidden/>
            <w:sz w:val="24"/>
            <w:szCs w:val="24"/>
          </w:rPr>
          <w:t>70</w:t>
        </w:r>
      </w:hyperlink>
    </w:p>
    <w:p w14:paraId="72A4BBE7" w14:textId="6FF80A80"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5" w:history="1">
        <w:r w:rsidR="00FF63AB" w:rsidRPr="00FF63AB">
          <w:rPr>
            <w:rStyle w:val="Hyperlink"/>
            <w:rFonts w:ascii="Palatino Linotype" w:hAnsi="Palatino Linotype"/>
            <w:noProof/>
            <w:sz w:val="24"/>
            <w:szCs w:val="24"/>
          </w:rPr>
          <w:t>Figure 10: Screen-printed multi-carbon electrode covered in 1mM ferri-ferrocyanide redox buffer solution</w:t>
        </w:r>
        <w:r w:rsidR="00FF63AB" w:rsidRPr="00FF63AB">
          <w:rPr>
            <w:rFonts w:ascii="Palatino Linotype" w:hAnsi="Palatino Linotype"/>
            <w:noProof/>
            <w:webHidden/>
            <w:sz w:val="24"/>
            <w:szCs w:val="24"/>
          </w:rPr>
          <w:tab/>
        </w:r>
        <w:r w:rsidR="00C41793">
          <w:rPr>
            <w:rFonts w:ascii="Palatino Linotype" w:hAnsi="Palatino Linotype"/>
            <w:noProof/>
            <w:webHidden/>
            <w:sz w:val="24"/>
            <w:szCs w:val="24"/>
          </w:rPr>
          <w:t>71</w:t>
        </w:r>
      </w:hyperlink>
    </w:p>
    <w:p w14:paraId="34C96FF9" w14:textId="000DB54E"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6" w:history="1">
        <w:r w:rsidR="00FF63AB" w:rsidRPr="00FF63AB">
          <w:rPr>
            <w:rStyle w:val="Hyperlink"/>
            <w:rFonts w:ascii="Palatino Linotype" w:hAnsi="Palatino Linotype"/>
            <w:noProof/>
            <w:sz w:val="24"/>
            <w:szCs w:val="24"/>
          </w:rPr>
          <w:t>Figure 11: Carbon nanotube modified screen-printed carbon electrode covered in NaOH to activate the electrode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_Toc84519606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72</w:t>
        </w:r>
        <w:r w:rsidR="00FF63AB" w:rsidRPr="00FF63AB">
          <w:rPr>
            <w:rFonts w:ascii="Palatino Linotype" w:hAnsi="Palatino Linotype"/>
            <w:noProof/>
            <w:webHidden/>
            <w:sz w:val="24"/>
            <w:szCs w:val="24"/>
          </w:rPr>
          <w:fldChar w:fldCharType="end"/>
        </w:r>
      </w:hyperlink>
    </w:p>
    <w:p w14:paraId="2ED98264" w14:textId="46FE4726"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7" w:history="1">
        <w:r w:rsidR="00FF63AB" w:rsidRPr="00FF63AB">
          <w:rPr>
            <w:rStyle w:val="Hyperlink"/>
            <w:rFonts w:ascii="Palatino Linotype" w:hAnsi="Palatino Linotype"/>
            <w:noProof/>
            <w:sz w:val="24"/>
            <w:szCs w:val="24"/>
          </w:rPr>
          <w:t>Figure 12: Project work-flow showing the different stages in the development of a ctDNA electrochemical sensor (A) Schematic showing circulating tumour DNA (ctDNA) retrieval and analysis [38-41] (B) Image of a screen-printed electrode array employing eight working electrodes with a common Ag/AgCl reference and carbon counter electrodes along with a schematic showing modification steps and DNA functionalisation</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_Toc84519607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73</w:t>
        </w:r>
        <w:r w:rsidR="00FF63AB" w:rsidRPr="00FF63AB">
          <w:rPr>
            <w:rFonts w:ascii="Palatino Linotype" w:hAnsi="Palatino Linotype"/>
            <w:noProof/>
            <w:webHidden/>
            <w:sz w:val="24"/>
            <w:szCs w:val="24"/>
          </w:rPr>
          <w:fldChar w:fldCharType="end"/>
        </w:r>
      </w:hyperlink>
    </w:p>
    <w:p w14:paraId="696C157C" w14:textId="22610BF1"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8" w:history="1">
        <w:r w:rsidR="00FF63AB" w:rsidRPr="00FF63AB">
          <w:rPr>
            <w:rStyle w:val="Hyperlink"/>
            <w:rFonts w:ascii="Palatino Linotype" w:hAnsi="Palatino Linotype"/>
            <w:noProof/>
            <w:sz w:val="24"/>
            <w:szCs w:val="24"/>
          </w:rPr>
          <w:t>Figure 13: Mini-PCR thermal cycler used for DNA amplification and denaturing</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_Toc84519608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76</w:t>
        </w:r>
        <w:r w:rsidR="00FF63AB" w:rsidRPr="00FF63AB">
          <w:rPr>
            <w:rFonts w:ascii="Palatino Linotype" w:hAnsi="Palatino Linotype"/>
            <w:noProof/>
            <w:webHidden/>
            <w:sz w:val="24"/>
            <w:szCs w:val="24"/>
          </w:rPr>
          <w:fldChar w:fldCharType="end"/>
        </w:r>
      </w:hyperlink>
    </w:p>
    <w:p w14:paraId="72812A1C" w14:textId="186D312D"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09" w:history="1">
        <w:r w:rsidR="00FF63AB" w:rsidRPr="00FF63AB">
          <w:rPr>
            <w:rStyle w:val="Hyperlink"/>
            <w:rFonts w:ascii="Palatino Linotype" w:hAnsi="Palatino Linotype"/>
            <w:noProof/>
            <w:sz w:val="24"/>
            <w:szCs w:val="24"/>
          </w:rPr>
          <w:t xml:space="preserve">Figure 14: RPA amplification process showing RPA amplification scheme. Recombinase proteins form complexes with each primer (A), which scans DNA for similar sequences (B). The primers are then inserted at the cognate site by the strand-displacement activity of the recombinase (C) and single stranded binding proteins stabilise the displaced DNA chain (D). The recombinase then disassembles leaving the 3′-end of the primers accessible to a strand displacing </w:t>
        </w:r>
        <w:r w:rsidR="00FF63AB" w:rsidRPr="00FF63AB">
          <w:rPr>
            <w:rStyle w:val="Hyperlink"/>
            <w:rFonts w:ascii="Palatino Linotype" w:hAnsi="Palatino Linotype"/>
            <w:noProof/>
            <w:sz w:val="24"/>
            <w:szCs w:val="24"/>
          </w:rPr>
          <w:lastRenderedPageBreak/>
          <w:t>DNA polymerase (E), which elongates the primer (F). Exponential amplification is achieved by cyclic repetition of this process [192].</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_Toc84519609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79</w:t>
        </w:r>
        <w:r w:rsidR="00FF63AB" w:rsidRPr="00FF63AB">
          <w:rPr>
            <w:rFonts w:ascii="Palatino Linotype" w:hAnsi="Palatino Linotype"/>
            <w:noProof/>
            <w:webHidden/>
            <w:sz w:val="24"/>
            <w:szCs w:val="24"/>
          </w:rPr>
          <w:fldChar w:fldCharType="end"/>
        </w:r>
      </w:hyperlink>
    </w:p>
    <w:p w14:paraId="60395BDF" w14:textId="2F8EB11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0" w:history="1">
        <w:r w:rsidR="00FF63AB" w:rsidRPr="00FF63AB">
          <w:rPr>
            <w:rStyle w:val="Hyperlink"/>
            <w:rFonts w:ascii="Palatino Linotype" w:hAnsi="Palatino Linotype"/>
            <w:noProof/>
            <w:sz w:val="24"/>
            <w:szCs w:val="24"/>
          </w:rPr>
          <w:t>Figure 15: Mini-PCR thermal cycling graph showing a phusion PCR protocol</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_Toc84519610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82</w:t>
        </w:r>
        <w:r w:rsidR="00FF63AB" w:rsidRPr="00FF63AB">
          <w:rPr>
            <w:rFonts w:ascii="Palatino Linotype" w:hAnsi="Palatino Linotype"/>
            <w:noProof/>
            <w:webHidden/>
            <w:sz w:val="24"/>
            <w:szCs w:val="24"/>
          </w:rPr>
          <w:fldChar w:fldCharType="end"/>
        </w:r>
      </w:hyperlink>
    </w:p>
    <w:p w14:paraId="138662D7" w14:textId="266635E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1" w:history="1">
        <w:r w:rsidR="00FF63AB" w:rsidRPr="00FF63AB">
          <w:rPr>
            <w:rStyle w:val="Hyperlink"/>
            <w:rFonts w:ascii="Palatino Linotype" w:hAnsi="Palatino Linotype"/>
            <w:noProof/>
            <w:sz w:val="24"/>
            <w:szCs w:val="24"/>
          </w:rPr>
          <w:t>Figure 16: blueGel electrophoresis system showing its components [196]</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_Toc84519611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84</w:t>
        </w:r>
        <w:r w:rsidR="00FF63AB" w:rsidRPr="00FF63AB">
          <w:rPr>
            <w:rFonts w:ascii="Palatino Linotype" w:hAnsi="Palatino Linotype"/>
            <w:noProof/>
            <w:webHidden/>
            <w:sz w:val="24"/>
            <w:szCs w:val="24"/>
          </w:rPr>
          <w:fldChar w:fldCharType="end"/>
        </w:r>
      </w:hyperlink>
    </w:p>
    <w:p w14:paraId="258A8A01" w14:textId="575779A2"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2" w:history="1">
        <w:r w:rsidR="00FF63AB" w:rsidRPr="00FF63AB">
          <w:rPr>
            <w:rStyle w:val="Hyperlink"/>
            <w:rFonts w:ascii="Palatino Linotype" w:hAnsi="Palatino Linotype"/>
            <w:noProof/>
            <w:sz w:val="24"/>
            <w:szCs w:val="24"/>
          </w:rPr>
          <w:t>Figure 17: Solidified gel used for separating mixtures of DNA amplicons in gel electrophoresis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_Toc84519612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85</w:t>
        </w:r>
        <w:r w:rsidR="00FF63AB" w:rsidRPr="00FF63AB">
          <w:rPr>
            <w:rFonts w:ascii="Palatino Linotype" w:hAnsi="Palatino Linotype"/>
            <w:noProof/>
            <w:webHidden/>
            <w:sz w:val="24"/>
            <w:szCs w:val="24"/>
          </w:rPr>
          <w:fldChar w:fldCharType="end"/>
        </w:r>
      </w:hyperlink>
    </w:p>
    <w:p w14:paraId="4EDD0F2C" w14:textId="6A894BE9"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3" w:history="1">
        <w:r w:rsidR="00FF63AB" w:rsidRPr="00FF63AB">
          <w:rPr>
            <w:rStyle w:val="Hyperlink"/>
            <w:rFonts w:ascii="Palatino Linotype" w:hAnsi="Palatino Linotype"/>
            <w:noProof/>
            <w:sz w:val="24"/>
            <w:szCs w:val="24"/>
          </w:rPr>
          <w:t>Figure 18: Example of a Cyclic Voltammogram showing  oxidative and reductive peak currents and low current signals when target binds to probe (post-hybridisation)</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_Toc84519613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87</w:t>
        </w:r>
        <w:r w:rsidR="00FF63AB" w:rsidRPr="00FF63AB">
          <w:rPr>
            <w:rFonts w:ascii="Palatino Linotype" w:hAnsi="Palatino Linotype"/>
            <w:noProof/>
            <w:webHidden/>
            <w:sz w:val="24"/>
            <w:szCs w:val="24"/>
          </w:rPr>
          <w:fldChar w:fldCharType="end"/>
        </w:r>
      </w:hyperlink>
    </w:p>
    <w:p w14:paraId="119BD76A" w14:textId="0A88948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4" w:history="1">
        <w:r w:rsidR="00FF63AB" w:rsidRPr="00FF63AB">
          <w:rPr>
            <w:rStyle w:val="Hyperlink"/>
            <w:rFonts w:ascii="Palatino Linotype" w:hAnsi="Palatino Linotype"/>
            <w:noProof/>
            <w:sz w:val="24"/>
            <w:szCs w:val="24"/>
          </w:rPr>
          <w:t>Figure 19: Example of a Differential Pulse Voltammogram showing  oxidative peak current and low current signals when target binds to probe (post-hybridisation)</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_Toc84519614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88</w:t>
        </w:r>
        <w:r w:rsidR="00FF63AB" w:rsidRPr="00FF63AB">
          <w:rPr>
            <w:rFonts w:ascii="Palatino Linotype" w:hAnsi="Palatino Linotype"/>
            <w:noProof/>
            <w:webHidden/>
            <w:sz w:val="24"/>
            <w:szCs w:val="24"/>
          </w:rPr>
          <w:fldChar w:fldCharType="end"/>
        </w:r>
      </w:hyperlink>
    </w:p>
    <w:p w14:paraId="22A3BB7A" w14:textId="733E6B6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5" w:history="1">
        <w:r w:rsidR="00FF63AB" w:rsidRPr="00FF63AB">
          <w:rPr>
            <w:rStyle w:val="Hyperlink"/>
            <w:rFonts w:ascii="Palatino Linotype" w:hAnsi="Palatino Linotype"/>
            <w:noProof/>
            <w:sz w:val="24"/>
            <w:szCs w:val="24"/>
          </w:rPr>
          <w:t>Figure 20: Example of a Square Wave Voltammogram showing  oxidative peak current and low current signals when target binds to probe (post-hybridisation)</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_Toc84519615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89</w:t>
        </w:r>
        <w:r w:rsidR="00FF63AB" w:rsidRPr="00FF63AB">
          <w:rPr>
            <w:rFonts w:ascii="Palatino Linotype" w:hAnsi="Palatino Linotype"/>
            <w:noProof/>
            <w:webHidden/>
            <w:sz w:val="24"/>
            <w:szCs w:val="24"/>
          </w:rPr>
          <w:fldChar w:fldCharType="end"/>
        </w:r>
      </w:hyperlink>
    </w:p>
    <w:p w14:paraId="7E5BF31C" w14:textId="5D0BBFF2"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6" w:history="1">
        <w:r w:rsidR="00FF63AB" w:rsidRPr="00FF63AB">
          <w:rPr>
            <w:rStyle w:val="Hyperlink"/>
            <w:rFonts w:ascii="Palatino Linotype" w:hAnsi="Palatino Linotype"/>
            <w:noProof/>
            <w:sz w:val="24"/>
            <w:szCs w:val="24"/>
          </w:rPr>
          <w:t>Figure 21: (A) Nyquist plot showing charge transfer resistance from a region of high to low frequencies and a Warburg element at a 45</w:t>
        </w:r>
        <w:r w:rsidR="00FF63AB" w:rsidRPr="00FF63AB">
          <w:rPr>
            <w:rStyle w:val="Hyperlink"/>
            <w:rFonts w:ascii="Palatino Linotype" w:hAnsi="Palatino Linotype"/>
            <w:noProof/>
            <w:sz w:val="24"/>
            <w:szCs w:val="24"/>
            <w:vertAlign w:val="superscript"/>
          </w:rPr>
          <w:t>O</w:t>
        </w:r>
        <w:r w:rsidR="00FF63AB" w:rsidRPr="00FF63AB">
          <w:rPr>
            <w:rStyle w:val="Hyperlink"/>
            <w:rFonts w:ascii="Palatino Linotype" w:hAnsi="Palatino Linotype"/>
            <w:noProof/>
            <w:sz w:val="24"/>
            <w:szCs w:val="24"/>
          </w:rPr>
          <w:t xml:space="preserve"> angle in the low frequency region and (B) Randles circuit R([RW]C) commonly used to interpret spectra in EIS where R</w:t>
        </w:r>
        <w:r w:rsidR="00FF63AB" w:rsidRPr="00FF63AB">
          <w:rPr>
            <w:rStyle w:val="Hyperlink"/>
            <w:rFonts w:ascii="Palatino Linotype" w:hAnsi="Palatino Linotype"/>
            <w:noProof/>
            <w:sz w:val="24"/>
            <w:szCs w:val="24"/>
            <w:vertAlign w:val="subscript"/>
          </w:rPr>
          <w:t>S</w:t>
        </w:r>
        <w:r w:rsidR="00FF63AB" w:rsidRPr="00FF63AB">
          <w:rPr>
            <w:rStyle w:val="Hyperlink"/>
            <w:rFonts w:ascii="Palatino Linotype" w:hAnsi="Palatino Linotype"/>
            <w:noProof/>
            <w:sz w:val="24"/>
            <w:szCs w:val="24"/>
          </w:rPr>
          <w:t xml:space="preserve"> represents ionic resistance, C</w:t>
        </w:r>
        <w:r w:rsidR="00FF63AB" w:rsidRPr="00FF63AB">
          <w:rPr>
            <w:rStyle w:val="Hyperlink"/>
            <w:rFonts w:ascii="Palatino Linotype" w:hAnsi="Palatino Linotype"/>
            <w:noProof/>
            <w:sz w:val="24"/>
            <w:szCs w:val="24"/>
            <w:vertAlign w:val="subscript"/>
          </w:rPr>
          <w:t>dl</w:t>
        </w:r>
        <w:r w:rsidR="00FF63AB" w:rsidRPr="00FF63AB">
          <w:rPr>
            <w:rStyle w:val="Hyperlink"/>
            <w:rFonts w:ascii="Palatino Linotype" w:hAnsi="Palatino Linotype"/>
            <w:noProof/>
            <w:sz w:val="24"/>
            <w:szCs w:val="24"/>
          </w:rPr>
          <w:t xml:space="preserve"> represents double layer capacitance, R</w:t>
        </w:r>
        <w:r w:rsidR="00FF63AB" w:rsidRPr="00FF63AB">
          <w:rPr>
            <w:rStyle w:val="Hyperlink"/>
            <w:rFonts w:ascii="Palatino Linotype" w:hAnsi="Palatino Linotype"/>
            <w:noProof/>
            <w:sz w:val="24"/>
            <w:szCs w:val="24"/>
            <w:vertAlign w:val="subscript"/>
          </w:rPr>
          <w:t>CT</w:t>
        </w:r>
        <w:r w:rsidR="00FF63AB" w:rsidRPr="00FF63AB">
          <w:rPr>
            <w:rStyle w:val="Hyperlink"/>
            <w:rFonts w:ascii="Palatino Linotype" w:hAnsi="Palatino Linotype"/>
            <w:noProof/>
            <w:sz w:val="24"/>
            <w:szCs w:val="24"/>
          </w:rPr>
          <w:t xml:space="preserve"> represents charge transfer resistance and Z</w:t>
        </w:r>
        <w:r w:rsidR="00FF63AB" w:rsidRPr="00FF63AB">
          <w:rPr>
            <w:rStyle w:val="Hyperlink"/>
            <w:rFonts w:ascii="Palatino Linotype" w:hAnsi="Palatino Linotype"/>
            <w:noProof/>
            <w:sz w:val="24"/>
            <w:szCs w:val="24"/>
            <w:vertAlign w:val="subscript"/>
          </w:rPr>
          <w:t>W</w:t>
        </w:r>
        <w:r w:rsidR="00FF63AB" w:rsidRPr="00FF63AB">
          <w:rPr>
            <w:rStyle w:val="Hyperlink"/>
            <w:rFonts w:ascii="Palatino Linotype" w:hAnsi="Palatino Linotype"/>
            <w:noProof/>
            <w:sz w:val="24"/>
            <w:szCs w:val="24"/>
          </w:rPr>
          <w:t xml:space="preserve"> represents diffusion resistance element [205]</w:t>
        </w:r>
        <w:r w:rsidR="00FF63AB" w:rsidRPr="00FF63AB">
          <w:rPr>
            <w:rFonts w:ascii="Palatino Linotype" w:hAnsi="Palatino Linotype"/>
            <w:noProof/>
            <w:webHidden/>
            <w:sz w:val="24"/>
            <w:szCs w:val="24"/>
          </w:rPr>
          <w:tab/>
        </w:r>
        <w:r w:rsidR="008858EE">
          <w:rPr>
            <w:rFonts w:ascii="Palatino Linotype" w:hAnsi="Palatino Linotype"/>
            <w:noProof/>
            <w:webHidden/>
            <w:sz w:val="24"/>
            <w:szCs w:val="24"/>
          </w:rPr>
          <w:t>90</w:t>
        </w:r>
      </w:hyperlink>
    </w:p>
    <w:p w14:paraId="288A776E" w14:textId="24DCCD50"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7" w:history="1">
        <w:r w:rsidR="00FF63AB" w:rsidRPr="00FF63AB">
          <w:rPr>
            <w:rStyle w:val="Hyperlink"/>
            <w:rFonts w:ascii="Palatino Linotype" w:hAnsi="Palatino Linotype"/>
            <w:noProof/>
            <w:sz w:val="24"/>
            <w:szCs w:val="24"/>
          </w:rPr>
          <w:t>Figure 22: Floating cells in suspension containing the R273H mutation in the U373 glioblastoma mammalian cell line culture.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_Toc84519617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95</w:t>
        </w:r>
        <w:r w:rsidR="00FF63AB" w:rsidRPr="00FF63AB">
          <w:rPr>
            <w:rFonts w:ascii="Palatino Linotype" w:hAnsi="Palatino Linotype"/>
            <w:noProof/>
            <w:webHidden/>
            <w:sz w:val="24"/>
            <w:szCs w:val="24"/>
          </w:rPr>
          <w:fldChar w:fldCharType="end"/>
        </w:r>
      </w:hyperlink>
    </w:p>
    <w:p w14:paraId="63146CFC" w14:textId="050383E7"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8" w:history="1">
        <w:r w:rsidR="00FF63AB" w:rsidRPr="00FF63AB">
          <w:rPr>
            <w:rStyle w:val="Hyperlink"/>
            <w:rFonts w:ascii="Palatino Linotype" w:hAnsi="Palatino Linotype"/>
            <w:noProof/>
            <w:sz w:val="24"/>
            <w:szCs w:val="24"/>
          </w:rPr>
          <w:t>Figure 23: EIS measurements for wild-type p53 synthetic oligonucleotide binding (1 hour incubation) – (A) and (B) shows complementary hybridisation, (C) and (D) shows single-base mismatch hybridisation. (A) and (C) shows pre-treatment by dipping in H</w:t>
        </w:r>
        <w:r w:rsidR="00FF63AB" w:rsidRPr="00FF63AB">
          <w:rPr>
            <w:rStyle w:val="Hyperlink"/>
            <w:rFonts w:ascii="Palatino Linotype" w:hAnsi="Palatino Linotype"/>
            <w:noProof/>
            <w:sz w:val="24"/>
            <w:szCs w:val="24"/>
            <w:vertAlign w:val="subscript"/>
          </w:rPr>
          <w:t>2</w:t>
        </w:r>
        <w:r w:rsidR="00FF63AB" w:rsidRPr="00FF63AB">
          <w:rPr>
            <w:rStyle w:val="Hyperlink"/>
            <w:rFonts w:ascii="Palatino Linotype" w:hAnsi="Palatino Linotype"/>
            <w:noProof/>
            <w:sz w:val="24"/>
            <w:szCs w:val="24"/>
          </w:rPr>
          <w:t>SO</w:t>
        </w:r>
        <w:r w:rsidR="00FF63AB" w:rsidRPr="00FF63AB">
          <w:rPr>
            <w:rStyle w:val="Hyperlink"/>
            <w:rFonts w:ascii="Palatino Linotype" w:hAnsi="Palatino Linotype"/>
            <w:noProof/>
            <w:sz w:val="24"/>
            <w:szCs w:val="24"/>
            <w:vertAlign w:val="subscript"/>
          </w:rPr>
          <w:t>4</w:t>
        </w:r>
        <w:r w:rsidR="00FF63AB" w:rsidRPr="00FF63AB">
          <w:rPr>
            <w:rStyle w:val="Hyperlink"/>
            <w:rFonts w:ascii="Palatino Linotype" w:hAnsi="Palatino Linotype"/>
            <w:noProof/>
            <w:sz w:val="24"/>
            <w:szCs w:val="24"/>
          </w:rPr>
          <w:t xml:space="preserve"> while (B) and (D) shows pre-treatment by cycling in H</w:t>
        </w:r>
        <w:r w:rsidR="00FF63AB" w:rsidRPr="00FF63AB">
          <w:rPr>
            <w:rStyle w:val="Hyperlink"/>
            <w:rFonts w:ascii="Palatino Linotype" w:hAnsi="Palatino Linotype"/>
            <w:noProof/>
            <w:sz w:val="24"/>
            <w:szCs w:val="24"/>
            <w:vertAlign w:val="subscript"/>
          </w:rPr>
          <w:t>2</w:t>
        </w:r>
        <w:r w:rsidR="00FF63AB" w:rsidRPr="00FF63AB">
          <w:rPr>
            <w:rStyle w:val="Hyperlink"/>
            <w:rFonts w:ascii="Palatino Linotype" w:hAnsi="Palatino Linotype"/>
            <w:noProof/>
            <w:sz w:val="24"/>
            <w:szCs w:val="24"/>
          </w:rPr>
          <w:t>SO</w:t>
        </w:r>
        <w:r w:rsidR="00FF63AB" w:rsidRPr="00FF63AB">
          <w:rPr>
            <w:rStyle w:val="Hyperlink"/>
            <w:rFonts w:ascii="Palatino Linotype" w:hAnsi="Palatino Linotype"/>
            <w:noProof/>
            <w:sz w:val="24"/>
            <w:szCs w:val="24"/>
            <w:vertAlign w:val="subscript"/>
          </w:rPr>
          <w:t>4</w:t>
        </w:r>
        <w:r w:rsidR="00FF63AB" w:rsidRPr="00FF63AB">
          <w:rPr>
            <w:rStyle w:val="Hyperlink"/>
            <w:rFonts w:ascii="Palatino Linotype" w:hAnsi="Palatino Linotype"/>
            <w:noProof/>
            <w:sz w:val="24"/>
            <w:szCs w:val="24"/>
          </w:rPr>
          <w:t>.</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_Toc84519618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96</w:t>
        </w:r>
        <w:r w:rsidR="00FF63AB" w:rsidRPr="00FF63AB">
          <w:rPr>
            <w:rFonts w:ascii="Palatino Linotype" w:hAnsi="Palatino Linotype"/>
            <w:noProof/>
            <w:webHidden/>
            <w:sz w:val="24"/>
            <w:szCs w:val="24"/>
          </w:rPr>
          <w:fldChar w:fldCharType="end"/>
        </w:r>
      </w:hyperlink>
    </w:p>
    <w:p w14:paraId="21A5D7F7" w14:textId="47270CB7"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19" w:history="1">
        <w:r w:rsidR="00FF63AB" w:rsidRPr="00FF63AB">
          <w:rPr>
            <w:rStyle w:val="Hyperlink"/>
            <w:rFonts w:ascii="Palatino Linotype" w:hAnsi="Palatino Linotype"/>
            <w:noProof/>
            <w:sz w:val="24"/>
            <w:szCs w:val="24"/>
          </w:rPr>
          <w:t>Figure 24: EIS measurements for wild-type p53 synthetic oligonucleotide binding (16 hours incubation) – (A) and (B) shows complementary hybridisation, (C) and (D) shows non-complementary hybridisation. (A) and (C) shows pre-treatment by dipping in H</w:t>
        </w:r>
        <w:r w:rsidR="00FF63AB" w:rsidRPr="00FF63AB">
          <w:rPr>
            <w:rStyle w:val="Hyperlink"/>
            <w:rFonts w:ascii="Palatino Linotype" w:hAnsi="Palatino Linotype"/>
            <w:noProof/>
            <w:sz w:val="24"/>
            <w:szCs w:val="24"/>
            <w:vertAlign w:val="subscript"/>
          </w:rPr>
          <w:t>2</w:t>
        </w:r>
        <w:r w:rsidR="00FF63AB" w:rsidRPr="00FF63AB">
          <w:rPr>
            <w:rStyle w:val="Hyperlink"/>
            <w:rFonts w:ascii="Palatino Linotype" w:hAnsi="Palatino Linotype"/>
            <w:noProof/>
            <w:sz w:val="24"/>
            <w:szCs w:val="24"/>
          </w:rPr>
          <w:t>SO</w:t>
        </w:r>
        <w:r w:rsidR="00FF63AB" w:rsidRPr="00FF63AB">
          <w:rPr>
            <w:rStyle w:val="Hyperlink"/>
            <w:rFonts w:ascii="Palatino Linotype" w:hAnsi="Palatino Linotype"/>
            <w:noProof/>
            <w:sz w:val="24"/>
            <w:szCs w:val="24"/>
            <w:vertAlign w:val="subscript"/>
          </w:rPr>
          <w:t>4</w:t>
        </w:r>
        <w:r w:rsidR="00FF63AB" w:rsidRPr="00FF63AB">
          <w:rPr>
            <w:rStyle w:val="Hyperlink"/>
            <w:rFonts w:ascii="Palatino Linotype" w:hAnsi="Palatino Linotype"/>
            <w:noProof/>
            <w:sz w:val="24"/>
            <w:szCs w:val="24"/>
          </w:rPr>
          <w:t xml:space="preserve"> while (B) and (D) shows pre-treatment by cycling in H</w:t>
        </w:r>
        <w:r w:rsidR="00FF63AB" w:rsidRPr="00FF63AB">
          <w:rPr>
            <w:rStyle w:val="Hyperlink"/>
            <w:rFonts w:ascii="Palatino Linotype" w:hAnsi="Palatino Linotype"/>
            <w:noProof/>
            <w:sz w:val="24"/>
            <w:szCs w:val="24"/>
            <w:vertAlign w:val="subscript"/>
          </w:rPr>
          <w:t>2</w:t>
        </w:r>
        <w:r w:rsidR="00FF63AB" w:rsidRPr="00FF63AB">
          <w:rPr>
            <w:rStyle w:val="Hyperlink"/>
            <w:rFonts w:ascii="Palatino Linotype" w:hAnsi="Palatino Linotype"/>
            <w:noProof/>
            <w:sz w:val="24"/>
            <w:szCs w:val="24"/>
          </w:rPr>
          <w:t>SO</w:t>
        </w:r>
        <w:r w:rsidR="00FF63AB" w:rsidRPr="00FF63AB">
          <w:rPr>
            <w:rStyle w:val="Hyperlink"/>
            <w:rFonts w:ascii="Palatino Linotype" w:hAnsi="Palatino Linotype"/>
            <w:noProof/>
            <w:sz w:val="24"/>
            <w:szCs w:val="24"/>
            <w:vertAlign w:val="subscript"/>
          </w:rPr>
          <w:t>4</w:t>
        </w:r>
        <w:r w:rsidR="00FF63AB" w:rsidRPr="00FF63AB">
          <w:rPr>
            <w:rStyle w:val="Hyperlink"/>
            <w:rFonts w:ascii="Palatino Linotype" w:hAnsi="Palatino Linotype"/>
            <w:noProof/>
            <w:sz w:val="24"/>
            <w:szCs w:val="24"/>
          </w:rPr>
          <w:t>.</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_Toc84519619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98</w:t>
        </w:r>
        <w:r w:rsidR="00FF63AB" w:rsidRPr="00FF63AB">
          <w:rPr>
            <w:rFonts w:ascii="Palatino Linotype" w:hAnsi="Palatino Linotype"/>
            <w:noProof/>
            <w:webHidden/>
            <w:sz w:val="24"/>
            <w:szCs w:val="24"/>
          </w:rPr>
          <w:fldChar w:fldCharType="end"/>
        </w:r>
      </w:hyperlink>
    </w:p>
    <w:p w14:paraId="725ADF17" w14:textId="189775FB"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0" w:history="1">
        <w:r w:rsidR="00FF63AB" w:rsidRPr="00FF63AB">
          <w:rPr>
            <w:rStyle w:val="Hyperlink"/>
            <w:rFonts w:ascii="Palatino Linotype" w:hAnsi="Palatino Linotype"/>
            <w:noProof/>
            <w:sz w:val="24"/>
            <w:szCs w:val="24"/>
          </w:rPr>
          <w:t>Figure 25: CV peak currents showing a bare electrode and four different techniques for preparing gold SPEs at different scan rates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_Toc84519620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99</w:t>
        </w:r>
        <w:r w:rsidR="00FF63AB" w:rsidRPr="00FF63AB">
          <w:rPr>
            <w:rFonts w:ascii="Palatino Linotype" w:hAnsi="Palatino Linotype"/>
            <w:noProof/>
            <w:webHidden/>
            <w:sz w:val="24"/>
            <w:szCs w:val="24"/>
          </w:rPr>
          <w:fldChar w:fldCharType="end"/>
        </w:r>
      </w:hyperlink>
    </w:p>
    <w:p w14:paraId="232D76AF" w14:textId="62003664"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1" w:history="1">
        <w:r w:rsidR="00FF63AB" w:rsidRPr="00FF63AB">
          <w:rPr>
            <w:rStyle w:val="Hyperlink"/>
            <w:rFonts w:ascii="Palatino Linotype" w:hAnsi="Palatino Linotype"/>
            <w:noProof/>
            <w:sz w:val="24"/>
            <w:szCs w:val="24"/>
          </w:rPr>
          <w:t>Figure 26: SEM image of a bare SPCE at (A) x 1.0K (B) x 5.0K and (C) x 100 magnifications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_Toc84519621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113</w:t>
        </w:r>
        <w:r w:rsidR="00FF63AB" w:rsidRPr="00FF63AB">
          <w:rPr>
            <w:rFonts w:ascii="Palatino Linotype" w:hAnsi="Palatino Linotype"/>
            <w:noProof/>
            <w:webHidden/>
            <w:sz w:val="24"/>
            <w:szCs w:val="24"/>
          </w:rPr>
          <w:fldChar w:fldCharType="end"/>
        </w:r>
      </w:hyperlink>
    </w:p>
    <w:p w14:paraId="222EDED5" w14:textId="79FC674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2" w:history="1">
        <w:r w:rsidR="00FF63AB" w:rsidRPr="00FF63AB">
          <w:rPr>
            <w:rStyle w:val="Hyperlink"/>
            <w:rFonts w:ascii="Palatino Linotype" w:hAnsi="Palatino Linotype"/>
            <w:noProof/>
            <w:sz w:val="24"/>
            <w:szCs w:val="24"/>
          </w:rPr>
          <w:t>Figure 27:  SEM image of a NaOH- pre-treated SPCE at (A) x 1.0K (B) x 5.0K and (C) x 100 magnifications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_Toc84519622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114</w:t>
        </w:r>
        <w:r w:rsidR="00FF63AB" w:rsidRPr="00FF63AB">
          <w:rPr>
            <w:rFonts w:ascii="Palatino Linotype" w:hAnsi="Palatino Linotype"/>
            <w:noProof/>
            <w:webHidden/>
            <w:sz w:val="24"/>
            <w:szCs w:val="24"/>
          </w:rPr>
          <w:fldChar w:fldCharType="end"/>
        </w:r>
      </w:hyperlink>
    </w:p>
    <w:p w14:paraId="7B276140" w14:textId="7E611883"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3" w:history="1">
        <w:r w:rsidR="00FF63AB" w:rsidRPr="00FF63AB">
          <w:rPr>
            <w:rStyle w:val="Hyperlink"/>
            <w:rFonts w:ascii="Palatino Linotype" w:hAnsi="Palatino Linotype"/>
            <w:noProof/>
            <w:sz w:val="24"/>
            <w:szCs w:val="24"/>
          </w:rPr>
          <w:t>Figure 28: SEM image of a NaCl – pre-treated SPCE at (A) x 1.0K (B) x 5.0K and (C) x 100 magnifications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_Toc84519623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114</w:t>
        </w:r>
        <w:r w:rsidR="00FF63AB" w:rsidRPr="00FF63AB">
          <w:rPr>
            <w:rFonts w:ascii="Palatino Linotype" w:hAnsi="Palatino Linotype"/>
            <w:noProof/>
            <w:webHidden/>
            <w:sz w:val="24"/>
            <w:szCs w:val="24"/>
          </w:rPr>
          <w:fldChar w:fldCharType="end"/>
        </w:r>
      </w:hyperlink>
    </w:p>
    <w:p w14:paraId="30CAC638" w14:textId="1DCE7EB5"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4" w:history="1">
        <w:r w:rsidR="00FF63AB" w:rsidRPr="00FF63AB">
          <w:rPr>
            <w:rStyle w:val="Hyperlink"/>
            <w:rFonts w:ascii="Palatino Linotype" w:hAnsi="Palatino Linotype"/>
            <w:noProof/>
            <w:sz w:val="24"/>
            <w:szCs w:val="24"/>
          </w:rPr>
          <w:t>Figure 29: SPCE pre-treated surfaces (Bare, NaCl and NaOH treated) characterised in ferri-ferrocyanide and ruthenium redox buffers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_Toc84519624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115</w:t>
        </w:r>
        <w:r w:rsidR="00FF63AB" w:rsidRPr="00FF63AB">
          <w:rPr>
            <w:rFonts w:ascii="Palatino Linotype" w:hAnsi="Palatino Linotype"/>
            <w:noProof/>
            <w:webHidden/>
            <w:sz w:val="24"/>
            <w:szCs w:val="24"/>
          </w:rPr>
          <w:fldChar w:fldCharType="end"/>
        </w:r>
      </w:hyperlink>
    </w:p>
    <w:p w14:paraId="6E231075" w14:textId="3F25B12C"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5" w:history="1">
        <w:r w:rsidR="00FF63AB" w:rsidRPr="00FF63AB">
          <w:rPr>
            <w:rStyle w:val="Hyperlink"/>
            <w:rFonts w:ascii="Palatino Linotype" w:hAnsi="Palatino Linotype"/>
            <w:noProof/>
            <w:sz w:val="24"/>
            <w:szCs w:val="24"/>
          </w:rPr>
          <w:t>Figure 30: Examines the effect of two different redox agents on the DPV peak current after each functionalisation step on SPCE sensor response characterised using (A) 1mM ferri-ferrocyanide buffer in 0.1 x PBS and (B) 1mM ruthenium hexaminechloride in 0.1 x PBS: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_Toc84519625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116</w:t>
        </w:r>
        <w:r w:rsidR="00FF63AB" w:rsidRPr="00FF63AB">
          <w:rPr>
            <w:rFonts w:ascii="Palatino Linotype" w:hAnsi="Palatino Linotype"/>
            <w:noProof/>
            <w:webHidden/>
            <w:sz w:val="24"/>
            <w:szCs w:val="24"/>
          </w:rPr>
          <w:fldChar w:fldCharType="end"/>
        </w:r>
      </w:hyperlink>
    </w:p>
    <w:p w14:paraId="523B4899" w14:textId="4CB1A607"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6" w:history="1">
        <w:r w:rsidR="00FF63AB" w:rsidRPr="00FF63AB">
          <w:rPr>
            <w:rStyle w:val="Hyperlink"/>
            <w:rFonts w:ascii="Palatino Linotype" w:hAnsi="Palatino Linotype"/>
            <w:noProof/>
            <w:sz w:val="24"/>
            <w:szCs w:val="24"/>
          </w:rPr>
          <w:t>Figure 31: CV results showing the effect of different modifications on the signal changes recorded from the surface of the SPCE using ferri/ferrocyanide redox buffer</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_Toc84519626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118</w:t>
        </w:r>
        <w:r w:rsidR="00FF63AB" w:rsidRPr="00FF63AB">
          <w:rPr>
            <w:rFonts w:ascii="Palatino Linotype" w:hAnsi="Palatino Linotype"/>
            <w:noProof/>
            <w:webHidden/>
            <w:sz w:val="24"/>
            <w:szCs w:val="24"/>
          </w:rPr>
          <w:fldChar w:fldCharType="end"/>
        </w:r>
      </w:hyperlink>
    </w:p>
    <w:p w14:paraId="475CE53B" w14:textId="3AF04745"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7" w:history="1">
        <w:r w:rsidR="00FF63AB" w:rsidRPr="00FF63AB">
          <w:rPr>
            <w:rStyle w:val="Hyperlink"/>
            <w:rFonts w:ascii="Palatino Linotype" w:hAnsi="Palatino Linotype" w:cstheme="minorHAnsi"/>
            <w:noProof/>
            <w:sz w:val="24"/>
            <w:szCs w:val="24"/>
          </w:rPr>
          <w:t>Figure 32: Clinical sample obtained contains copies of KRAS pG12D mutant and wild-type detected in total DNA isolated from SK-UT-1 human uterine cell line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_Toc84519627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119</w:t>
        </w:r>
        <w:r w:rsidR="00FF63AB" w:rsidRPr="00FF63AB">
          <w:rPr>
            <w:rFonts w:ascii="Palatino Linotype" w:hAnsi="Palatino Linotype"/>
            <w:noProof/>
            <w:webHidden/>
            <w:sz w:val="24"/>
            <w:szCs w:val="24"/>
          </w:rPr>
          <w:fldChar w:fldCharType="end"/>
        </w:r>
      </w:hyperlink>
    </w:p>
    <w:p w14:paraId="51D2E57E" w14:textId="0830808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8" w:history="1">
        <w:r w:rsidR="00FF63AB" w:rsidRPr="00FF63AB">
          <w:rPr>
            <w:rStyle w:val="Hyperlink"/>
            <w:rFonts w:ascii="Palatino Linotype" w:hAnsi="Palatino Linotype"/>
            <w:noProof/>
            <w:sz w:val="24"/>
            <w:szCs w:val="24"/>
          </w:rPr>
          <w:t>Figure 33: Gel electrophoresis showing successful amplification of KRAS pG12D</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_Toc84519628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120</w:t>
        </w:r>
        <w:r w:rsidR="00FF63AB" w:rsidRPr="00FF63AB">
          <w:rPr>
            <w:rFonts w:ascii="Palatino Linotype" w:hAnsi="Palatino Linotype"/>
            <w:noProof/>
            <w:webHidden/>
            <w:sz w:val="24"/>
            <w:szCs w:val="24"/>
          </w:rPr>
          <w:fldChar w:fldCharType="end"/>
        </w:r>
      </w:hyperlink>
    </w:p>
    <w:p w14:paraId="22BB038B" w14:textId="45EC0E07"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29" w:history="1">
        <w:r w:rsidR="00FF63AB" w:rsidRPr="00FF63AB">
          <w:rPr>
            <w:rStyle w:val="Hyperlink"/>
            <w:rFonts w:ascii="Palatino Linotype" w:hAnsi="Palatino Linotype"/>
            <w:noProof/>
            <w:sz w:val="24"/>
            <w:szCs w:val="24"/>
          </w:rPr>
          <w:t>Figure 34: CV results showing repeated cycling of (a) KRAS G12D probe functionalised electrodes (b) KRAS G12D amplicons over 8-chip multi-electrodes using the same current and voltage inputs.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_Toc84519629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121</w:t>
        </w:r>
        <w:r w:rsidR="00FF63AB" w:rsidRPr="00FF63AB">
          <w:rPr>
            <w:rFonts w:ascii="Palatino Linotype" w:hAnsi="Palatino Linotype"/>
            <w:noProof/>
            <w:webHidden/>
            <w:sz w:val="24"/>
            <w:szCs w:val="24"/>
          </w:rPr>
          <w:fldChar w:fldCharType="end"/>
        </w:r>
      </w:hyperlink>
    </w:p>
    <w:p w14:paraId="7B83AD21" w14:textId="1B2A6D9C"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0" w:history="1">
        <w:r w:rsidR="00FF63AB" w:rsidRPr="00FF63AB">
          <w:rPr>
            <w:rStyle w:val="Hyperlink"/>
            <w:rFonts w:ascii="Palatino Linotype" w:hAnsi="Palatino Linotype"/>
            <w:noProof/>
            <w:sz w:val="24"/>
            <w:szCs w:val="24"/>
          </w:rPr>
          <w:t>Figure 35: CV results showing hybridization selectivity between a (a) wild-type probe (b) mutant probe and a representative clinical sample containing PCR amplified KRAS G12D mutant allele with a total KRAS G12D ssDNA concentration of 0.854 ng/µl</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_Toc84519630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122</w:t>
        </w:r>
        <w:r w:rsidR="00FF63AB" w:rsidRPr="00FF63AB">
          <w:rPr>
            <w:rFonts w:ascii="Palatino Linotype" w:hAnsi="Palatino Linotype"/>
            <w:noProof/>
            <w:webHidden/>
            <w:sz w:val="24"/>
            <w:szCs w:val="24"/>
          </w:rPr>
          <w:fldChar w:fldCharType="end"/>
        </w:r>
      </w:hyperlink>
    </w:p>
    <w:p w14:paraId="0595CFB1" w14:textId="4B0866D2"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1" w:history="1">
        <w:r w:rsidR="00FF63AB" w:rsidRPr="00FF63AB">
          <w:rPr>
            <w:rStyle w:val="Hyperlink"/>
            <w:rFonts w:ascii="Palatino Linotype" w:hAnsi="Palatino Linotype"/>
            <w:noProof/>
            <w:sz w:val="24"/>
            <w:szCs w:val="24"/>
          </w:rPr>
          <w:t>Figure 36: (A) KRAS pG12D complementary oligonucleotide hybridisation (B) KRAS pG12D non-amplified gDNA hybridisation (C) Successful amplification of KRAS G12D mutants further confirmed by a large reduction in both oxidative and reductive peak currents between mutant probe and G12D mutant amplicons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_Toc84519631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123</w:t>
        </w:r>
        <w:r w:rsidR="00FF63AB" w:rsidRPr="00FF63AB">
          <w:rPr>
            <w:rFonts w:ascii="Palatino Linotype" w:hAnsi="Palatino Linotype"/>
            <w:noProof/>
            <w:webHidden/>
            <w:sz w:val="24"/>
            <w:szCs w:val="24"/>
          </w:rPr>
          <w:fldChar w:fldCharType="end"/>
        </w:r>
      </w:hyperlink>
    </w:p>
    <w:p w14:paraId="5F4D60C9" w14:textId="48963D1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2" w:history="1">
        <w:r w:rsidR="00FF63AB" w:rsidRPr="00FF63AB">
          <w:rPr>
            <w:rStyle w:val="Hyperlink"/>
            <w:rFonts w:ascii="Palatino Linotype" w:hAnsi="Palatino Linotype"/>
            <w:noProof/>
            <w:sz w:val="24"/>
            <w:szCs w:val="24"/>
          </w:rPr>
          <w:t>Figure 37: EIS responses for clean, probe modified and target bound electrodes following 25 PCR cycles (a) and 30 PCR cycles (b) and (c) CV results showing the correlation between oxidative and reductive peak currents and PCR cycle number (n=3).</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_Toc84519632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125</w:t>
        </w:r>
        <w:r w:rsidR="00FF63AB" w:rsidRPr="00FF63AB">
          <w:rPr>
            <w:rFonts w:ascii="Palatino Linotype" w:hAnsi="Palatino Linotype"/>
            <w:noProof/>
            <w:webHidden/>
            <w:sz w:val="24"/>
            <w:szCs w:val="24"/>
          </w:rPr>
          <w:fldChar w:fldCharType="end"/>
        </w:r>
      </w:hyperlink>
    </w:p>
    <w:p w14:paraId="3686F4A8" w14:textId="752240AB"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3" w:history="1">
        <w:r w:rsidR="00FF63AB" w:rsidRPr="00FF63AB">
          <w:rPr>
            <w:rStyle w:val="Hyperlink"/>
            <w:rFonts w:ascii="Palatino Linotype" w:hAnsi="Palatino Linotype"/>
            <w:noProof/>
            <w:sz w:val="24"/>
            <w:szCs w:val="24"/>
          </w:rPr>
          <w:t>Figure 38: Equivalent circuit models of the impedance spectra recorded for SPCE (a) 25 PCR thermal cycles pre-hybridisation (b) 25 PCR thermal cycles post-hybridisation (c) 30 PCR thermal cycles pre-hybridisation (d) 30 PCR thermal cycles post-hybridisation</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_Toc84519633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126</w:t>
        </w:r>
        <w:r w:rsidR="00FF63AB" w:rsidRPr="00FF63AB">
          <w:rPr>
            <w:rFonts w:ascii="Palatino Linotype" w:hAnsi="Palatino Linotype"/>
            <w:noProof/>
            <w:webHidden/>
            <w:sz w:val="24"/>
            <w:szCs w:val="24"/>
          </w:rPr>
          <w:fldChar w:fldCharType="end"/>
        </w:r>
      </w:hyperlink>
    </w:p>
    <w:p w14:paraId="7264B19C" w14:textId="30DE11C0"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4" w:history="1">
        <w:r w:rsidR="00FF63AB" w:rsidRPr="00FF63AB">
          <w:rPr>
            <w:rStyle w:val="Hyperlink"/>
            <w:rFonts w:ascii="Palatino Linotype" w:hAnsi="Palatino Linotype"/>
            <w:noProof/>
            <w:sz w:val="24"/>
            <w:szCs w:val="24"/>
          </w:rPr>
          <w:t>Figure 39: (a) ctDNA response at different concentrations using 25 thermal cycle PCR products (b) Concentration response relationship using CV reductive peak current values (n=1).</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_Toc84519634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128</w:t>
        </w:r>
        <w:r w:rsidR="00FF63AB" w:rsidRPr="00FF63AB">
          <w:rPr>
            <w:rFonts w:ascii="Palatino Linotype" w:hAnsi="Palatino Linotype"/>
            <w:noProof/>
            <w:webHidden/>
            <w:sz w:val="24"/>
            <w:szCs w:val="24"/>
          </w:rPr>
          <w:fldChar w:fldCharType="end"/>
        </w:r>
      </w:hyperlink>
    </w:p>
    <w:p w14:paraId="1BFEB30C" w14:textId="2648F417"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5" w:history="1">
        <w:r w:rsidR="00FF63AB" w:rsidRPr="00FF63AB">
          <w:rPr>
            <w:rStyle w:val="Hyperlink"/>
            <w:rFonts w:ascii="Palatino Linotype" w:hAnsi="Palatino Linotype" w:cstheme="minorHAnsi"/>
            <w:noProof/>
            <w:sz w:val="24"/>
            <w:szCs w:val="24"/>
          </w:rPr>
          <w:t>Figure 40: (a) CV results showing DNA hybridization target controls using (i) G12D mutant probe in ultrapure water (ii) G12D mutant probe in human plasma (iii) G12D mutant probe in representative sample containing KRAS G12D mutant amplicons in plasma (b) CV result (% signal change) showing G12D amplicons concentration dose response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_Toc84519635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130</w:t>
        </w:r>
        <w:r w:rsidR="00FF63AB" w:rsidRPr="00FF63AB">
          <w:rPr>
            <w:rFonts w:ascii="Palatino Linotype" w:hAnsi="Palatino Linotype"/>
            <w:noProof/>
            <w:webHidden/>
            <w:sz w:val="24"/>
            <w:szCs w:val="24"/>
          </w:rPr>
          <w:fldChar w:fldCharType="end"/>
        </w:r>
      </w:hyperlink>
    </w:p>
    <w:p w14:paraId="15279320" w14:textId="5071B9D4"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6" w:history="1">
        <w:r w:rsidR="00FF63AB" w:rsidRPr="00FF63AB">
          <w:rPr>
            <w:rStyle w:val="Hyperlink"/>
            <w:rFonts w:ascii="Palatino Linotype" w:hAnsi="Palatino Linotype"/>
            <w:noProof/>
            <w:sz w:val="24"/>
            <w:szCs w:val="24"/>
          </w:rPr>
          <w:t>Figure 41: SWV results showing  the comparison between NaCl and NaOH  pre-treatment effect on the signal recorded at different stages in the assay development</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_Toc84519636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140</w:t>
        </w:r>
        <w:r w:rsidR="00FF63AB" w:rsidRPr="00FF63AB">
          <w:rPr>
            <w:rFonts w:ascii="Palatino Linotype" w:hAnsi="Palatino Linotype"/>
            <w:noProof/>
            <w:webHidden/>
            <w:sz w:val="24"/>
            <w:szCs w:val="24"/>
          </w:rPr>
          <w:fldChar w:fldCharType="end"/>
        </w:r>
      </w:hyperlink>
    </w:p>
    <w:p w14:paraId="2A43FC35" w14:textId="430C03D2"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7" w:history="1">
        <w:r w:rsidR="00FF63AB" w:rsidRPr="00FF63AB">
          <w:rPr>
            <w:rStyle w:val="Hyperlink"/>
            <w:rFonts w:ascii="Palatino Linotype" w:hAnsi="Palatino Linotype" w:cstheme="minorHAnsi"/>
            <w:noProof/>
            <w:sz w:val="24"/>
            <w:szCs w:val="24"/>
          </w:rPr>
          <w:t>Figure 42: DPV result showing the reproducibility of the oxidative peak currents of the 8-chip multi-SPCEs sensor taken over 8 cycles using the same current and voltage input.</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_Toc84519637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141</w:t>
        </w:r>
        <w:r w:rsidR="00FF63AB" w:rsidRPr="00FF63AB">
          <w:rPr>
            <w:rFonts w:ascii="Palatino Linotype" w:hAnsi="Palatino Linotype"/>
            <w:noProof/>
            <w:webHidden/>
            <w:sz w:val="24"/>
            <w:szCs w:val="24"/>
          </w:rPr>
          <w:fldChar w:fldCharType="end"/>
        </w:r>
      </w:hyperlink>
    </w:p>
    <w:p w14:paraId="0D2F3EF8" w14:textId="4E788319"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8" w:history="1">
        <w:r w:rsidR="00FF63AB" w:rsidRPr="00FF63AB">
          <w:rPr>
            <w:rStyle w:val="Hyperlink"/>
            <w:rFonts w:ascii="Palatino Linotype" w:hAnsi="Palatino Linotype"/>
            <w:noProof/>
            <w:sz w:val="24"/>
            <w:szCs w:val="24"/>
          </w:rPr>
          <w:t>Figure 43: CV measurements showing the effect of an inner sphere and outer sphere redox mediator on electron transfer for different SPCE surfaces on (A) non-modified surface and (B) modified and DNA functionalised surfaces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_Toc84519638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143</w:t>
        </w:r>
        <w:r w:rsidR="00FF63AB" w:rsidRPr="00FF63AB">
          <w:rPr>
            <w:rFonts w:ascii="Palatino Linotype" w:hAnsi="Palatino Linotype"/>
            <w:noProof/>
            <w:webHidden/>
            <w:sz w:val="24"/>
            <w:szCs w:val="24"/>
          </w:rPr>
          <w:fldChar w:fldCharType="end"/>
        </w:r>
      </w:hyperlink>
    </w:p>
    <w:p w14:paraId="688F6F08" w14:textId="3B3C89F7"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39" w:history="1">
        <w:r w:rsidR="00FF63AB" w:rsidRPr="00FF63AB">
          <w:rPr>
            <w:rStyle w:val="Hyperlink"/>
            <w:rFonts w:ascii="Palatino Linotype" w:hAnsi="Palatino Linotype"/>
            <w:noProof/>
            <w:sz w:val="24"/>
            <w:szCs w:val="24"/>
          </w:rPr>
          <w:t>Figure 44: ddPCR results showing pG13D copies/ng gDNA in genomic cfDNA from HCT116 colon cancer cell line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_Toc84519639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145</w:t>
        </w:r>
        <w:r w:rsidR="00FF63AB" w:rsidRPr="00FF63AB">
          <w:rPr>
            <w:rFonts w:ascii="Palatino Linotype" w:hAnsi="Palatino Linotype"/>
            <w:noProof/>
            <w:webHidden/>
            <w:sz w:val="24"/>
            <w:szCs w:val="24"/>
          </w:rPr>
          <w:fldChar w:fldCharType="end"/>
        </w:r>
      </w:hyperlink>
    </w:p>
    <w:p w14:paraId="61A375EC" w14:textId="4BEBCFEB"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0" w:history="1">
        <w:r w:rsidR="00FF63AB" w:rsidRPr="00FF63AB">
          <w:rPr>
            <w:rStyle w:val="Hyperlink"/>
            <w:rFonts w:ascii="Palatino Linotype" w:hAnsi="Palatino Linotype"/>
            <w:noProof/>
            <w:sz w:val="24"/>
            <w:szCs w:val="24"/>
          </w:rPr>
          <w:t>Figure 45: DPV measurement in response to mutant and wild-type KRAS pG13D probes hybridised with genomic KRAS pG13D ssDNA</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_Toc84519640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146</w:t>
        </w:r>
        <w:r w:rsidR="00FF63AB" w:rsidRPr="00FF63AB">
          <w:rPr>
            <w:rFonts w:ascii="Palatino Linotype" w:hAnsi="Palatino Linotype"/>
            <w:noProof/>
            <w:webHidden/>
            <w:sz w:val="24"/>
            <w:szCs w:val="24"/>
          </w:rPr>
          <w:fldChar w:fldCharType="end"/>
        </w:r>
      </w:hyperlink>
    </w:p>
    <w:p w14:paraId="56EFCDC7" w14:textId="43F272D0"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1" w:history="1">
        <w:r w:rsidR="00FF63AB" w:rsidRPr="00FF63AB">
          <w:rPr>
            <w:rStyle w:val="Hyperlink"/>
            <w:rFonts w:ascii="Palatino Linotype" w:hAnsi="Palatino Linotype"/>
            <w:noProof/>
            <w:sz w:val="24"/>
            <w:szCs w:val="24"/>
          </w:rPr>
          <w:t>Figure 46: CV results showing the difference between PCR and RPA isothermal amplification in DNA hybridisation (BP= Blocked probe, T= Target)</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_Toc84519641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148</w:t>
        </w:r>
        <w:r w:rsidR="00FF63AB" w:rsidRPr="00FF63AB">
          <w:rPr>
            <w:rFonts w:ascii="Palatino Linotype" w:hAnsi="Palatino Linotype"/>
            <w:noProof/>
            <w:webHidden/>
            <w:sz w:val="24"/>
            <w:szCs w:val="24"/>
          </w:rPr>
          <w:fldChar w:fldCharType="end"/>
        </w:r>
      </w:hyperlink>
    </w:p>
    <w:p w14:paraId="48B62C7A" w14:textId="6A042114"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2" w:history="1">
        <w:r w:rsidR="00FF63AB" w:rsidRPr="00FF63AB">
          <w:rPr>
            <w:rStyle w:val="Hyperlink"/>
            <w:rFonts w:ascii="Palatino Linotype" w:hAnsi="Palatino Linotype"/>
            <w:noProof/>
            <w:sz w:val="24"/>
            <w:szCs w:val="24"/>
          </w:rPr>
          <w:t>Figure 47: DPV measurements showing successful amplification of (A) KRAS G13D mutants further confirmed by a large percentage signal change ratio between mutant probe and G13D mutant amplicons (B) KRAS wild-type further confirmed by a large percentage signal ratio between wild-type probe and wild-type DNA</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_Toc84519642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150</w:t>
        </w:r>
        <w:r w:rsidR="00FF63AB" w:rsidRPr="00FF63AB">
          <w:rPr>
            <w:rFonts w:ascii="Palatino Linotype" w:hAnsi="Palatino Linotype"/>
            <w:noProof/>
            <w:webHidden/>
            <w:sz w:val="24"/>
            <w:szCs w:val="24"/>
          </w:rPr>
          <w:fldChar w:fldCharType="end"/>
        </w:r>
      </w:hyperlink>
    </w:p>
    <w:p w14:paraId="0FD50E5A" w14:textId="33C5EE6B"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3" w:history="1">
        <w:r w:rsidR="00FF63AB" w:rsidRPr="00FF63AB">
          <w:rPr>
            <w:rStyle w:val="Hyperlink"/>
            <w:rFonts w:ascii="Palatino Linotype" w:hAnsi="Palatino Linotype"/>
            <w:noProof/>
            <w:sz w:val="24"/>
            <w:szCs w:val="24"/>
          </w:rPr>
          <w:t>Figure 48: Dose concentration dilution series using KRAS pG13D mutant probe on (A) non-amplified cfDNA and (B) amplified KRAS pG13D amplicons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_Toc84519643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153</w:t>
        </w:r>
        <w:r w:rsidR="00FF63AB" w:rsidRPr="00FF63AB">
          <w:rPr>
            <w:rFonts w:ascii="Palatino Linotype" w:hAnsi="Palatino Linotype"/>
            <w:noProof/>
            <w:webHidden/>
            <w:sz w:val="24"/>
            <w:szCs w:val="24"/>
          </w:rPr>
          <w:fldChar w:fldCharType="end"/>
        </w:r>
      </w:hyperlink>
    </w:p>
    <w:p w14:paraId="7B9457DA" w14:textId="181C269C"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4" w:history="1">
        <w:r w:rsidR="00FF63AB" w:rsidRPr="00FF63AB">
          <w:rPr>
            <w:rStyle w:val="Hyperlink"/>
            <w:rFonts w:ascii="Palatino Linotype" w:hAnsi="Palatino Linotype"/>
            <w:noProof/>
            <w:sz w:val="24"/>
            <w:szCs w:val="24"/>
          </w:rPr>
          <w:t>Figure 49: Cyclic voltammetry measurement showing regular vs CNT-modified SPCE in 0.1X PBS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_Toc84519644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154</w:t>
        </w:r>
        <w:r w:rsidR="00FF63AB" w:rsidRPr="00FF63AB">
          <w:rPr>
            <w:rFonts w:ascii="Palatino Linotype" w:hAnsi="Palatino Linotype"/>
            <w:noProof/>
            <w:webHidden/>
            <w:sz w:val="24"/>
            <w:szCs w:val="24"/>
          </w:rPr>
          <w:fldChar w:fldCharType="end"/>
        </w:r>
      </w:hyperlink>
    </w:p>
    <w:p w14:paraId="04FB3924" w14:textId="6461658D"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5" w:history="1">
        <w:r w:rsidR="00FF63AB" w:rsidRPr="00FF63AB">
          <w:rPr>
            <w:rStyle w:val="Hyperlink"/>
            <w:rFonts w:ascii="Palatino Linotype" w:hAnsi="Palatino Linotype"/>
            <w:noProof/>
            <w:sz w:val="24"/>
            <w:szCs w:val="24"/>
          </w:rPr>
          <w:t>Figure 50: Investigating the sensitivity of different SPCE surfaces using DNA oligonucleotide hybridisation in 1mM ferricyanide buffer</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_Toc84519645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156</w:t>
        </w:r>
        <w:r w:rsidR="00FF63AB" w:rsidRPr="00FF63AB">
          <w:rPr>
            <w:rFonts w:ascii="Palatino Linotype" w:hAnsi="Palatino Linotype"/>
            <w:noProof/>
            <w:webHidden/>
            <w:sz w:val="24"/>
            <w:szCs w:val="24"/>
          </w:rPr>
          <w:fldChar w:fldCharType="end"/>
        </w:r>
      </w:hyperlink>
    </w:p>
    <w:p w14:paraId="34CBBFC5" w14:textId="155C4BDB"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6" w:history="1">
        <w:r w:rsidR="00FF63AB" w:rsidRPr="00FF63AB">
          <w:rPr>
            <w:rStyle w:val="Hyperlink"/>
            <w:rFonts w:ascii="Palatino Linotype" w:hAnsi="Palatino Linotype"/>
            <w:noProof/>
            <w:sz w:val="24"/>
            <w:szCs w:val="24"/>
          </w:rPr>
          <w:t>Figure 51: Comparing DNA hybridisation results using different voltammetry measuring techniques on CNT-modified SPCEs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_Toc84519646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157</w:t>
        </w:r>
        <w:r w:rsidR="00FF63AB" w:rsidRPr="00FF63AB">
          <w:rPr>
            <w:rFonts w:ascii="Palatino Linotype" w:hAnsi="Palatino Linotype"/>
            <w:noProof/>
            <w:webHidden/>
            <w:sz w:val="24"/>
            <w:szCs w:val="24"/>
          </w:rPr>
          <w:fldChar w:fldCharType="end"/>
        </w:r>
      </w:hyperlink>
    </w:p>
    <w:p w14:paraId="0788AA0F" w14:textId="1DE893E1"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7" w:history="1">
        <w:r w:rsidR="00FF63AB" w:rsidRPr="00FF63AB">
          <w:rPr>
            <w:rStyle w:val="Hyperlink"/>
            <w:rFonts w:ascii="Palatino Linotype" w:hAnsi="Palatino Linotype"/>
            <w:noProof/>
            <w:sz w:val="24"/>
            <w:szCs w:val="24"/>
          </w:rPr>
          <w:t>Figure 52: DNA hybridisation using KRAS pG12D (A) wild-type oligonucleotide probe and mutant oligonucleotide target (B) mutant oligonucleotide probe and mutant oligonucleotide target</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_Toc84519647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158</w:t>
        </w:r>
        <w:r w:rsidR="00FF63AB" w:rsidRPr="00FF63AB">
          <w:rPr>
            <w:rFonts w:ascii="Palatino Linotype" w:hAnsi="Palatino Linotype"/>
            <w:noProof/>
            <w:webHidden/>
            <w:sz w:val="24"/>
            <w:szCs w:val="24"/>
          </w:rPr>
          <w:fldChar w:fldCharType="end"/>
        </w:r>
      </w:hyperlink>
    </w:p>
    <w:p w14:paraId="20F0AB7C" w14:textId="3D356B4C"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8" w:history="1">
        <w:r w:rsidR="00FF63AB" w:rsidRPr="00FF63AB">
          <w:rPr>
            <w:rStyle w:val="Hyperlink"/>
            <w:rFonts w:ascii="Palatino Linotype" w:hAnsi="Palatino Linotype"/>
            <w:noProof/>
            <w:sz w:val="24"/>
            <w:szCs w:val="24"/>
          </w:rPr>
          <w:t>Figure 53: Plasma samples from 8 blind patients to investigate the presence of pG12D and pG13D KRAS mutations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_Toc84519648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161</w:t>
        </w:r>
        <w:r w:rsidR="00FF63AB" w:rsidRPr="00FF63AB">
          <w:rPr>
            <w:rFonts w:ascii="Palatino Linotype" w:hAnsi="Palatino Linotype"/>
            <w:noProof/>
            <w:webHidden/>
            <w:sz w:val="24"/>
            <w:szCs w:val="24"/>
          </w:rPr>
          <w:fldChar w:fldCharType="end"/>
        </w:r>
      </w:hyperlink>
    </w:p>
    <w:p w14:paraId="4BEF8A10" w14:textId="604BF50D"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49" w:history="1">
        <w:r w:rsidR="00FF63AB" w:rsidRPr="00FF63AB">
          <w:rPr>
            <w:rStyle w:val="Hyperlink"/>
            <w:rFonts w:ascii="Palatino Linotype" w:hAnsi="Palatino Linotype"/>
            <w:noProof/>
            <w:sz w:val="24"/>
            <w:szCs w:val="24"/>
          </w:rPr>
          <w:t>Figure 54: cfDNA samples from 8 blind patients to investigate the presence of pG12D and pG13D KRAS mutations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_Toc84519649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162</w:t>
        </w:r>
        <w:r w:rsidR="00FF63AB" w:rsidRPr="00FF63AB">
          <w:rPr>
            <w:rFonts w:ascii="Palatino Linotype" w:hAnsi="Palatino Linotype"/>
            <w:noProof/>
            <w:webHidden/>
            <w:sz w:val="24"/>
            <w:szCs w:val="24"/>
          </w:rPr>
          <w:fldChar w:fldCharType="end"/>
        </w:r>
      </w:hyperlink>
    </w:p>
    <w:p w14:paraId="3F9075BC" w14:textId="1E3D48BE"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0" w:history="1">
        <w:r w:rsidR="00FF63AB" w:rsidRPr="00FF63AB">
          <w:rPr>
            <w:rStyle w:val="Hyperlink"/>
            <w:rFonts w:ascii="Palatino Linotype" w:hAnsi="Palatino Linotype"/>
            <w:noProof/>
            <w:sz w:val="24"/>
            <w:szCs w:val="24"/>
          </w:rPr>
          <w:t>Figure 55: DNA hybridisation using pG12D and pG13D mutant probes and wild-type amplicons on CNT-modified SPCEs (n = 4)</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_Toc84519650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165</w:t>
        </w:r>
        <w:r w:rsidR="00FF63AB" w:rsidRPr="00FF63AB">
          <w:rPr>
            <w:rFonts w:ascii="Palatino Linotype" w:hAnsi="Palatino Linotype"/>
            <w:noProof/>
            <w:webHidden/>
            <w:sz w:val="24"/>
            <w:szCs w:val="24"/>
          </w:rPr>
          <w:fldChar w:fldCharType="end"/>
        </w:r>
      </w:hyperlink>
    </w:p>
    <w:p w14:paraId="240172AF" w14:textId="4CD3A24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1" w:history="1">
        <w:r w:rsidR="00FF63AB" w:rsidRPr="00FF63AB">
          <w:rPr>
            <w:rStyle w:val="Hyperlink"/>
            <w:rFonts w:ascii="Palatino Linotype" w:hAnsi="Palatino Linotype"/>
            <w:noProof/>
            <w:sz w:val="24"/>
            <w:szCs w:val="24"/>
          </w:rPr>
          <w:t>Figure 56: (A) CV measurement and (B) SWV measurement showing complementary wild-type hybridisation using wild-type amplicons on CNT-modified SPCE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_Toc84519651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166</w:t>
        </w:r>
        <w:r w:rsidR="00FF63AB" w:rsidRPr="00FF63AB">
          <w:rPr>
            <w:rFonts w:ascii="Palatino Linotype" w:hAnsi="Palatino Linotype"/>
            <w:noProof/>
            <w:webHidden/>
            <w:sz w:val="24"/>
            <w:szCs w:val="24"/>
          </w:rPr>
          <w:fldChar w:fldCharType="end"/>
        </w:r>
      </w:hyperlink>
    </w:p>
    <w:p w14:paraId="66995EB1" w14:textId="6E58F739"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2" w:history="1">
        <w:r w:rsidR="00FF63AB" w:rsidRPr="00FF63AB">
          <w:rPr>
            <w:rStyle w:val="Hyperlink"/>
            <w:rFonts w:ascii="Palatino Linotype" w:hAnsi="Palatino Linotype"/>
            <w:noProof/>
            <w:sz w:val="24"/>
            <w:szCs w:val="24"/>
          </w:rPr>
          <w:t>Figure 57: DNA hybridisation using pG12D and pG13D mutant probes and mutant amplicons on SPCEs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_Toc84519652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168</w:t>
        </w:r>
        <w:r w:rsidR="00FF63AB" w:rsidRPr="00FF63AB">
          <w:rPr>
            <w:rFonts w:ascii="Palatino Linotype" w:hAnsi="Palatino Linotype"/>
            <w:noProof/>
            <w:webHidden/>
            <w:sz w:val="24"/>
            <w:szCs w:val="24"/>
          </w:rPr>
          <w:fldChar w:fldCharType="end"/>
        </w:r>
      </w:hyperlink>
    </w:p>
    <w:p w14:paraId="24D29235" w14:textId="3D5268C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3" w:history="1">
        <w:r w:rsidR="00FF63AB" w:rsidRPr="00FF63AB">
          <w:rPr>
            <w:rStyle w:val="Hyperlink"/>
            <w:rFonts w:ascii="Palatino Linotype" w:hAnsi="Palatino Linotype"/>
            <w:noProof/>
            <w:sz w:val="24"/>
            <w:szCs w:val="24"/>
          </w:rPr>
          <w:t>Figure 58: DNA hybridisation between (A) pG12D mutant probe and non-amplified cfDNA samples (ng/</w:t>
        </w:r>
        <w:r w:rsidR="00FF63AB" w:rsidRPr="00FF63AB">
          <w:rPr>
            <w:rStyle w:val="Hyperlink"/>
            <w:rFonts w:ascii="Palatino Linotype" w:hAnsi="Palatino Linotype" w:cstheme="minorHAnsi"/>
            <w:noProof/>
            <w:sz w:val="24"/>
            <w:szCs w:val="24"/>
          </w:rPr>
          <w:t>µ</w:t>
        </w:r>
        <w:r w:rsidR="00FF63AB" w:rsidRPr="00FF63AB">
          <w:rPr>
            <w:rStyle w:val="Hyperlink"/>
            <w:rFonts w:ascii="Palatino Linotype" w:hAnsi="Palatino Linotype"/>
            <w:noProof/>
            <w:sz w:val="24"/>
            <w:szCs w:val="24"/>
          </w:rPr>
          <w:t>l) (B) (A) pG12D mutant probe and non-amplified cfDNA samples (ng/</w:t>
        </w:r>
        <w:r w:rsidR="00FF63AB" w:rsidRPr="00FF63AB">
          <w:rPr>
            <w:rStyle w:val="Hyperlink"/>
            <w:rFonts w:ascii="Palatino Linotype" w:hAnsi="Palatino Linotype" w:cstheme="minorHAnsi"/>
            <w:noProof/>
            <w:sz w:val="24"/>
            <w:szCs w:val="24"/>
          </w:rPr>
          <w:t>µ</w:t>
        </w:r>
        <w:r w:rsidR="00FF63AB" w:rsidRPr="00FF63AB">
          <w:rPr>
            <w:rStyle w:val="Hyperlink"/>
            <w:rFonts w:ascii="Palatino Linotype" w:hAnsi="Palatino Linotype"/>
            <w:noProof/>
            <w:sz w:val="24"/>
            <w:szCs w:val="24"/>
          </w:rPr>
          <w:t>l) on SPCE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_Toc84519653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169</w:t>
        </w:r>
        <w:r w:rsidR="00FF63AB" w:rsidRPr="00FF63AB">
          <w:rPr>
            <w:rFonts w:ascii="Palatino Linotype" w:hAnsi="Palatino Linotype"/>
            <w:noProof/>
            <w:webHidden/>
            <w:sz w:val="24"/>
            <w:szCs w:val="24"/>
          </w:rPr>
          <w:fldChar w:fldCharType="end"/>
        </w:r>
      </w:hyperlink>
    </w:p>
    <w:p w14:paraId="3D3FAFEE" w14:textId="1140A00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4" w:history="1">
        <w:r w:rsidR="00FF63AB" w:rsidRPr="00FF63AB">
          <w:rPr>
            <w:rStyle w:val="Hyperlink"/>
            <w:rFonts w:ascii="Palatino Linotype" w:hAnsi="Palatino Linotype"/>
            <w:noProof/>
            <w:sz w:val="24"/>
            <w:szCs w:val="24"/>
          </w:rPr>
          <w:t>Figure 59: Droplet digital PCR raw results for 8 patient samples (KRASpG12D in the left column and KRASpG13D on the right column). Top row show droplets for the mutants, 2nd row show droplets for the respective wild-type controls. Figures in 3rd row show 2D representations of droplets for the mutant on the Y-axis and respective KRAS wild-type controls on the X-axis.</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_Toc84519654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170</w:t>
        </w:r>
        <w:r w:rsidR="00FF63AB" w:rsidRPr="00FF63AB">
          <w:rPr>
            <w:rFonts w:ascii="Palatino Linotype" w:hAnsi="Palatino Linotype"/>
            <w:noProof/>
            <w:webHidden/>
            <w:sz w:val="24"/>
            <w:szCs w:val="24"/>
          </w:rPr>
          <w:fldChar w:fldCharType="end"/>
        </w:r>
      </w:hyperlink>
    </w:p>
    <w:p w14:paraId="4F4D0B89" w14:textId="4A0038E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5" w:history="1">
        <w:r w:rsidR="00FF63AB" w:rsidRPr="00FF63AB">
          <w:rPr>
            <w:rStyle w:val="Hyperlink"/>
            <w:rFonts w:ascii="Palatino Linotype" w:hAnsi="Palatino Linotype"/>
            <w:noProof/>
            <w:sz w:val="24"/>
            <w:szCs w:val="24"/>
          </w:rPr>
          <w:t>Figure 60: KRAS detected in cfDNA isolated from 1mL plasma from patients’ samples. A) KRASpG12D (blue bars) and corresponding wild type control (red bars) copies per ng of cfDNA for corresponding patients; B) KRASpG13D (blue bars) and corresponding wild type control (red bars) copies per ng of cfDNA for corresponding patients; C) KRASpG12D (blue bars) and KRASpG13D (red bars) using left-handed Y-axis and corresponding WT controls (green bars for pG12D and purple bars for pG13D) using right-</w:t>
        </w:r>
        <w:r w:rsidR="00FF63AB" w:rsidRPr="00FF63AB">
          <w:rPr>
            <w:rStyle w:val="Hyperlink"/>
            <w:rFonts w:ascii="Palatino Linotype" w:hAnsi="Palatino Linotype" w:cs="Calibri"/>
            <w:noProof/>
            <w:sz w:val="24"/>
            <w:szCs w:val="24"/>
            <w:shd w:val="clear" w:color="auto" w:fill="FFFFFF"/>
          </w:rPr>
          <w:t xml:space="preserve"> </w:t>
        </w:r>
        <w:r w:rsidR="00FF63AB" w:rsidRPr="00FF63AB">
          <w:rPr>
            <w:rStyle w:val="Hyperlink"/>
            <w:rFonts w:ascii="Palatino Linotype" w:hAnsi="Palatino Linotype"/>
            <w:noProof/>
            <w:sz w:val="24"/>
            <w:szCs w:val="24"/>
          </w:rPr>
          <w:t>handed Y-axis (showing similar values for WT detected in both KRASpG12D and KRASpG13D assays); and D) Percent KRASpG12D/WT (blue circle, left Y-axis) and KRASpG13D/WT (red square, right Y-axis) ratio detected in corresponding patient sample.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_Toc84519655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172</w:t>
        </w:r>
        <w:r w:rsidR="00FF63AB" w:rsidRPr="00FF63AB">
          <w:rPr>
            <w:rFonts w:ascii="Palatino Linotype" w:hAnsi="Palatino Linotype"/>
            <w:noProof/>
            <w:webHidden/>
            <w:sz w:val="24"/>
            <w:szCs w:val="24"/>
          </w:rPr>
          <w:fldChar w:fldCharType="end"/>
        </w:r>
      </w:hyperlink>
    </w:p>
    <w:p w14:paraId="59C06AF3" w14:textId="258A3CD9"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6" w:history="1">
        <w:r w:rsidR="00FF63AB" w:rsidRPr="00FF63AB">
          <w:rPr>
            <w:rStyle w:val="Hyperlink"/>
            <w:rFonts w:ascii="Palatino Linotype" w:hAnsi="Palatino Linotype"/>
            <w:noProof/>
            <w:sz w:val="24"/>
            <w:szCs w:val="24"/>
          </w:rPr>
          <w:t>Figure 61: SWV measurements showing DNA hybridisation using pG12d and pG13D mutant probes on amplified and Non-amplified cfDNA samples (ng/</w:t>
        </w:r>
        <w:r w:rsidR="00FF63AB" w:rsidRPr="00FF63AB">
          <w:rPr>
            <w:rStyle w:val="Hyperlink"/>
            <w:rFonts w:ascii="Palatino Linotype" w:hAnsi="Palatino Linotype" w:cstheme="minorHAnsi"/>
            <w:noProof/>
            <w:sz w:val="24"/>
            <w:szCs w:val="24"/>
          </w:rPr>
          <w:t>µ</w:t>
        </w:r>
        <w:r w:rsidR="00FF63AB" w:rsidRPr="00FF63AB">
          <w:rPr>
            <w:rStyle w:val="Hyperlink"/>
            <w:rFonts w:ascii="Palatino Linotype" w:hAnsi="Palatino Linotype"/>
            <w:noProof/>
            <w:sz w:val="24"/>
            <w:szCs w:val="24"/>
          </w:rPr>
          <w:t>l)</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_Toc84519656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173</w:t>
        </w:r>
        <w:r w:rsidR="00FF63AB" w:rsidRPr="00FF63AB">
          <w:rPr>
            <w:rFonts w:ascii="Palatino Linotype" w:hAnsi="Palatino Linotype"/>
            <w:noProof/>
            <w:webHidden/>
            <w:sz w:val="24"/>
            <w:szCs w:val="24"/>
          </w:rPr>
          <w:fldChar w:fldCharType="end"/>
        </w:r>
      </w:hyperlink>
    </w:p>
    <w:p w14:paraId="45D3C07F" w14:textId="0076B0AA"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7" w:history="1">
        <w:r w:rsidR="00FF63AB" w:rsidRPr="00FF63AB">
          <w:rPr>
            <w:rStyle w:val="Hyperlink"/>
            <w:rFonts w:ascii="Palatino Linotype" w:hAnsi="Palatino Linotype"/>
            <w:noProof/>
            <w:sz w:val="24"/>
            <w:szCs w:val="24"/>
          </w:rPr>
          <w:t>Figure 62: One way ANOVA tests using the TUKEY test to determine the relationship between the peak current values obtained pG12D hybridisation measured using CV in unamplified samples from patients 440, 459, 466 and 481</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_Toc84519657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174</w:t>
        </w:r>
        <w:r w:rsidR="00FF63AB" w:rsidRPr="00FF63AB">
          <w:rPr>
            <w:rFonts w:ascii="Palatino Linotype" w:hAnsi="Palatino Linotype"/>
            <w:noProof/>
            <w:webHidden/>
            <w:sz w:val="24"/>
            <w:szCs w:val="24"/>
          </w:rPr>
          <w:fldChar w:fldCharType="end"/>
        </w:r>
      </w:hyperlink>
    </w:p>
    <w:p w14:paraId="678CA845" w14:textId="6DEAEDAD"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8" w:history="1">
        <w:r w:rsidR="00FF63AB" w:rsidRPr="00FF63AB">
          <w:rPr>
            <w:rStyle w:val="Hyperlink"/>
            <w:rFonts w:ascii="Palatino Linotype" w:hAnsi="Palatino Linotype"/>
            <w:noProof/>
            <w:sz w:val="24"/>
            <w:szCs w:val="24"/>
          </w:rPr>
          <w:t>Figure 63: One way ANOVA tests using the TUKEY test to determine the relationship between the peak current values obtained pG13D hybridisation measured using CV in unamplified samples from patients 440, 459, 466 and 481</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_Toc84519658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175</w:t>
        </w:r>
        <w:r w:rsidR="00FF63AB" w:rsidRPr="00FF63AB">
          <w:rPr>
            <w:rFonts w:ascii="Palatino Linotype" w:hAnsi="Palatino Linotype"/>
            <w:noProof/>
            <w:webHidden/>
            <w:sz w:val="24"/>
            <w:szCs w:val="24"/>
          </w:rPr>
          <w:fldChar w:fldCharType="end"/>
        </w:r>
      </w:hyperlink>
    </w:p>
    <w:p w14:paraId="1A203AA2" w14:textId="504118E1"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59" w:history="1">
        <w:r w:rsidR="00FF63AB" w:rsidRPr="00FF63AB">
          <w:rPr>
            <w:rStyle w:val="Hyperlink"/>
            <w:rFonts w:ascii="Palatino Linotype" w:hAnsi="Palatino Linotype"/>
            <w:noProof/>
            <w:sz w:val="24"/>
            <w:szCs w:val="24"/>
          </w:rPr>
          <w:t>Figure 64: One way ANOVA tests using the TUKEY test to determine the relationship between the peak current values obtained pG12D hybridisation measured using CV in amplified samples from patients 440, 459, 466 and 481</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_Toc84519659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176</w:t>
        </w:r>
        <w:r w:rsidR="00FF63AB" w:rsidRPr="00FF63AB">
          <w:rPr>
            <w:rFonts w:ascii="Palatino Linotype" w:hAnsi="Palatino Linotype"/>
            <w:noProof/>
            <w:webHidden/>
            <w:sz w:val="24"/>
            <w:szCs w:val="24"/>
          </w:rPr>
          <w:fldChar w:fldCharType="end"/>
        </w:r>
      </w:hyperlink>
    </w:p>
    <w:p w14:paraId="61760AFA" w14:textId="61F0FBB3"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60" w:history="1">
        <w:r w:rsidR="00FF63AB" w:rsidRPr="00FF63AB">
          <w:rPr>
            <w:rStyle w:val="Hyperlink"/>
            <w:rFonts w:ascii="Palatino Linotype" w:hAnsi="Palatino Linotype"/>
            <w:noProof/>
            <w:sz w:val="24"/>
            <w:szCs w:val="24"/>
          </w:rPr>
          <w:t>Figure 65: One way ANOVA tests using the TUKEY test to determine the relationship between the peak current values obtained pG13D hybridisation measured using CV in amplified samples from patients 440, 459, 466 and 481</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_Toc84519660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177</w:t>
        </w:r>
        <w:r w:rsidR="00FF63AB" w:rsidRPr="00FF63AB">
          <w:rPr>
            <w:rFonts w:ascii="Palatino Linotype" w:hAnsi="Palatino Linotype"/>
            <w:noProof/>
            <w:webHidden/>
            <w:sz w:val="24"/>
            <w:szCs w:val="24"/>
          </w:rPr>
          <w:fldChar w:fldCharType="end"/>
        </w:r>
      </w:hyperlink>
    </w:p>
    <w:p w14:paraId="08900685" w14:textId="7183DB3B"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61" w:history="1">
        <w:r w:rsidR="00FF63AB" w:rsidRPr="00FF63AB">
          <w:rPr>
            <w:rStyle w:val="Hyperlink"/>
            <w:rFonts w:ascii="Palatino Linotype" w:hAnsi="Palatino Linotype"/>
            <w:noProof/>
            <w:sz w:val="24"/>
            <w:szCs w:val="24"/>
          </w:rPr>
          <w:t>Figure 66: ANOVA two-way test showing CV interactions between unamplified and amplified cfDNA targets using KRAS pG12D mutant probe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_Toc84519661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178</w:t>
        </w:r>
        <w:r w:rsidR="00FF63AB" w:rsidRPr="00FF63AB">
          <w:rPr>
            <w:rFonts w:ascii="Palatino Linotype" w:hAnsi="Palatino Linotype"/>
            <w:noProof/>
            <w:webHidden/>
            <w:sz w:val="24"/>
            <w:szCs w:val="24"/>
          </w:rPr>
          <w:fldChar w:fldCharType="end"/>
        </w:r>
      </w:hyperlink>
    </w:p>
    <w:p w14:paraId="1856CCCC" w14:textId="0BF566D5"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62" w:history="1">
        <w:r w:rsidR="00FF63AB" w:rsidRPr="00FF63AB">
          <w:rPr>
            <w:rStyle w:val="Hyperlink"/>
            <w:rFonts w:ascii="Palatino Linotype" w:hAnsi="Palatino Linotype"/>
            <w:noProof/>
            <w:sz w:val="24"/>
            <w:szCs w:val="24"/>
          </w:rPr>
          <w:t>Figure 67: ANOVA two-way test showing SWV interactions between unamplified and amplified cfDNA targets using KRAS pG12D mutant probe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_Toc84519662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179</w:t>
        </w:r>
        <w:r w:rsidR="00FF63AB" w:rsidRPr="00FF63AB">
          <w:rPr>
            <w:rFonts w:ascii="Palatino Linotype" w:hAnsi="Palatino Linotype"/>
            <w:noProof/>
            <w:webHidden/>
            <w:sz w:val="24"/>
            <w:szCs w:val="24"/>
          </w:rPr>
          <w:fldChar w:fldCharType="end"/>
        </w:r>
      </w:hyperlink>
    </w:p>
    <w:p w14:paraId="54FB7597" w14:textId="41D5561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63" w:history="1">
        <w:r w:rsidR="00FF63AB" w:rsidRPr="00FF63AB">
          <w:rPr>
            <w:rStyle w:val="Hyperlink"/>
            <w:rFonts w:ascii="Palatino Linotype" w:hAnsi="Palatino Linotype"/>
            <w:noProof/>
            <w:sz w:val="24"/>
            <w:szCs w:val="24"/>
          </w:rPr>
          <w:t>Figure 68: ANOVA two-way test showing CV interactions between unamplified and amplified cfDNA targets using KRAS pG13D mutant probe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_Toc84519663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179</w:t>
        </w:r>
        <w:r w:rsidR="00FF63AB" w:rsidRPr="00FF63AB">
          <w:rPr>
            <w:rFonts w:ascii="Palatino Linotype" w:hAnsi="Palatino Linotype"/>
            <w:noProof/>
            <w:webHidden/>
            <w:sz w:val="24"/>
            <w:szCs w:val="24"/>
          </w:rPr>
          <w:fldChar w:fldCharType="end"/>
        </w:r>
      </w:hyperlink>
    </w:p>
    <w:p w14:paraId="4DDB06A2" w14:textId="64473FFC"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64" w:history="1">
        <w:r w:rsidR="00FF63AB" w:rsidRPr="00FF63AB">
          <w:rPr>
            <w:rStyle w:val="Hyperlink"/>
            <w:rFonts w:ascii="Palatino Linotype" w:hAnsi="Palatino Linotype"/>
            <w:noProof/>
            <w:sz w:val="24"/>
            <w:szCs w:val="24"/>
          </w:rPr>
          <w:t>Figure 69: ANOVA two-way test showing SWV interactions between unamplified and amplified cfDNA targets using KRAS pG13D mutant probe</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_Toc84519664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180</w:t>
        </w:r>
        <w:r w:rsidR="00FF63AB" w:rsidRPr="00FF63AB">
          <w:rPr>
            <w:rFonts w:ascii="Palatino Linotype" w:hAnsi="Palatino Linotype"/>
            <w:noProof/>
            <w:webHidden/>
            <w:sz w:val="24"/>
            <w:szCs w:val="24"/>
          </w:rPr>
          <w:fldChar w:fldCharType="end"/>
        </w:r>
      </w:hyperlink>
    </w:p>
    <w:p w14:paraId="669A5A74" w14:textId="5B508D4F" w:rsidR="00FF63AB" w:rsidRPr="00FF63AB" w:rsidRDefault="00DD4134" w:rsidP="00FF63AB">
      <w:pPr>
        <w:pStyle w:val="TableofFigures"/>
        <w:tabs>
          <w:tab w:val="right" w:leader="dot" w:pos="8494"/>
        </w:tabs>
        <w:jc w:val="both"/>
        <w:rPr>
          <w:rFonts w:ascii="Palatino Linotype" w:eastAsiaTheme="minorEastAsia" w:hAnsi="Palatino Linotype"/>
          <w:noProof/>
          <w:sz w:val="24"/>
          <w:szCs w:val="24"/>
          <w:lang w:eastAsia="en-GB"/>
        </w:rPr>
      </w:pPr>
      <w:hyperlink w:anchor="_Toc84519665" w:history="1">
        <w:r w:rsidR="00FF63AB" w:rsidRPr="00FF63AB">
          <w:rPr>
            <w:rStyle w:val="Hyperlink"/>
            <w:rFonts w:ascii="Palatino Linotype" w:hAnsi="Palatino Linotype"/>
            <w:noProof/>
            <w:sz w:val="24"/>
            <w:szCs w:val="24"/>
          </w:rPr>
          <w:t>Figure 70: Different medical needs in cancer diagnostic that an ideal ctDNA kit should cover</w:t>
        </w:r>
        <w:r w:rsidR="00FF63AB" w:rsidRPr="00FF63AB">
          <w:rPr>
            <w:rFonts w:ascii="Palatino Linotype" w:hAnsi="Palatino Linotype"/>
            <w:noProof/>
            <w:webHidden/>
            <w:sz w:val="24"/>
            <w:szCs w:val="24"/>
          </w:rPr>
          <w:tab/>
        </w:r>
        <w:r w:rsidR="00FF63AB" w:rsidRPr="00FF63AB">
          <w:rPr>
            <w:rFonts w:ascii="Palatino Linotype" w:hAnsi="Palatino Linotype"/>
            <w:noProof/>
            <w:webHidden/>
            <w:sz w:val="24"/>
            <w:szCs w:val="24"/>
          </w:rPr>
          <w:fldChar w:fldCharType="begin"/>
        </w:r>
        <w:r w:rsidR="00FF63AB" w:rsidRPr="00FF63AB">
          <w:rPr>
            <w:rFonts w:ascii="Palatino Linotype" w:hAnsi="Palatino Linotype"/>
            <w:noProof/>
            <w:webHidden/>
            <w:sz w:val="24"/>
            <w:szCs w:val="24"/>
          </w:rPr>
          <w:instrText xml:space="preserve"> PAGEREF _Toc84519665 \h </w:instrText>
        </w:r>
        <w:r w:rsidR="00FF63AB" w:rsidRPr="00FF63AB">
          <w:rPr>
            <w:rFonts w:ascii="Palatino Linotype" w:hAnsi="Palatino Linotype"/>
            <w:noProof/>
            <w:webHidden/>
            <w:sz w:val="24"/>
            <w:szCs w:val="24"/>
          </w:rPr>
        </w:r>
        <w:r w:rsidR="00FF63AB" w:rsidRPr="00FF63AB">
          <w:rPr>
            <w:rFonts w:ascii="Palatino Linotype" w:hAnsi="Palatino Linotype"/>
            <w:noProof/>
            <w:webHidden/>
            <w:sz w:val="24"/>
            <w:szCs w:val="24"/>
          </w:rPr>
          <w:fldChar w:fldCharType="separate"/>
        </w:r>
        <w:r w:rsidR="007D2C9F">
          <w:rPr>
            <w:rFonts w:ascii="Palatino Linotype" w:hAnsi="Palatino Linotype"/>
            <w:noProof/>
            <w:webHidden/>
            <w:sz w:val="24"/>
            <w:szCs w:val="24"/>
          </w:rPr>
          <w:t>188</w:t>
        </w:r>
        <w:r w:rsidR="00FF63AB" w:rsidRPr="00FF63AB">
          <w:rPr>
            <w:rFonts w:ascii="Palatino Linotype" w:hAnsi="Palatino Linotype"/>
            <w:noProof/>
            <w:webHidden/>
            <w:sz w:val="24"/>
            <w:szCs w:val="24"/>
          </w:rPr>
          <w:fldChar w:fldCharType="end"/>
        </w:r>
      </w:hyperlink>
    </w:p>
    <w:p w14:paraId="569B48F2" w14:textId="4330E1C7" w:rsidR="00F670C2" w:rsidRPr="00FF63AB" w:rsidRDefault="003928B6" w:rsidP="00FF63AB">
      <w:pPr>
        <w:spacing w:line="276" w:lineRule="auto"/>
        <w:jc w:val="both"/>
        <w:rPr>
          <w:rFonts w:ascii="Palatino Linotype" w:hAnsi="Palatino Linotype"/>
          <w:sz w:val="24"/>
          <w:szCs w:val="24"/>
        </w:rPr>
      </w:pPr>
      <w:r w:rsidRPr="00FF63AB">
        <w:rPr>
          <w:rFonts w:ascii="Palatino Linotype" w:hAnsi="Palatino Linotype"/>
          <w:sz w:val="24"/>
          <w:szCs w:val="24"/>
        </w:rPr>
        <w:fldChar w:fldCharType="end"/>
      </w:r>
    </w:p>
    <w:p w14:paraId="1E4A4D53" w14:textId="77777777" w:rsidR="000D59A9" w:rsidRPr="00FF63AB" w:rsidRDefault="000D59A9" w:rsidP="00FF63AB">
      <w:pPr>
        <w:spacing w:line="360" w:lineRule="auto"/>
        <w:jc w:val="both"/>
        <w:rPr>
          <w:rFonts w:ascii="Palatino Linotype" w:hAnsi="Palatino Linotype"/>
          <w:sz w:val="24"/>
          <w:szCs w:val="24"/>
        </w:rPr>
      </w:pPr>
    </w:p>
    <w:p w14:paraId="238521BA" w14:textId="77777777" w:rsidR="00DD419A" w:rsidRPr="00FF63AB" w:rsidRDefault="00DD419A" w:rsidP="00FF63AB">
      <w:pPr>
        <w:spacing w:line="360" w:lineRule="auto"/>
        <w:jc w:val="both"/>
        <w:rPr>
          <w:rFonts w:ascii="Palatino Linotype" w:hAnsi="Palatino Linotype"/>
          <w:sz w:val="24"/>
          <w:szCs w:val="24"/>
        </w:rPr>
      </w:pPr>
    </w:p>
    <w:p w14:paraId="456B955E" w14:textId="77777777" w:rsidR="00DD419A" w:rsidRPr="00FF63AB" w:rsidRDefault="00DD419A" w:rsidP="00FF63AB">
      <w:pPr>
        <w:spacing w:line="360" w:lineRule="auto"/>
        <w:jc w:val="both"/>
        <w:rPr>
          <w:rFonts w:ascii="Palatino Linotype" w:hAnsi="Palatino Linotype"/>
          <w:sz w:val="24"/>
          <w:szCs w:val="24"/>
        </w:rPr>
      </w:pPr>
    </w:p>
    <w:p w14:paraId="4B4E04D9" w14:textId="5FDF99CC" w:rsidR="001768BE" w:rsidRDefault="001768BE" w:rsidP="00FF63AB">
      <w:pPr>
        <w:spacing w:line="360" w:lineRule="auto"/>
        <w:jc w:val="both"/>
        <w:rPr>
          <w:rFonts w:ascii="Palatino Linotype" w:hAnsi="Palatino Linotype"/>
          <w:sz w:val="24"/>
          <w:szCs w:val="24"/>
        </w:rPr>
      </w:pPr>
    </w:p>
    <w:p w14:paraId="201C1961" w14:textId="710651C9" w:rsidR="003C6257" w:rsidRDefault="003C6257" w:rsidP="00FF63AB">
      <w:pPr>
        <w:spacing w:line="360" w:lineRule="auto"/>
        <w:jc w:val="both"/>
        <w:rPr>
          <w:rFonts w:ascii="Palatino Linotype" w:hAnsi="Palatino Linotype"/>
          <w:sz w:val="24"/>
          <w:szCs w:val="24"/>
        </w:rPr>
      </w:pPr>
    </w:p>
    <w:p w14:paraId="1A7C8B07" w14:textId="20A4E75D" w:rsidR="003C6257" w:rsidRDefault="003C6257" w:rsidP="00FF63AB">
      <w:pPr>
        <w:spacing w:line="360" w:lineRule="auto"/>
        <w:jc w:val="both"/>
        <w:rPr>
          <w:rFonts w:ascii="Palatino Linotype" w:hAnsi="Palatino Linotype"/>
          <w:sz w:val="24"/>
          <w:szCs w:val="24"/>
        </w:rPr>
      </w:pPr>
    </w:p>
    <w:p w14:paraId="714C929B" w14:textId="005386AC" w:rsidR="003C6257" w:rsidRDefault="003C6257" w:rsidP="00FF63AB">
      <w:pPr>
        <w:spacing w:line="360" w:lineRule="auto"/>
        <w:jc w:val="both"/>
        <w:rPr>
          <w:rFonts w:ascii="Palatino Linotype" w:hAnsi="Palatino Linotype"/>
          <w:sz w:val="24"/>
          <w:szCs w:val="24"/>
        </w:rPr>
      </w:pPr>
    </w:p>
    <w:p w14:paraId="1F6233CD" w14:textId="25539A9D" w:rsidR="003C6257" w:rsidRDefault="003C6257" w:rsidP="00FF63AB">
      <w:pPr>
        <w:spacing w:line="360" w:lineRule="auto"/>
        <w:jc w:val="both"/>
        <w:rPr>
          <w:rFonts w:ascii="Palatino Linotype" w:hAnsi="Palatino Linotype"/>
          <w:sz w:val="24"/>
          <w:szCs w:val="24"/>
        </w:rPr>
      </w:pPr>
    </w:p>
    <w:p w14:paraId="135F3FD8" w14:textId="38B14679" w:rsidR="003C6257" w:rsidRDefault="003C6257" w:rsidP="00FF63AB">
      <w:pPr>
        <w:spacing w:line="360" w:lineRule="auto"/>
        <w:jc w:val="both"/>
        <w:rPr>
          <w:rFonts w:ascii="Palatino Linotype" w:hAnsi="Palatino Linotype"/>
          <w:sz w:val="24"/>
          <w:szCs w:val="24"/>
        </w:rPr>
      </w:pPr>
    </w:p>
    <w:p w14:paraId="03E967DA" w14:textId="31C78750" w:rsidR="003C6257" w:rsidRDefault="003C6257" w:rsidP="00FF63AB">
      <w:pPr>
        <w:spacing w:line="360" w:lineRule="auto"/>
        <w:jc w:val="both"/>
        <w:rPr>
          <w:rFonts w:ascii="Palatino Linotype" w:hAnsi="Palatino Linotype"/>
          <w:sz w:val="24"/>
          <w:szCs w:val="24"/>
        </w:rPr>
      </w:pPr>
    </w:p>
    <w:p w14:paraId="4E9EE2CD" w14:textId="2CBCDF8C" w:rsidR="003C6257" w:rsidRDefault="003C6257" w:rsidP="00FF63AB">
      <w:pPr>
        <w:spacing w:line="360" w:lineRule="auto"/>
        <w:jc w:val="both"/>
        <w:rPr>
          <w:rFonts w:ascii="Palatino Linotype" w:hAnsi="Palatino Linotype"/>
          <w:sz w:val="24"/>
          <w:szCs w:val="24"/>
        </w:rPr>
      </w:pPr>
    </w:p>
    <w:p w14:paraId="64D8C5B7" w14:textId="77777777" w:rsidR="003C6257" w:rsidRPr="00FF63AB" w:rsidRDefault="003C6257" w:rsidP="00FF63AB">
      <w:pPr>
        <w:spacing w:line="360" w:lineRule="auto"/>
        <w:jc w:val="both"/>
        <w:rPr>
          <w:rFonts w:ascii="Palatino Linotype" w:hAnsi="Palatino Linotype"/>
          <w:sz w:val="24"/>
          <w:szCs w:val="24"/>
        </w:rPr>
      </w:pPr>
    </w:p>
    <w:p w14:paraId="0B1CE089" w14:textId="77777777" w:rsidR="00AF2BA0" w:rsidRPr="005B1CCB" w:rsidRDefault="0054607C" w:rsidP="00045CD0">
      <w:pPr>
        <w:pStyle w:val="Heading1"/>
        <w:numPr>
          <w:ilvl w:val="0"/>
          <w:numId w:val="0"/>
        </w:numPr>
        <w:spacing w:line="360" w:lineRule="auto"/>
        <w:ind w:left="432"/>
        <w:rPr>
          <w:rFonts w:ascii="Palatino Linotype" w:hAnsi="Palatino Linotype"/>
        </w:rPr>
      </w:pPr>
      <w:bookmarkStart w:id="10" w:name="_Toc84528026"/>
      <w:r w:rsidRPr="005B1CCB">
        <w:rPr>
          <w:rFonts w:ascii="Palatino Linotype" w:hAnsi="Palatino Linotype"/>
        </w:rPr>
        <w:lastRenderedPageBreak/>
        <w:t>LIST OF ABBREVIATIONS</w:t>
      </w:r>
      <w:bookmarkEnd w:id="10"/>
    </w:p>
    <w:p w14:paraId="6DDEAA3A" w14:textId="77777777" w:rsidR="009F596B" w:rsidRPr="005B1CCB" w:rsidRDefault="009F596B"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A – Amperes</w:t>
      </w:r>
    </w:p>
    <w:p w14:paraId="123577B2" w14:textId="77777777" w:rsidR="009F596B" w:rsidRPr="005B1CCB" w:rsidRDefault="009F596B"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 xml:space="preserve">bp </w:t>
      </w:r>
      <w:r w:rsidR="004970EE" w:rsidRPr="005B1CCB">
        <w:rPr>
          <w:rFonts w:ascii="Palatino Linotype" w:hAnsi="Palatino Linotype" w:cs="Times New Roman"/>
        </w:rPr>
        <w:t>–</w:t>
      </w:r>
      <w:r w:rsidRPr="005B1CCB">
        <w:rPr>
          <w:rFonts w:ascii="Palatino Linotype" w:hAnsi="Palatino Linotype" w:cs="Times New Roman"/>
        </w:rPr>
        <w:t xml:space="preserve"> Base</w:t>
      </w:r>
      <w:r w:rsidR="004970EE" w:rsidRPr="005B1CCB">
        <w:rPr>
          <w:rFonts w:ascii="Palatino Linotype" w:hAnsi="Palatino Linotype" w:cs="Times New Roman"/>
        </w:rPr>
        <w:t xml:space="preserve"> </w:t>
      </w:r>
      <w:r w:rsidRPr="005B1CCB">
        <w:rPr>
          <w:rFonts w:ascii="Palatino Linotype" w:hAnsi="Palatino Linotype" w:cs="Times New Roman"/>
        </w:rPr>
        <w:t>pair</w:t>
      </w:r>
    </w:p>
    <w:p w14:paraId="283DAE9F" w14:textId="77777777" w:rsidR="00A821AE" w:rsidRPr="005B1CCB" w:rsidRDefault="00C17CF8"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BP -</w:t>
      </w:r>
      <w:r w:rsidR="00A821AE" w:rsidRPr="005B1CCB">
        <w:rPr>
          <w:rFonts w:ascii="Palatino Linotype" w:hAnsi="Palatino Linotype" w:cs="Times New Roman"/>
        </w:rPr>
        <w:t xml:space="preserve"> Blocked probe</w:t>
      </w:r>
    </w:p>
    <w:p w14:paraId="6160E420" w14:textId="77777777" w:rsidR="00B86974" w:rsidRPr="005B1CCB" w:rsidRDefault="00B8697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CA 19 -9 – Cancer antigen 19 – 9</w:t>
      </w:r>
    </w:p>
    <w:p w14:paraId="5D1C7BB6" w14:textId="77777777" w:rsidR="00B86974" w:rsidRPr="005B1CCB" w:rsidRDefault="00B8697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CA 125 – Cancer antigen 125</w:t>
      </w:r>
    </w:p>
    <w:p w14:paraId="28C2D806" w14:textId="77777777" w:rsidR="00B86974" w:rsidRPr="005B1CCB" w:rsidRDefault="00B8697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CAPP-Seq – Cancer personalised profiling by deep sequencing</w:t>
      </w:r>
    </w:p>
    <w:p w14:paraId="7AA6F901" w14:textId="36DFD120" w:rsidR="00DF5352" w:rsidRDefault="00DF5352"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CE – Counter Electrode</w:t>
      </w:r>
    </w:p>
    <w:p w14:paraId="436677F1" w14:textId="231790AD" w:rsidR="00F6783B" w:rsidRDefault="00F6783B" w:rsidP="0052183A">
      <w:pPr>
        <w:tabs>
          <w:tab w:val="left" w:pos="5388"/>
        </w:tabs>
        <w:spacing w:line="360" w:lineRule="auto"/>
        <w:jc w:val="both"/>
        <w:rPr>
          <w:rFonts w:ascii="Palatino Linotype" w:hAnsi="Palatino Linotype" w:cs="Times New Roman"/>
        </w:rPr>
      </w:pPr>
      <w:r>
        <w:rPr>
          <w:rFonts w:ascii="Palatino Linotype" w:hAnsi="Palatino Linotype" w:cs="Times New Roman"/>
        </w:rPr>
        <w:t>cfDNA – Cell free DNA</w:t>
      </w:r>
    </w:p>
    <w:p w14:paraId="5A15FB69" w14:textId="0BDD3EE5" w:rsidR="00F6783B" w:rsidRPr="005B1CCB" w:rsidRDefault="00F6783B" w:rsidP="0052183A">
      <w:pPr>
        <w:tabs>
          <w:tab w:val="left" w:pos="5388"/>
        </w:tabs>
        <w:spacing w:line="360" w:lineRule="auto"/>
        <w:jc w:val="both"/>
        <w:rPr>
          <w:rFonts w:ascii="Palatino Linotype" w:hAnsi="Palatino Linotype" w:cs="Times New Roman"/>
        </w:rPr>
      </w:pPr>
      <w:r>
        <w:rPr>
          <w:rFonts w:ascii="Palatino Linotype" w:hAnsi="Palatino Linotype" w:cs="Times New Roman"/>
        </w:rPr>
        <w:t>ctDNA – Circulating tumour DNA</w:t>
      </w:r>
    </w:p>
    <w:p w14:paraId="72AB96EB" w14:textId="77777777" w:rsidR="00DF5352" w:rsidRPr="005B1CCB" w:rsidRDefault="00DF5352"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CTC – Circulating tumour cells</w:t>
      </w:r>
    </w:p>
    <w:p w14:paraId="3BC9A371" w14:textId="77777777" w:rsidR="0018141D" w:rsidRPr="005B1CCB" w:rsidRDefault="0018141D"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CV</w:t>
      </w:r>
      <w:r w:rsidR="00DF5352" w:rsidRPr="005B1CCB">
        <w:rPr>
          <w:rFonts w:ascii="Palatino Linotype" w:hAnsi="Palatino Linotype" w:cs="Times New Roman"/>
        </w:rPr>
        <w:t xml:space="preserve"> – Cyclic Voltammetry</w:t>
      </w:r>
    </w:p>
    <w:p w14:paraId="418FF972" w14:textId="77777777" w:rsidR="00DF5352" w:rsidRDefault="00DF5352" w:rsidP="0052183A">
      <w:pPr>
        <w:tabs>
          <w:tab w:val="left" w:pos="5388"/>
        </w:tabs>
        <w:spacing w:line="360" w:lineRule="auto"/>
        <w:jc w:val="both"/>
        <w:rPr>
          <w:rFonts w:ascii="Palatino Linotype" w:hAnsi="Palatino Linotype" w:cs="Times New Roman"/>
          <w:bCs/>
        </w:rPr>
      </w:pPr>
      <w:r w:rsidRPr="005B1CCB">
        <w:rPr>
          <w:rFonts w:ascii="Palatino Linotype" w:hAnsi="Palatino Linotype" w:cs="Times New Roman"/>
        </w:rPr>
        <w:t>DDPCR</w:t>
      </w:r>
      <w:r w:rsidR="00223760" w:rsidRPr="005B1CCB">
        <w:rPr>
          <w:rFonts w:ascii="Palatino Linotype" w:hAnsi="Palatino Linotype" w:cs="Times New Roman"/>
        </w:rPr>
        <w:t xml:space="preserve"> - </w:t>
      </w:r>
      <w:r w:rsidR="00223760" w:rsidRPr="005B1CCB">
        <w:rPr>
          <w:rFonts w:ascii="Palatino Linotype" w:hAnsi="Palatino Linotype" w:cs="Times New Roman"/>
          <w:bCs/>
        </w:rPr>
        <w:t>Droplet Digital Polymerase Chain Reaction</w:t>
      </w:r>
    </w:p>
    <w:p w14:paraId="4B616A9F" w14:textId="77777777" w:rsidR="00E46D24" w:rsidRDefault="00E46D24" w:rsidP="0052183A">
      <w:pPr>
        <w:tabs>
          <w:tab w:val="left" w:pos="5388"/>
        </w:tabs>
        <w:spacing w:line="360" w:lineRule="auto"/>
        <w:jc w:val="both"/>
        <w:rPr>
          <w:rFonts w:ascii="Palatino Linotype" w:hAnsi="Palatino Linotype" w:cs="Times New Roman"/>
          <w:bCs/>
        </w:rPr>
      </w:pPr>
      <w:r w:rsidRPr="00E46D24">
        <w:rPr>
          <w:rFonts w:ascii="Palatino Linotype" w:hAnsi="Palatino Linotype" w:cs="Times New Roman"/>
          <w:bCs/>
        </w:rPr>
        <w:t>DMSO - Dimethyl Sulfoxide</w:t>
      </w:r>
    </w:p>
    <w:p w14:paraId="7344384A" w14:textId="41C28340" w:rsidR="00DB32C5" w:rsidRDefault="00DB32C5" w:rsidP="0052183A">
      <w:pPr>
        <w:tabs>
          <w:tab w:val="left" w:pos="5388"/>
        </w:tabs>
        <w:spacing w:line="360" w:lineRule="auto"/>
        <w:jc w:val="both"/>
        <w:rPr>
          <w:rFonts w:ascii="Palatino Linotype" w:hAnsi="Palatino Linotype" w:cs="Times New Roman"/>
          <w:bCs/>
        </w:rPr>
      </w:pPr>
      <w:r w:rsidRPr="005B1CCB">
        <w:rPr>
          <w:rFonts w:ascii="Palatino Linotype" w:hAnsi="Palatino Linotype" w:cs="Times New Roman"/>
          <w:bCs/>
        </w:rPr>
        <w:t>dNTP - deoxyribonucleotide triphosphate</w:t>
      </w:r>
    </w:p>
    <w:p w14:paraId="5E320098" w14:textId="33394E3F" w:rsidR="00F6783B" w:rsidRPr="00492F11" w:rsidRDefault="00F6783B" w:rsidP="0052183A">
      <w:pPr>
        <w:tabs>
          <w:tab w:val="left" w:pos="5388"/>
        </w:tabs>
        <w:spacing w:line="360" w:lineRule="auto"/>
        <w:jc w:val="both"/>
        <w:rPr>
          <w:rFonts w:ascii="Palatino Linotype" w:hAnsi="Palatino Linotype" w:cs="Times New Roman"/>
          <w:bCs/>
        </w:rPr>
      </w:pPr>
      <w:r w:rsidRPr="00492F11">
        <w:rPr>
          <w:rFonts w:ascii="Palatino Linotype" w:hAnsi="Palatino Linotype" w:cs="Times New Roman"/>
          <w:bCs/>
        </w:rPr>
        <w:t xml:space="preserve">DNA </w:t>
      </w:r>
      <w:r>
        <w:rPr>
          <w:rFonts w:ascii="Palatino Linotype" w:hAnsi="Palatino Linotype" w:cs="Times New Roman"/>
          <w:bCs/>
        </w:rPr>
        <w:t>–</w:t>
      </w:r>
      <w:r w:rsidRPr="00492F11">
        <w:rPr>
          <w:rFonts w:ascii="Palatino Linotype" w:hAnsi="Palatino Linotype" w:cs="Times New Roman"/>
          <w:bCs/>
        </w:rPr>
        <w:t xml:space="preserve"> </w:t>
      </w:r>
      <w:r>
        <w:rPr>
          <w:rFonts w:ascii="Palatino Linotype" w:hAnsi="Palatino Linotype" w:cs="Times New Roman"/>
          <w:bCs/>
        </w:rPr>
        <w:t>Deoxyribonucleic acid</w:t>
      </w:r>
    </w:p>
    <w:p w14:paraId="1B30699E" w14:textId="77777777" w:rsidR="0018141D" w:rsidRPr="005B1CCB" w:rsidRDefault="0018141D"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DPV</w:t>
      </w:r>
      <w:r w:rsidR="00DF5352" w:rsidRPr="005B1CCB">
        <w:rPr>
          <w:rFonts w:ascii="Palatino Linotype" w:hAnsi="Palatino Linotype" w:cs="Times New Roman"/>
        </w:rPr>
        <w:t xml:space="preserve"> – Differential Pulse Voltammetry</w:t>
      </w:r>
    </w:p>
    <w:p w14:paraId="2B509A42" w14:textId="77777777" w:rsidR="00BE72F4" w:rsidRPr="005B1CCB" w:rsidRDefault="00BE72F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dsDNA – Double stranded DNA</w:t>
      </w:r>
    </w:p>
    <w:p w14:paraId="4E3A90DF" w14:textId="77777777" w:rsidR="00505BAB" w:rsidRPr="005B1CCB" w:rsidRDefault="00505BAB"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E</w:t>
      </w:r>
      <w:r w:rsidRPr="005B1CCB">
        <w:rPr>
          <w:rFonts w:ascii="Palatino Linotype" w:hAnsi="Palatino Linotype" w:cs="Times New Roman"/>
          <w:vertAlign w:val="subscript"/>
        </w:rPr>
        <w:t>CELL</w:t>
      </w:r>
      <w:r w:rsidRPr="005B1CCB">
        <w:rPr>
          <w:rFonts w:ascii="Palatino Linotype" w:hAnsi="Palatino Linotype" w:cs="Times New Roman"/>
        </w:rPr>
        <w:t xml:space="preserve"> – Electrochemical cell</w:t>
      </w:r>
    </w:p>
    <w:p w14:paraId="37D48C03" w14:textId="77777777" w:rsidR="0018141D" w:rsidRPr="005B1CCB" w:rsidRDefault="00DF5352" w:rsidP="0052183A">
      <w:pPr>
        <w:tabs>
          <w:tab w:val="left" w:pos="5388"/>
        </w:tabs>
        <w:spacing w:line="360" w:lineRule="auto"/>
        <w:jc w:val="both"/>
        <w:rPr>
          <w:rFonts w:ascii="Palatino Linotype" w:hAnsi="Palatino Linotype" w:cs="Times New Roman"/>
          <w:bCs/>
        </w:rPr>
      </w:pPr>
      <w:r w:rsidRPr="005B1CCB">
        <w:rPr>
          <w:rFonts w:ascii="Palatino Linotype" w:hAnsi="Palatino Linotype" w:cs="Times New Roman"/>
        </w:rPr>
        <w:t>ED</w:t>
      </w:r>
      <w:r w:rsidR="0018141D" w:rsidRPr="005B1CCB">
        <w:rPr>
          <w:rFonts w:ascii="Palatino Linotype" w:hAnsi="Palatino Linotype" w:cs="Times New Roman"/>
        </w:rPr>
        <w:t>C</w:t>
      </w:r>
      <w:r w:rsidR="00CF4209" w:rsidRPr="005B1CCB">
        <w:rPr>
          <w:rFonts w:ascii="Palatino Linotype" w:hAnsi="Palatino Linotype" w:cs="Times New Roman"/>
        </w:rPr>
        <w:t xml:space="preserve"> - 1-ethyl-3-(3-</w:t>
      </w:r>
      <w:r w:rsidR="00CF4209" w:rsidRPr="005B1CCB">
        <w:rPr>
          <w:rFonts w:ascii="Palatino Linotype" w:hAnsi="Palatino Linotype" w:cs="Times New Roman"/>
          <w:bCs/>
        </w:rPr>
        <w:t>dimethylaminopropyl</w:t>
      </w:r>
      <w:r w:rsidR="00CF4209" w:rsidRPr="005B1CCB">
        <w:rPr>
          <w:rFonts w:ascii="Palatino Linotype" w:hAnsi="Palatino Linotype" w:cs="Times New Roman"/>
        </w:rPr>
        <w:t>)-</w:t>
      </w:r>
      <w:r w:rsidR="00CF4209" w:rsidRPr="005B1CCB">
        <w:rPr>
          <w:rFonts w:ascii="Palatino Linotype" w:hAnsi="Palatino Linotype" w:cs="Times New Roman"/>
          <w:bCs/>
        </w:rPr>
        <w:t>carbodiimide</w:t>
      </w:r>
    </w:p>
    <w:p w14:paraId="700C1020" w14:textId="77777777" w:rsidR="00B35DF0" w:rsidRPr="005B1CCB" w:rsidRDefault="00B35DF0" w:rsidP="00B35DF0">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 xml:space="preserve">eDNA - Electrochemical DNA </w:t>
      </w:r>
    </w:p>
    <w:p w14:paraId="19D38EF1" w14:textId="77777777" w:rsidR="00D7614F" w:rsidRPr="005B1CCB" w:rsidRDefault="00D7614F" w:rsidP="00D7614F">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 xml:space="preserve">EDTA - Ethylenediaminetetraacetic acid </w:t>
      </w:r>
    </w:p>
    <w:p w14:paraId="641F7C01" w14:textId="77777777" w:rsidR="00CE5C08" w:rsidRPr="005B1CCB" w:rsidRDefault="00CE5C08" w:rsidP="00B35DF0">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EGFR – Epidermal growth factor receptor</w:t>
      </w:r>
    </w:p>
    <w:p w14:paraId="26E52501" w14:textId="77777777" w:rsidR="0018141D" w:rsidRPr="005B1CCB" w:rsidRDefault="0018141D"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lastRenderedPageBreak/>
        <w:t>EIS</w:t>
      </w:r>
      <w:r w:rsidR="00DF5352" w:rsidRPr="005B1CCB">
        <w:rPr>
          <w:rFonts w:ascii="Palatino Linotype" w:hAnsi="Palatino Linotype" w:cs="Times New Roman"/>
        </w:rPr>
        <w:t xml:space="preserve"> – Electrochemical Impedance Spectroscopy</w:t>
      </w:r>
    </w:p>
    <w:p w14:paraId="3FC96DC2" w14:textId="77777777" w:rsidR="00B86974" w:rsidRPr="005B1CCB" w:rsidRDefault="00B8697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GDP – Guanosine diphosphate</w:t>
      </w:r>
    </w:p>
    <w:p w14:paraId="2D846F83" w14:textId="77777777" w:rsidR="00B86974" w:rsidRPr="005B1CCB" w:rsidRDefault="00B8697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GTP – Guanosine triphosphate</w:t>
      </w:r>
    </w:p>
    <w:p w14:paraId="4CB6CBBB" w14:textId="77777777" w:rsidR="00B86974" w:rsidRPr="005B1CCB" w:rsidRDefault="00B8697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GTPase – Hydrolase enzymes that bind to GTP and hydrolyse it to GDP</w:t>
      </w:r>
    </w:p>
    <w:p w14:paraId="1BB2A84B" w14:textId="77777777" w:rsidR="00170994" w:rsidRPr="005B1CCB" w:rsidRDefault="0017099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H</w:t>
      </w:r>
      <w:r w:rsidRPr="005B1CCB">
        <w:rPr>
          <w:rFonts w:ascii="Palatino Linotype" w:hAnsi="Palatino Linotype" w:cs="Times New Roman"/>
          <w:vertAlign w:val="subscript"/>
        </w:rPr>
        <w:t>2</w:t>
      </w:r>
      <w:r w:rsidRPr="005B1CCB">
        <w:rPr>
          <w:rFonts w:ascii="Palatino Linotype" w:hAnsi="Palatino Linotype" w:cs="Times New Roman"/>
        </w:rPr>
        <w:t>SO</w:t>
      </w:r>
      <w:r w:rsidRPr="005B1CCB">
        <w:rPr>
          <w:rFonts w:ascii="Palatino Linotype" w:hAnsi="Palatino Linotype" w:cs="Times New Roman"/>
          <w:vertAlign w:val="subscript"/>
        </w:rPr>
        <w:t>4</w:t>
      </w:r>
      <w:r w:rsidRPr="005B1CCB">
        <w:rPr>
          <w:rFonts w:ascii="Palatino Linotype" w:hAnsi="Palatino Linotype" w:cs="Times New Roman"/>
        </w:rPr>
        <w:t xml:space="preserve"> – Sulphuric acid</w:t>
      </w:r>
    </w:p>
    <w:p w14:paraId="2FEEF32E" w14:textId="77777777" w:rsidR="00170994" w:rsidRPr="005B1CCB" w:rsidRDefault="0017099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HER2 – Human epidermal growth factor receptor 2</w:t>
      </w:r>
    </w:p>
    <w:p w14:paraId="7CF3EC72" w14:textId="77777777" w:rsidR="0018141D" w:rsidRPr="005B1CCB" w:rsidRDefault="0018141D"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HCL</w:t>
      </w:r>
      <w:r w:rsidR="00DF5352" w:rsidRPr="005B1CCB">
        <w:rPr>
          <w:rFonts w:ascii="Palatino Linotype" w:hAnsi="Palatino Linotype" w:cs="Times New Roman"/>
        </w:rPr>
        <w:t xml:space="preserve"> – Hydrochloric acid</w:t>
      </w:r>
    </w:p>
    <w:p w14:paraId="34C2CF38" w14:textId="77777777" w:rsidR="006D5988" w:rsidRPr="005B1CCB" w:rsidRDefault="0018141D" w:rsidP="00637823">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KRAS</w:t>
      </w:r>
      <w:r w:rsidR="00637823" w:rsidRPr="005B1CCB">
        <w:rPr>
          <w:rFonts w:ascii="Palatino Linotype" w:hAnsi="Palatino Linotype" w:cs="Times New Roman"/>
        </w:rPr>
        <w:t xml:space="preserve"> - Kirsten rat sarcoma viral oncogene</w:t>
      </w:r>
    </w:p>
    <w:p w14:paraId="30947049" w14:textId="77777777" w:rsidR="00FF36A7" w:rsidRPr="005B1CCB" w:rsidRDefault="00FF36A7" w:rsidP="00637823">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MCM5 - Minichromosome Maintenance Complex Component 5</w:t>
      </w:r>
    </w:p>
    <w:p w14:paraId="49A46B4C" w14:textId="77777777" w:rsidR="0089131B" w:rsidRPr="005B1CCB" w:rsidRDefault="0089131B" w:rsidP="00637823">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NaCl – Sodium Chloride</w:t>
      </w:r>
    </w:p>
    <w:p w14:paraId="43B52717" w14:textId="77777777" w:rsidR="0089131B" w:rsidRPr="005B1CCB" w:rsidRDefault="0089131B" w:rsidP="00637823">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NaOH – Sodium hydroxide</w:t>
      </w:r>
    </w:p>
    <w:p w14:paraId="17A96716" w14:textId="77777777" w:rsidR="00B86974" w:rsidRPr="005B1CCB" w:rsidRDefault="00B86974" w:rsidP="00637823">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NGS – Next generation sequencing</w:t>
      </w:r>
    </w:p>
    <w:p w14:paraId="58E486A4" w14:textId="77777777" w:rsidR="00076120" w:rsidRPr="005B1CCB" w:rsidRDefault="0018141D" w:rsidP="000D55EE">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NHS</w:t>
      </w:r>
      <w:r w:rsidR="000D55EE" w:rsidRPr="005B1CCB">
        <w:rPr>
          <w:rFonts w:ascii="Palatino Linotype" w:hAnsi="Palatino Linotype" w:cs="Times New Roman"/>
        </w:rPr>
        <w:t xml:space="preserve"> - N-hydroxysuccinimide</w:t>
      </w:r>
    </w:p>
    <w:p w14:paraId="520E1EA3" w14:textId="77777777" w:rsidR="0018141D" w:rsidRPr="005B1CCB" w:rsidRDefault="0018141D" w:rsidP="000D55EE">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PBS</w:t>
      </w:r>
      <w:r w:rsidR="000D55EE" w:rsidRPr="005B1CCB">
        <w:rPr>
          <w:rFonts w:ascii="Palatino Linotype" w:hAnsi="Palatino Linotype" w:cs="Times New Roman"/>
        </w:rPr>
        <w:t xml:space="preserve"> - Phosphate-buffered saline</w:t>
      </w:r>
    </w:p>
    <w:p w14:paraId="02BA43FC" w14:textId="77777777" w:rsidR="009F596B" w:rsidRPr="005B1CCB" w:rsidRDefault="00DF5352"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PCR – Polymerase Chain Reaction</w:t>
      </w:r>
    </w:p>
    <w:p w14:paraId="3ECEDC2F" w14:textId="77777777" w:rsidR="008E7048" w:rsidRPr="005B1CCB" w:rsidRDefault="008E7048"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PoC – Point of Care</w:t>
      </w:r>
    </w:p>
    <w:p w14:paraId="20E1D56A" w14:textId="77777777" w:rsidR="00076120" w:rsidRPr="005B1CCB" w:rsidRDefault="00076120"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PSA – Prostate-specific antigen</w:t>
      </w:r>
    </w:p>
    <w:p w14:paraId="12C501ED" w14:textId="77777777" w:rsidR="00BF2F90" w:rsidRPr="005B1CCB" w:rsidRDefault="00BF2F90"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R</w:t>
      </w:r>
      <w:r w:rsidRPr="005B1CCB">
        <w:rPr>
          <w:rFonts w:ascii="Palatino Linotype" w:hAnsi="Palatino Linotype" w:cs="Times New Roman"/>
          <w:vertAlign w:val="subscript"/>
        </w:rPr>
        <w:t xml:space="preserve">CT </w:t>
      </w:r>
      <w:r w:rsidRPr="005B1CCB">
        <w:rPr>
          <w:rFonts w:ascii="Palatino Linotype" w:hAnsi="Palatino Linotype" w:cs="Times New Roman"/>
        </w:rPr>
        <w:t>– Charge transfer resistance</w:t>
      </w:r>
    </w:p>
    <w:p w14:paraId="2AE7A057" w14:textId="77777777" w:rsidR="00DF5352" w:rsidRPr="005B1CCB" w:rsidRDefault="00DF5352"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RE – Reference Electrode</w:t>
      </w:r>
    </w:p>
    <w:p w14:paraId="12FEE8C6" w14:textId="77777777" w:rsidR="00BE72F4" w:rsidRPr="005B1CCB" w:rsidRDefault="00BE72F4"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ssDNA- Single stranded DNA</w:t>
      </w:r>
    </w:p>
    <w:p w14:paraId="5834AC20" w14:textId="77777777" w:rsidR="0089131B" w:rsidRPr="005B1CCB" w:rsidRDefault="0089131B"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SWV – Square wave voltammetry</w:t>
      </w:r>
    </w:p>
    <w:p w14:paraId="77BC2A4D" w14:textId="77777777" w:rsidR="00CE5C08" w:rsidRPr="005B1CCB" w:rsidRDefault="00CE5C08"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Tp53 – Tumour protein 53</w:t>
      </w:r>
    </w:p>
    <w:p w14:paraId="08AFD4A5" w14:textId="77777777" w:rsidR="00076120" w:rsidRPr="005B1CCB" w:rsidRDefault="00076120" w:rsidP="0052183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VEGF – Vascular endothelial growth factor</w:t>
      </w:r>
    </w:p>
    <w:p w14:paraId="5C7D7D67" w14:textId="77777777" w:rsidR="002627D1" w:rsidRPr="005B1CCB" w:rsidRDefault="00DF5352" w:rsidP="00F43A27">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lastRenderedPageBreak/>
        <w:t>WE – Working Electrode</w:t>
      </w:r>
    </w:p>
    <w:p w14:paraId="5540D2DA" w14:textId="77777777" w:rsidR="00DB32C5" w:rsidRPr="005B1CCB" w:rsidRDefault="00DB32C5" w:rsidP="00F43A27">
      <w:pPr>
        <w:tabs>
          <w:tab w:val="left" w:pos="5388"/>
        </w:tabs>
        <w:spacing w:line="360" w:lineRule="auto"/>
        <w:jc w:val="both"/>
        <w:rPr>
          <w:rFonts w:ascii="Palatino Linotype" w:hAnsi="Palatino Linotype" w:cs="Times New Roman"/>
        </w:rPr>
      </w:pPr>
    </w:p>
    <w:p w14:paraId="32E5C765" w14:textId="734BB0D1" w:rsidR="00A24F7A" w:rsidRDefault="00A24F7A" w:rsidP="00F43A27">
      <w:pPr>
        <w:tabs>
          <w:tab w:val="left" w:pos="5388"/>
        </w:tabs>
        <w:spacing w:line="360" w:lineRule="auto"/>
        <w:jc w:val="both"/>
        <w:rPr>
          <w:rFonts w:ascii="Palatino Linotype" w:hAnsi="Palatino Linotype" w:cs="Times New Roman"/>
        </w:rPr>
      </w:pPr>
    </w:p>
    <w:p w14:paraId="39CB4354" w14:textId="45E2BBAA" w:rsidR="00C17D56" w:rsidRDefault="00C17D56" w:rsidP="00F43A27">
      <w:pPr>
        <w:tabs>
          <w:tab w:val="left" w:pos="5388"/>
        </w:tabs>
        <w:spacing w:line="360" w:lineRule="auto"/>
        <w:jc w:val="both"/>
        <w:rPr>
          <w:rFonts w:ascii="Palatino Linotype" w:hAnsi="Palatino Linotype" w:cs="Times New Roman"/>
        </w:rPr>
      </w:pPr>
    </w:p>
    <w:p w14:paraId="264653E8" w14:textId="038B6F6E" w:rsidR="00C17D56" w:rsidRDefault="00C17D56" w:rsidP="00F43A27">
      <w:pPr>
        <w:tabs>
          <w:tab w:val="left" w:pos="5388"/>
        </w:tabs>
        <w:spacing w:line="360" w:lineRule="auto"/>
        <w:jc w:val="both"/>
        <w:rPr>
          <w:rFonts w:ascii="Palatino Linotype" w:hAnsi="Palatino Linotype" w:cs="Times New Roman"/>
        </w:rPr>
      </w:pPr>
    </w:p>
    <w:p w14:paraId="173E92EC" w14:textId="38323466" w:rsidR="00C17D56" w:rsidRDefault="00C17D56" w:rsidP="00F43A27">
      <w:pPr>
        <w:tabs>
          <w:tab w:val="left" w:pos="5388"/>
        </w:tabs>
        <w:spacing w:line="360" w:lineRule="auto"/>
        <w:jc w:val="both"/>
        <w:rPr>
          <w:rFonts w:ascii="Palatino Linotype" w:hAnsi="Palatino Linotype" w:cs="Times New Roman"/>
        </w:rPr>
      </w:pPr>
    </w:p>
    <w:p w14:paraId="7910F150" w14:textId="743DE7FA" w:rsidR="00C17D56" w:rsidRDefault="00C17D56" w:rsidP="00F43A27">
      <w:pPr>
        <w:tabs>
          <w:tab w:val="left" w:pos="5388"/>
        </w:tabs>
        <w:spacing w:line="360" w:lineRule="auto"/>
        <w:jc w:val="both"/>
        <w:rPr>
          <w:rFonts w:ascii="Palatino Linotype" w:hAnsi="Palatino Linotype" w:cs="Times New Roman"/>
        </w:rPr>
      </w:pPr>
    </w:p>
    <w:p w14:paraId="05F96087" w14:textId="07E2FB8E" w:rsidR="00C17D56" w:rsidRDefault="00C17D56" w:rsidP="00F43A27">
      <w:pPr>
        <w:tabs>
          <w:tab w:val="left" w:pos="5388"/>
        </w:tabs>
        <w:spacing w:line="360" w:lineRule="auto"/>
        <w:jc w:val="both"/>
        <w:rPr>
          <w:rFonts w:ascii="Palatino Linotype" w:hAnsi="Palatino Linotype" w:cs="Times New Roman"/>
        </w:rPr>
      </w:pPr>
    </w:p>
    <w:p w14:paraId="29D93C6C" w14:textId="63804F97" w:rsidR="00C17D56" w:rsidRDefault="00C17D56" w:rsidP="00F43A27">
      <w:pPr>
        <w:tabs>
          <w:tab w:val="left" w:pos="5388"/>
        </w:tabs>
        <w:spacing w:line="360" w:lineRule="auto"/>
        <w:jc w:val="both"/>
        <w:rPr>
          <w:rFonts w:ascii="Palatino Linotype" w:hAnsi="Palatino Linotype" w:cs="Times New Roman"/>
        </w:rPr>
      </w:pPr>
    </w:p>
    <w:p w14:paraId="4C7A332A" w14:textId="3ABC0EE1" w:rsidR="00C17D56" w:rsidRDefault="00C17D56" w:rsidP="00F43A27">
      <w:pPr>
        <w:tabs>
          <w:tab w:val="left" w:pos="5388"/>
        </w:tabs>
        <w:spacing w:line="360" w:lineRule="auto"/>
        <w:jc w:val="both"/>
        <w:rPr>
          <w:rFonts w:ascii="Palatino Linotype" w:hAnsi="Palatino Linotype" w:cs="Times New Roman"/>
        </w:rPr>
      </w:pPr>
    </w:p>
    <w:p w14:paraId="5B93A4F4" w14:textId="16882A66" w:rsidR="00C17D56" w:rsidRDefault="00C17D56" w:rsidP="00F43A27">
      <w:pPr>
        <w:tabs>
          <w:tab w:val="left" w:pos="5388"/>
        </w:tabs>
        <w:spacing w:line="360" w:lineRule="auto"/>
        <w:jc w:val="both"/>
        <w:rPr>
          <w:rFonts w:ascii="Palatino Linotype" w:hAnsi="Palatino Linotype" w:cs="Times New Roman"/>
        </w:rPr>
      </w:pPr>
    </w:p>
    <w:p w14:paraId="00CF389E" w14:textId="289EFFBE" w:rsidR="00C17D56" w:rsidRDefault="00C17D56" w:rsidP="00F43A27">
      <w:pPr>
        <w:tabs>
          <w:tab w:val="left" w:pos="5388"/>
        </w:tabs>
        <w:spacing w:line="360" w:lineRule="auto"/>
        <w:jc w:val="both"/>
        <w:rPr>
          <w:rFonts w:ascii="Palatino Linotype" w:hAnsi="Palatino Linotype" w:cs="Times New Roman"/>
        </w:rPr>
      </w:pPr>
    </w:p>
    <w:p w14:paraId="76C5D9C3" w14:textId="7C8014BF" w:rsidR="00C17D56" w:rsidRDefault="00C17D56" w:rsidP="00F43A27">
      <w:pPr>
        <w:tabs>
          <w:tab w:val="left" w:pos="5388"/>
        </w:tabs>
        <w:spacing w:line="360" w:lineRule="auto"/>
        <w:jc w:val="both"/>
        <w:rPr>
          <w:rFonts w:ascii="Palatino Linotype" w:hAnsi="Palatino Linotype" w:cs="Times New Roman"/>
        </w:rPr>
      </w:pPr>
    </w:p>
    <w:p w14:paraId="58A8E1CA" w14:textId="4BDB8A93" w:rsidR="00C17D56" w:rsidRDefault="00C17D56" w:rsidP="00F43A27">
      <w:pPr>
        <w:tabs>
          <w:tab w:val="left" w:pos="5388"/>
        </w:tabs>
        <w:spacing w:line="360" w:lineRule="auto"/>
        <w:jc w:val="both"/>
        <w:rPr>
          <w:rFonts w:ascii="Palatino Linotype" w:hAnsi="Palatino Linotype" w:cs="Times New Roman"/>
        </w:rPr>
      </w:pPr>
    </w:p>
    <w:p w14:paraId="405FFD53" w14:textId="2A22FBCB" w:rsidR="00C17D56" w:rsidRDefault="00C17D56" w:rsidP="00F43A27">
      <w:pPr>
        <w:tabs>
          <w:tab w:val="left" w:pos="5388"/>
        </w:tabs>
        <w:spacing w:line="360" w:lineRule="auto"/>
        <w:jc w:val="both"/>
        <w:rPr>
          <w:rFonts w:ascii="Palatino Linotype" w:hAnsi="Palatino Linotype" w:cs="Times New Roman"/>
        </w:rPr>
      </w:pPr>
    </w:p>
    <w:p w14:paraId="1B22702B" w14:textId="25FA3692" w:rsidR="00C17D56" w:rsidRDefault="00C17D56" w:rsidP="00F43A27">
      <w:pPr>
        <w:tabs>
          <w:tab w:val="left" w:pos="5388"/>
        </w:tabs>
        <w:spacing w:line="360" w:lineRule="auto"/>
        <w:jc w:val="both"/>
        <w:rPr>
          <w:rFonts w:ascii="Palatino Linotype" w:hAnsi="Palatino Linotype" w:cs="Times New Roman"/>
        </w:rPr>
      </w:pPr>
    </w:p>
    <w:p w14:paraId="0B0C3464" w14:textId="3A212D66" w:rsidR="00C17D56" w:rsidRDefault="00C17D56" w:rsidP="00F43A27">
      <w:pPr>
        <w:tabs>
          <w:tab w:val="left" w:pos="5388"/>
        </w:tabs>
        <w:spacing w:line="360" w:lineRule="auto"/>
        <w:jc w:val="both"/>
        <w:rPr>
          <w:rFonts w:ascii="Palatino Linotype" w:hAnsi="Palatino Linotype" w:cs="Times New Roman"/>
        </w:rPr>
      </w:pPr>
    </w:p>
    <w:p w14:paraId="25D7706E" w14:textId="4D50A00D" w:rsidR="00C17D56" w:rsidRDefault="00C17D56" w:rsidP="00F43A27">
      <w:pPr>
        <w:tabs>
          <w:tab w:val="left" w:pos="5388"/>
        </w:tabs>
        <w:spacing w:line="360" w:lineRule="auto"/>
        <w:jc w:val="both"/>
        <w:rPr>
          <w:rFonts w:ascii="Palatino Linotype" w:hAnsi="Palatino Linotype" w:cs="Times New Roman"/>
        </w:rPr>
      </w:pPr>
    </w:p>
    <w:p w14:paraId="2918E033" w14:textId="36FAA8F5" w:rsidR="00C17D56" w:rsidRDefault="00C17D56" w:rsidP="00F43A27">
      <w:pPr>
        <w:tabs>
          <w:tab w:val="left" w:pos="5388"/>
        </w:tabs>
        <w:spacing w:line="360" w:lineRule="auto"/>
        <w:jc w:val="both"/>
        <w:rPr>
          <w:rFonts w:ascii="Palatino Linotype" w:hAnsi="Palatino Linotype" w:cs="Times New Roman"/>
        </w:rPr>
      </w:pPr>
    </w:p>
    <w:p w14:paraId="49309060" w14:textId="60E190E8" w:rsidR="00C17D56" w:rsidRDefault="00C17D56" w:rsidP="00F43A27">
      <w:pPr>
        <w:tabs>
          <w:tab w:val="left" w:pos="5388"/>
        </w:tabs>
        <w:spacing w:line="360" w:lineRule="auto"/>
        <w:jc w:val="both"/>
        <w:rPr>
          <w:rFonts w:ascii="Palatino Linotype" w:hAnsi="Palatino Linotype" w:cs="Times New Roman"/>
        </w:rPr>
      </w:pPr>
    </w:p>
    <w:p w14:paraId="4880EE58" w14:textId="3C2C0AD1" w:rsidR="00C17D56" w:rsidRDefault="00C17D56" w:rsidP="00F43A27">
      <w:pPr>
        <w:tabs>
          <w:tab w:val="left" w:pos="5388"/>
        </w:tabs>
        <w:spacing w:line="360" w:lineRule="auto"/>
        <w:jc w:val="both"/>
        <w:rPr>
          <w:rFonts w:ascii="Palatino Linotype" w:hAnsi="Palatino Linotype" w:cs="Times New Roman"/>
        </w:rPr>
      </w:pPr>
    </w:p>
    <w:p w14:paraId="00A7B51F" w14:textId="77777777" w:rsidR="00C17D56" w:rsidRPr="005B1CCB" w:rsidRDefault="00C17D56" w:rsidP="00F43A27">
      <w:pPr>
        <w:tabs>
          <w:tab w:val="left" w:pos="5388"/>
        </w:tabs>
        <w:spacing w:line="360" w:lineRule="auto"/>
        <w:jc w:val="both"/>
        <w:rPr>
          <w:rFonts w:ascii="Palatino Linotype" w:hAnsi="Palatino Linotype" w:cs="Times New Roman"/>
        </w:rPr>
      </w:pPr>
    </w:p>
    <w:p w14:paraId="341F2B22" w14:textId="77777777" w:rsidR="00EE0EBD" w:rsidRPr="005B1CCB" w:rsidRDefault="00EE0EBD" w:rsidP="00EE0EBD">
      <w:pPr>
        <w:pStyle w:val="Heading1"/>
        <w:numPr>
          <w:ilvl w:val="0"/>
          <w:numId w:val="0"/>
        </w:numPr>
        <w:ind w:left="432"/>
        <w:rPr>
          <w:rFonts w:ascii="Palatino Linotype" w:hAnsi="Palatino Linotype"/>
        </w:rPr>
      </w:pPr>
      <w:bookmarkStart w:id="11" w:name="_Toc84528027"/>
      <w:r w:rsidRPr="005B1CCB">
        <w:rPr>
          <w:rFonts w:ascii="Palatino Linotype" w:hAnsi="Palatino Linotype"/>
        </w:rPr>
        <w:lastRenderedPageBreak/>
        <w:t>LIST OF SYMBOLS</w:t>
      </w:r>
      <w:bookmarkEnd w:id="11"/>
    </w:p>
    <w:p w14:paraId="2AC68F18" w14:textId="77777777" w:rsidR="00A24F7A" w:rsidRPr="005B1CCB" w:rsidRDefault="00A24F7A" w:rsidP="00A24F7A">
      <w:pPr>
        <w:tabs>
          <w:tab w:val="left" w:pos="5388"/>
        </w:tabs>
        <w:spacing w:line="360" w:lineRule="auto"/>
        <w:jc w:val="both"/>
        <w:rPr>
          <w:rFonts w:ascii="Palatino Linotype" w:hAnsi="Palatino Linotype" w:cs="Times New Roman"/>
        </w:rPr>
      </w:pPr>
    </w:p>
    <w:p w14:paraId="1E6C5A19" w14:textId="77777777" w:rsidR="00A24F7A" w:rsidRPr="005B1CCB" w:rsidRDefault="00A24F7A"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µ - Micro</w:t>
      </w:r>
    </w:p>
    <w:p w14:paraId="3DC92469" w14:textId="77777777" w:rsidR="00A24F7A" w:rsidRPr="005B1CCB" w:rsidRDefault="00A24F7A"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n - Nano</w:t>
      </w:r>
    </w:p>
    <w:p w14:paraId="688693E1" w14:textId="77777777" w:rsidR="00A24F7A" w:rsidRPr="005B1CCB" w:rsidRDefault="00A24F7A"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V – Volts</w:t>
      </w:r>
    </w:p>
    <w:p w14:paraId="0DE40060" w14:textId="77777777" w:rsidR="00A24F7A" w:rsidRPr="005B1CCB" w:rsidRDefault="00A24F7A"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p - Pico</w:t>
      </w:r>
    </w:p>
    <w:p w14:paraId="7EEF09FC" w14:textId="77777777" w:rsidR="00A24F7A" w:rsidRPr="005B1CCB" w:rsidRDefault="00A24F7A"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m - Milli</w:t>
      </w:r>
    </w:p>
    <w:p w14:paraId="335F01B5" w14:textId="77777777" w:rsidR="00A24F7A" w:rsidRPr="005B1CCB" w:rsidRDefault="00A24F7A"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M - Molar</w:t>
      </w:r>
    </w:p>
    <w:p w14:paraId="5ED14BA7" w14:textId="77777777" w:rsidR="00673047" w:rsidRPr="005B1CCB" w:rsidRDefault="00673047"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Π – Pie</w:t>
      </w:r>
    </w:p>
    <w:p w14:paraId="1E5029C6" w14:textId="77777777" w:rsidR="00A24F7A" w:rsidRPr="005B1CCB" w:rsidRDefault="00673047"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Ω - Ohms</w:t>
      </w:r>
    </w:p>
    <w:p w14:paraId="045F5E2F" w14:textId="77777777" w:rsidR="0022692E" w:rsidRPr="005B1CCB" w:rsidRDefault="0022692E" w:rsidP="00A24F7A">
      <w:pPr>
        <w:tabs>
          <w:tab w:val="left" w:pos="5388"/>
        </w:tabs>
        <w:spacing w:line="360" w:lineRule="auto"/>
        <w:jc w:val="both"/>
        <w:rPr>
          <w:rFonts w:ascii="Palatino Linotype" w:hAnsi="Palatino Linotype" w:cs="Times New Roman"/>
        </w:rPr>
      </w:pPr>
      <w:r w:rsidRPr="005B1CCB">
        <w:rPr>
          <w:rFonts w:ascii="Palatino Linotype" w:hAnsi="Palatino Linotype" w:cs="Times New Roman"/>
        </w:rPr>
        <w:t>% - Percentage</w:t>
      </w:r>
    </w:p>
    <w:p w14:paraId="59ACEEF7" w14:textId="77777777" w:rsidR="00BF2F90" w:rsidRPr="005B1CCB" w:rsidRDefault="00BF2F90" w:rsidP="00A24F7A">
      <w:pPr>
        <w:tabs>
          <w:tab w:val="left" w:pos="5388"/>
        </w:tabs>
        <w:spacing w:line="360" w:lineRule="auto"/>
        <w:jc w:val="both"/>
        <w:rPr>
          <w:rFonts w:ascii="Palatino Linotype" w:hAnsi="Palatino Linotype" w:cs="Times New Roman"/>
        </w:rPr>
      </w:pPr>
    </w:p>
    <w:p w14:paraId="5A5854EB" w14:textId="77777777" w:rsidR="00A24F7A" w:rsidRPr="005B1CCB" w:rsidRDefault="00A24F7A" w:rsidP="00A24F7A">
      <w:pPr>
        <w:tabs>
          <w:tab w:val="left" w:pos="5388"/>
        </w:tabs>
        <w:spacing w:line="360" w:lineRule="auto"/>
        <w:jc w:val="both"/>
        <w:rPr>
          <w:rFonts w:ascii="Palatino Linotype" w:hAnsi="Palatino Linotype" w:cs="Times New Roman"/>
        </w:rPr>
      </w:pPr>
    </w:p>
    <w:p w14:paraId="09BE9763" w14:textId="77777777" w:rsidR="00DB32C5" w:rsidRPr="005B1CCB" w:rsidRDefault="00DB32C5" w:rsidP="00F43A27">
      <w:pPr>
        <w:tabs>
          <w:tab w:val="left" w:pos="5388"/>
        </w:tabs>
        <w:spacing w:line="360" w:lineRule="auto"/>
        <w:jc w:val="both"/>
        <w:rPr>
          <w:rFonts w:ascii="Palatino Linotype" w:hAnsi="Palatino Linotype" w:cs="Times New Roman"/>
        </w:rPr>
      </w:pPr>
    </w:p>
    <w:p w14:paraId="6FC26689" w14:textId="77777777" w:rsidR="00EE0EBD" w:rsidRPr="005B1CCB" w:rsidRDefault="00EE0EBD" w:rsidP="00F43A27">
      <w:pPr>
        <w:tabs>
          <w:tab w:val="left" w:pos="5388"/>
        </w:tabs>
        <w:spacing w:line="360" w:lineRule="auto"/>
        <w:jc w:val="both"/>
        <w:rPr>
          <w:rFonts w:ascii="Palatino Linotype" w:hAnsi="Palatino Linotype" w:cs="Times New Roman"/>
        </w:rPr>
      </w:pPr>
    </w:p>
    <w:p w14:paraId="0FE4911B" w14:textId="77777777" w:rsidR="00EE0EBD" w:rsidRPr="005B1CCB" w:rsidRDefault="00EE0EBD" w:rsidP="00F43A27">
      <w:pPr>
        <w:tabs>
          <w:tab w:val="left" w:pos="5388"/>
        </w:tabs>
        <w:spacing w:line="360" w:lineRule="auto"/>
        <w:jc w:val="both"/>
        <w:rPr>
          <w:rFonts w:ascii="Palatino Linotype" w:hAnsi="Palatino Linotype" w:cs="Times New Roman"/>
        </w:rPr>
      </w:pPr>
    </w:p>
    <w:p w14:paraId="4E9F6BAF" w14:textId="77777777" w:rsidR="00EE0EBD" w:rsidRPr="005B1CCB" w:rsidRDefault="00EE0EBD" w:rsidP="00F43A27">
      <w:pPr>
        <w:tabs>
          <w:tab w:val="left" w:pos="5388"/>
        </w:tabs>
        <w:spacing w:line="360" w:lineRule="auto"/>
        <w:jc w:val="both"/>
        <w:rPr>
          <w:rFonts w:ascii="Palatino Linotype" w:hAnsi="Palatino Linotype" w:cs="Times New Roman"/>
        </w:rPr>
      </w:pPr>
    </w:p>
    <w:p w14:paraId="54F2FF3A" w14:textId="77777777" w:rsidR="00EE0EBD" w:rsidRPr="005B1CCB" w:rsidRDefault="00EE0EBD" w:rsidP="00F43A27">
      <w:pPr>
        <w:tabs>
          <w:tab w:val="left" w:pos="5388"/>
        </w:tabs>
        <w:spacing w:line="360" w:lineRule="auto"/>
        <w:jc w:val="both"/>
        <w:rPr>
          <w:rFonts w:ascii="Palatino Linotype" w:hAnsi="Palatino Linotype" w:cs="Times New Roman"/>
        </w:rPr>
      </w:pPr>
    </w:p>
    <w:p w14:paraId="76A9CA02" w14:textId="4BEB1982" w:rsidR="004970EE" w:rsidRDefault="004970EE" w:rsidP="00F43A27">
      <w:pPr>
        <w:tabs>
          <w:tab w:val="left" w:pos="5388"/>
        </w:tabs>
        <w:spacing w:line="360" w:lineRule="auto"/>
        <w:jc w:val="both"/>
        <w:rPr>
          <w:rFonts w:ascii="Palatino Linotype" w:hAnsi="Palatino Linotype" w:cs="Times New Roman"/>
        </w:rPr>
      </w:pPr>
    </w:p>
    <w:p w14:paraId="153E6426" w14:textId="36B8D5EA" w:rsidR="003C6257" w:rsidRDefault="003C6257" w:rsidP="00F43A27">
      <w:pPr>
        <w:tabs>
          <w:tab w:val="left" w:pos="5388"/>
        </w:tabs>
        <w:spacing w:line="360" w:lineRule="auto"/>
        <w:jc w:val="both"/>
        <w:rPr>
          <w:rFonts w:ascii="Palatino Linotype" w:hAnsi="Palatino Linotype" w:cs="Times New Roman"/>
        </w:rPr>
      </w:pPr>
    </w:p>
    <w:p w14:paraId="6BF3476C" w14:textId="61CBD7A9" w:rsidR="003C6257" w:rsidRDefault="003C6257" w:rsidP="00F43A27">
      <w:pPr>
        <w:tabs>
          <w:tab w:val="left" w:pos="5388"/>
        </w:tabs>
        <w:spacing w:line="360" w:lineRule="auto"/>
        <w:jc w:val="both"/>
        <w:rPr>
          <w:rFonts w:ascii="Palatino Linotype" w:hAnsi="Palatino Linotype" w:cs="Times New Roman"/>
        </w:rPr>
      </w:pPr>
    </w:p>
    <w:p w14:paraId="641D5EA3" w14:textId="71BEE972" w:rsidR="003C6257" w:rsidRDefault="003C6257" w:rsidP="00F43A27">
      <w:pPr>
        <w:tabs>
          <w:tab w:val="left" w:pos="5388"/>
        </w:tabs>
        <w:spacing w:line="360" w:lineRule="auto"/>
        <w:jc w:val="both"/>
        <w:rPr>
          <w:rFonts w:ascii="Palatino Linotype" w:hAnsi="Palatino Linotype" w:cs="Times New Roman"/>
        </w:rPr>
      </w:pPr>
    </w:p>
    <w:p w14:paraId="440EAE2E" w14:textId="77777777" w:rsidR="003C6257" w:rsidRPr="005B1CCB" w:rsidRDefault="003C6257" w:rsidP="00F43A27">
      <w:pPr>
        <w:tabs>
          <w:tab w:val="left" w:pos="5388"/>
        </w:tabs>
        <w:spacing w:line="360" w:lineRule="auto"/>
        <w:jc w:val="both"/>
        <w:rPr>
          <w:rFonts w:ascii="Palatino Linotype" w:hAnsi="Palatino Linotype" w:cs="Times New Roman"/>
        </w:rPr>
      </w:pPr>
    </w:p>
    <w:bookmarkStart w:id="12" w:name="_Toc84528028" w:displacedByCustomXml="next"/>
    <w:sdt>
      <w:sdtPr>
        <w:rPr>
          <w:rFonts w:asciiTheme="minorHAnsi" w:eastAsiaTheme="minorHAnsi" w:hAnsiTheme="minorHAnsi" w:cstheme="minorBidi"/>
          <w:b w:val="0"/>
          <w:color w:val="auto"/>
          <w:sz w:val="24"/>
          <w:szCs w:val="24"/>
        </w:rPr>
        <w:id w:val="-2067950030"/>
        <w:docPartObj>
          <w:docPartGallery w:val="Table of Contents"/>
          <w:docPartUnique/>
        </w:docPartObj>
      </w:sdtPr>
      <w:sdtEndPr>
        <w:rPr>
          <w:rFonts w:ascii="Palatino Linotype" w:hAnsi="Palatino Linotype"/>
          <w:bCs/>
          <w:noProof/>
        </w:rPr>
      </w:sdtEndPr>
      <w:sdtContent>
        <w:p w14:paraId="6AB798E6" w14:textId="77777777" w:rsidR="00BA1180" w:rsidRPr="005B1CCB" w:rsidRDefault="001768BE" w:rsidP="001768BE">
          <w:pPr>
            <w:pStyle w:val="Heading1"/>
            <w:numPr>
              <w:ilvl w:val="0"/>
              <w:numId w:val="0"/>
            </w:numPr>
            <w:spacing w:line="360" w:lineRule="auto"/>
            <w:ind w:left="432"/>
          </w:pPr>
          <w:r w:rsidRPr="005B1CCB">
            <w:t>TABLE OF CONTENTS</w:t>
          </w:r>
          <w:bookmarkEnd w:id="12"/>
        </w:p>
        <w:p w14:paraId="51378BB2" w14:textId="51D20C19" w:rsidR="007D2C9F" w:rsidRPr="007D2C9F" w:rsidRDefault="00BA1180" w:rsidP="007D2C9F">
          <w:pPr>
            <w:pStyle w:val="TOC1"/>
            <w:tabs>
              <w:tab w:val="right" w:leader="dot" w:pos="8494"/>
            </w:tabs>
            <w:spacing w:line="276" w:lineRule="auto"/>
            <w:rPr>
              <w:rFonts w:eastAsiaTheme="minorEastAsia"/>
              <w:noProof/>
              <w:sz w:val="24"/>
              <w:szCs w:val="24"/>
              <w:lang w:eastAsia="en-GB"/>
            </w:rPr>
          </w:pPr>
          <w:r w:rsidRPr="007D2C9F">
            <w:rPr>
              <w:rFonts w:ascii="Palatino Linotype" w:hAnsi="Palatino Linotype" w:cs="Times New Roman"/>
              <w:sz w:val="24"/>
              <w:szCs w:val="24"/>
            </w:rPr>
            <w:fldChar w:fldCharType="begin"/>
          </w:r>
          <w:r w:rsidRPr="007D2C9F">
            <w:rPr>
              <w:rFonts w:ascii="Palatino Linotype" w:hAnsi="Palatino Linotype" w:cs="Times New Roman"/>
              <w:sz w:val="24"/>
              <w:szCs w:val="24"/>
            </w:rPr>
            <w:instrText xml:space="preserve"> TOC \o "1-3" \h \z \u </w:instrText>
          </w:r>
          <w:r w:rsidRPr="007D2C9F">
            <w:rPr>
              <w:rFonts w:ascii="Palatino Linotype" w:hAnsi="Palatino Linotype" w:cs="Times New Roman"/>
              <w:sz w:val="24"/>
              <w:szCs w:val="24"/>
            </w:rPr>
            <w:fldChar w:fldCharType="separate"/>
          </w:r>
          <w:hyperlink w:anchor="_Toc84528018" w:history="1">
            <w:r w:rsidR="007D2C9F" w:rsidRPr="007D2C9F">
              <w:rPr>
                <w:rStyle w:val="Hyperlink"/>
                <w:rFonts w:ascii="Palatino Linotype" w:hAnsi="Palatino Linotype"/>
                <w:noProof/>
                <w:sz w:val="24"/>
                <w:szCs w:val="24"/>
              </w:rPr>
              <w:t>DECLARATION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_Toc84528018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w:t>
            </w:r>
            <w:r w:rsidR="007D2C9F" w:rsidRPr="007D2C9F">
              <w:rPr>
                <w:noProof/>
                <w:webHidden/>
                <w:sz w:val="24"/>
                <w:szCs w:val="24"/>
              </w:rPr>
              <w:fldChar w:fldCharType="end"/>
            </w:r>
          </w:hyperlink>
        </w:p>
        <w:p w14:paraId="5AF6FA43" w14:textId="2C6389D6"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19" w:history="1">
            <w:r w:rsidR="007D2C9F" w:rsidRPr="007D2C9F">
              <w:rPr>
                <w:rStyle w:val="Hyperlink"/>
                <w:rFonts w:ascii="Palatino Linotype" w:hAnsi="Palatino Linotype"/>
                <w:noProof/>
                <w:sz w:val="24"/>
                <w:szCs w:val="24"/>
              </w:rPr>
              <w:t>ABSTRACT</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_Toc84528019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3</w:t>
            </w:r>
            <w:r w:rsidR="007D2C9F" w:rsidRPr="007D2C9F">
              <w:rPr>
                <w:noProof/>
                <w:webHidden/>
                <w:sz w:val="24"/>
                <w:szCs w:val="24"/>
              </w:rPr>
              <w:fldChar w:fldCharType="end"/>
            </w:r>
          </w:hyperlink>
        </w:p>
        <w:p w14:paraId="4FEBCAEF" w14:textId="32DBAA38"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20" w:history="1">
            <w:r w:rsidR="007D2C9F" w:rsidRPr="007D2C9F">
              <w:rPr>
                <w:rStyle w:val="Hyperlink"/>
                <w:noProof/>
                <w:sz w:val="24"/>
                <w:szCs w:val="24"/>
              </w:rPr>
              <w:t>PUBLICATIONS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w:t>
            </w:r>
            <w:r w:rsidR="007D2C9F" w:rsidRPr="007D2C9F">
              <w:rPr>
                <w:noProof/>
                <w:webHidden/>
                <w:sz w:val="24"/>
                <w:szCs w:val="24"/>
              </w:rPr>
              <w:fldChar w:fldCharType="end"/>
            </w:r>
          </w:hyperlink>
        </w:p>
        <w:p w14:paraId="23D51090" w14:textId="07B26E02" w:rsidR="007D2C9F" w:rsidRPr="007D2C9F" w:rsidRDefault="00DD4134" w:rsidP="007D2C9F">
          <w:pPr>
            <w:pStyle w:val="TOC2"/>
            <w:tabs>
              <w:tab w:val="right" w:leader="dot" w:pos="8494"/>
            </w:tabs>
            <w:spacing w:line="276" w:lineRule="auto"/>
            <w:rPr>
              <w:rFonts w:eastAsiaTheme="minorEastAsia"/>
              <w:noProof/>
              <w:sz w:val="24"/>
              <w:szCs w:val="24"/>
              <w:lang w:eastAsia="en-GB"/>
            </w:rPr>
          </w:pPr>
          <w:hyperlink w:anchor="_Toc84528021" w:history="1">
            <w:r w:rsidR="007D2C9F" w:rsidRPr="007D2C9F">
              <w:rPr>
                <w:rStyle w:val="Hyperlink"/>
                <w:noProof/>
                <w:sz w:val="24"/>
                <w:szCs w:val="24"/>
              </w:rPr>
              <w:t>Papers arising from work presented in this thesis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w:t>
            </w:r>
            <w:r w:rsidR="007D2C9F" w:rsidRPr="007D2C9F">
              <w:rPr>
                <w:noProof/>
                <w:webHidden/>
                <w:sz w:val="24"/>
                <w:szCs w:val="24"/>
              </w:rPr>
              <w:fldChar w:fldCharType="end"/>
            </w:r>
          </w:hyperlink>
        </w:p>
        <w:p w14:paraId="3FE920B4" w14:textId="329257CB" w:rsidR="007D2C9F" w:rsidRPr="007D2C9F" w:rsidRDefault="00DD4134" w:rsidP="007D2C9F">
          <w:pPr>
            <w:pStyle w:val="TOC2"/>
            <w:tabs>
              <w:tab w:val="right" w:leader="dot" w:pos="8494"/>
            </w:tabs>
            <w:spacing w:line="276" w:lineRule="auto"/>
            <w:rPr>
              <w:rFonts w:eastAsiaTheme="minorEastAsia"/>
              <w:noProof/>
              <w:sz w:val="24"/>
              <w:szCs w:val="24"/>
              <w:lang w:eastAsia="en-GB"/>
            </w:rPr>
          </w:pPr>
          <w:hyperlink w:anchor="_Toc84528022" w:history="1">
            <w:r w:rsidR="007D2C9F" w:rsidRPr="007D2C9F">
              <w:rPr>
                <w:rStyle w:val="Hyperlink"/>
                <w:noProof/>
                <w:sz w:val="24"/>
                <w:szCs w:val="24"/>
              </w:rPr>
              <w:t>Papers arising from work not presented in this thesis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w:t>
            </w:r>
            <w:r w:rsidR="007D2C9F" w:rsidRPr="007D2C9F">
              <w:rPr>
                <w:noProof/>
                <w:webHidden/>
                <w:sz w:val="24"/>
                <w:szCs w:val="24"/>
              </w:rPr>
              <w:fldChar w:fldCharType="end"/>
            </w:r>
          </w:hyperlink>
        </w:p>
        <w:p w14:paraId="6D9882AA" w14:textId="0A01DCCB"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23" w:history="1">
            <w:r w:rsidR="007D2C9F" w:rsidRPr="007D2C9F">
              <w:rPr>
                <w:rStyle w:val="Hyperlink"/>
                <w:rFonts w:ascii="Palatino Linotype" w:hAnsi="Palatino Linotype"/>
                <w:noProof/>
                <w:sz w:val="24"/>
                <w:szCs w:val="24"/>
              </w:rPr>
              <w:t>ACKNOWLEDGEMENTS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w:t>
            </w:r>
            <w:r w:rsidR="007D2C9F" w:rsidRPr="007D2C9F">
              <w:rPr>
                <w:noProof/>
                <w:webHidden/>
                <w:sz w:val="24"/>
                <w:szCs w:val="24"/>
              </w:rPr>
              <w:fldChar w:fldCharType="end"/>
            </w:r>
          </w:hyperlink>
        </w:p>
        <w:p w14:paraId="0ED99578" w14:textId="4169024A"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24" w:history="1">
            <w:r w:rsidR="007D2C9F" w:rsidRPr="007D2C9F">
              <w:rPr>
                <w:rStyle w:val="Hyperlink"/>
                <w:rFonts w:ascii="Palatino Linotype" w:hAnsi="Palatino Linotype"/>
                <w:noProof/>
                <w:sz w:val="24"/>
                <w:szCs w:val="24"/>
              </w:rPr>
              <w:t>LIST OF TABLES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7</w:t>
            </w:r>
            <w:r w:rsidR="007D2C9F" w:rsidRPr="007D2C9F">
              <w:rPr>
                <w:noProof/>
                <w:webHidden/>
                <w:sz w:val="24"/>
                <w:szCs w:val="24"/>
              </w:rPr>
              <w:fldChar w:fldCharType="end"/>
            </w:r>
          </w:hyperlink>
        </w:p>
        <w:p w14:paraId="4C47CAAD" w14:textId="6141C30C"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25" w:history="1">
            <w:r w:rsidR="007D2C9F" w:rsidRPr="007D2C9F">
              <w:rPr>
                <w:rStyle w:val="Hyperlink"/>
                <w:rFonts w:ascii="Palatino Linotype" w:hAnsi="Palatino Linotype"/>
                <w:noProof/>
                <w:sz w:val="24"/>
                <w:szCs w:val="24"/>
              </w:rPr>
              <w:t>LIST OF FIGURES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8</w:t>
            </w:r>
            <w:r w:rsidR="007D2C9F" w:rsidRPr="007D2C9F">
              <w:rPr>
                <w:noProof/>
                <w:webHidden/>
                <w:sz w:val="24"/>
                <w:szCs w:val="24"/>
              </w:rPr>
              <w:fldChar w:fldCharType="end"/>
            </w:r>
          </w:hyperlink>
        </w:p>
        <w:p w14:paraId="79371D85" w14:textId="0766A85E"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26" w:history="1">
            <w:r w:rsidR="007D2C9F" w:rsidRPr="007D2C9F">
              <w:rPr>
                <w:rStyle w:val="Hyperlink"/>
                <w:rFonts w:ascii="Palatino Linotype" w:hAnsi="Palatino Linotype"/>
                <w:noProof/>
                <w:sz w:val="24"/>
                <w:szCs w:val="24"/>
              </w:rPr>
              <w:t>LIST OF ABBREVIATIONS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14</w:t>
            </w:r>
            <w:r w:rsidR="007D2C9F" w:rsidRPr="007D2C9F">
              <w:rPr>
                <w:noProof/>
                <w:webHidden/>
                <w:sz w:val="24"/>
                <w:szCs w:val="24"/>
              </w:rPr>
              <w:fldChar w:fldCharType="end"/>
            </w:r>
          </w:hyperlink>
        </w:p>
        <w:p w14:paraId="52746CE1" w14:textId="61E15B91"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27" w:history="1">
            <w:r w:rsidR="007D2C9F" w:rsidRPr="007D2C9F">
              <w:rPr>
                <w:rStyle w:val="Hyperlink"/>
                <w:rFonts w:ascii="Palatino Linotype" w:hAnsi="Palatino Linotype"/>
                <w:noProof/>
                <w:sz w:val="24"/>
                <w:szCs w:val="24"/>
              </w:rPr>
              <w:t>LIST OF SYMBOLS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17</w:t>
            </w:r>
            <w:r w:rsidR="007D2C9F" w:rsidRPr="007D2C9F">
              <w:rPr>
                <w:noProof/>
                <w:webHidden/>
                <w:sz w:val="24"/>
                <w:szCs w:val="24"/>
              </w:rPr>
              <w:fldChar w:fldCharType="end"/>
            </w:r>
          </w:hyperlink>
        </w:p>
        <w:p w14:paraId="5781CD6D" w14:textId="3BDE218D"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028" w:history="1">
            <w:r w:rsidR="007D2C9F" w:rsidRPr="007D2C9F">
              <w:rPr>
                <w:rStyle w:val="Hyperlink"/>
                <w:noProof/>
                <w:sz w:val="24"/>
                <w:szCs w:val="24"/>
              </w:rPr>
              <w:t>TABLE OF CONTENTS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18</w:t>
            </w:r>
            <w:r w:rsidR="007D2C9F" w:rsidRPr="007D2C9F">
              <w:rPr>
                <w:noProof/>
                <w:webHidden/>
                <w:sz w:val="24"/>
                <w:szCs w:val="24"/>
              </w:rPr>
              <w:fldChar w:fldCharType="end"/>
            </w:r>
          </w:hyperlink>
        </w:p>
        <w:p w14:paraId="29B2B8B3" w14:textId="1FC796FD"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029" w:history="1">
            <w:r w:rsidR="007D2C9F" w:rsidRPr="007D2C9F">
              <w:rPr>
                <w:rStyle w:val="Hyperlink"/>
                <w:noProof/>
                <w:sz w:val="24"/>
                <w:szCs w:val="24"/>
              </w:rPr>
              <w:t>1</w:t>
            </w:r>
            <w:r w:rsidR="007D2C9F" w:rsidRPr="007D2C9F">
              <w:rPr>
                <w:rFonts w:eastAsiaTheme="minorEastAsia"/>
                <w:noProof/>
                <w:sz w:val="24"/>
                <w:szCs w:val="24"/>
                <w:lang w:eastAsia="en-GB"/>
              </w:rPr>
              <w:tab/>
            </w:r>
            <w:r w:rsidR="007D2C9F" w:rsidRPr="007D2C9F">
              <w:rPr>
                <w:rStyle w:val="Hyperlink"/>
                <w:noProof/>
                <w:sz w:val="24"/>
                <w:szCs w:val="24"/>
              </w:rPr>
              <w:t>- INTRODUCTION AND LITERATURE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_Toc84528029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23</w:t>
            </w:r>
            <w:r w:rsidR="007D2C9F" w:rsidRPr="007D2C9F">
              <w:rPr>
                <w:noProof/>
                <w:webHidden/>
                <w:sz w:val="24"/>
                <w:szCs w:val="24"/>
              </w:rPr>
              <w:fldChar w:fldCharType="end"/>
            </w:r>
          </w:hyperlink>
        </w:p>
        <w:p w14:paraId="4864664C" w14:textId="38816827"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30" w:history="1">
            <w:r w:rsidR="007D2C9F" w:rsidRPr="007D2C9F">
              <w:rPr>
                <w:rStyle w:val="Hyperlink"/>
                <w:noProof/>
                <w:sz w:val="24"/>
                <w:szCs w:val="24"/>
              </w:rPr>
              <w:t>1.1</w:t>
            </w:r>
            <w:r w:rsidR="007D2C9F" w:rsidRPr="007D2C9F">
              <w:rPr>
                <w:rFonts w:eastAsiaTheme="minorEastAsia"/>
                <w:noProof/>
                <w:sz w:val="24"/>
                <w:szCs w:val="24"/>
                <w:lang w:eastAsia="en-GB"/>
              </w:rPr>
              <w:tab/>
            </w:r>
            <w:r w:rsidR="007D2C9F" w:rsidRPr="007D2C9F">
              <w:rPr>
                <w:rStyle w:val="Hyperlink"/>
                <w:noProof/>
                <w:sz w:val="24"/>
                <w:szCs w:val="24"/>
              </w:rPr>
              <w:t>Cancer</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23</w:t>
            </w:r>
            <w:r w:rsidR="007D2C9F" w:rsidRPr="007D2C9F">
              <w:rPr>
                <w:noProof/>
                <w:webHidden/>
                <w:sz w:val="24"/>
                <w:szCs w:val="24"/>
              </w:rPr>
              <w:fldChar w:fldCharType="end"/>
            </w:r>
          </w:hyperlink>
        </w:p>
        <w:p w14:paraId="4EB53F16" w14:textId="3667333F"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1" w:history="1">
            <w:r w:rsidR="007D2C9F" w:rsidRPr="007D2C9F">
              <w:rPr>
                <w:rStyle w:val="Hyperlink"/>
                <w:noProof/>
                <w:sz w:val="24"/>
                <w:szCs w:val="24"/>
                <w:lang w:bidi="en-US"/>
              </w:rPr>
              <w:t>1.1.1</w:t>
            </w:r>
            <w:r w:rsidR="007D2C9F" w:rsidRPr="007D2C9F">
              <w:rPr>
                <w:rFonts w:eastAsiaTheme="minorEastAsia"/>
                <w:noProof/>
                <w:sz w:val="24"/>
                <w:szCs w:val="24"/>
                <w:lang w:eastAsia="en-GB"/>
              </w:rPr>
              <w:tab/>
            </w:r>
            <w:r w:rsidR="007D2C9F" w:rsidRPr="007D2C9F">
              <w:rPr>
                <w:rStyle w:val="Hyperlink"/>
                <w:noProof/>
                <w:sz w:val="24"/>
                <w:szCs w:val="24"/>
                <w:lang w:bidi="en-US"/>
              </w:rPr>
              <w:t>Cancer incidence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23</w:t>
            </w:r>
            <w:r w:rsidR="007D2C9F" w:rsidRPr="007D2C9F">
              <w:rPr>
                <w:noProof/>
                <w:webHidden/>
                <w:sz w:val="24"/>
                <w:szCs w:val="24"/>
              </w:rPr>
              <w:fldChar w:fldCharType="end"/>
            </w:r>
          </w:hyperlink>
        </w:p>
        <w:p w14:paraId="1A4201CA" w14:textId="3231492E"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2" w:history="1">
            <w:r w:rsidR="007D2C9F" w:rsidRPr="007D2C9F">
              <w:rPr>
                <w:rStyle w:val="Hyperlink"/>
                <w:noProof/>
                <w:sz w:val="24"/>
                <w:szCs w:val="24"/>
                <w:lang w:bidi="en-US"/>
              </w:rPr>
              <w:t>1.1.2</w:t>
            </w:r>
            <w:r w:rsidR="007D2C9F" w:rsidRPr="007D2C9F">
              <w:rPr>
                <w:rFonts w:eastAsiaTheme="minorEastAsia"/>
                <w:noProof/>
                <w:sz w:val="24"/>
                <w:szCs w:val="24"/>
                <w:lang w:eastAsia="en-GB"/>
              </w:rPr>
              <w:tab/>
            </w:r>
            <w:r w:rsidR="007D2C9F" w:rsidRPr="007D2C9F">
              <w:rPr>
                <w:rStyle w:val="Hyperlink"/>
                <w:noProof/>
                <w:sz w:val="24"/>
                <w:szCs w:val="24"/>
                <w:lang w:bidi="en-US"/>
              </w:rPr>
              <w:t>Cancer pathophysiology and stages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23</w:t>
            </w:r>
            <w:r w:rsidR="007D2C9F" w:rsidRPr="007D2C9F">
              <w:rPr>
                <w:noProof/>
                <w:webHidden/>
                <w:sz w:val="24"/>
                <w:szCs w:val="24"/>
              </w:rPr>
              <w:fldChar w:fldCharType="end"/>
            </w:r>
          </w:hyperlink>
        </w:p>
        <w:p w14:paraId="714B7134" w14:textId="2019A0E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3" w:history="1">
            <w:r w:rsidR="007D2C9F" w:rsidRPr="007D2C9F">
              <w:rPr>
                <w:rStyle w:val="Hyperlink"/>
                <w:noProof/>
                <w:sz w:val="24"/>
                <w:szCs w:val="24"/>
                <w:lang w:bidi="en-US"/>
              </w:rPr>
              <w:t>1.1.3</w:t>
            </w:r>
            <w:r w:rsidR="007D2C9F" w:rsidRPr="007D2C9F">
              <w:rPr>
                <w:rFonts w:eastAsiaTheme="minorEastAsia"/>
                <w:noProof/>
                <w:sz w:val="24"/>
                <w:szCs w:val="24"/>
                <w:lang w:eastAsia="en-GB"/>
              </w:rPr>
              <w:tab/>
            </w:r>
            <w:r w:rsidR="007D2C9F" w:rsidRPr="007D2C9F">
              <w:rPr>
                <w:rStyle w:val="Hyperlink"/>
                <w:noProof/>
                <w:sz w:val="24"/>
                <w:szCs w:val="24"/>
                <w:lang w:bidi="en-US"/>
              </w:rPr>
              <w:t>Genetic topography of cancer</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24</w:t>
            </w:r>
            <w:r w:rsidR="007D2C9F" w:rsidRPr="007D2C9F">
              <w:rPr>
                <w:noProof/>
                <w:webHidden/>
                <w:sz w:val="24"/>
                <w:szCs w:val="24"/>
              </w:rPr>
              <w:fldChar w:fldCharType="end"/>
            </w:r>
          </w:hyperlink>
        </w:p>
        <w:p w14:paraId="7642DB63" w14:textId="1830F144"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4" w:history="1">
            <w:r w:rsidR="007D2C9F" w:rsidRPr="007D2C9F">
              <w:rPr>
                <w:rStyle w:val="Hyperlink"/>
                <w:noProof/>
                <w:sz w:val="24"/>
                <w:szCs w:val="24"/>
                <w:lang w:bidi="en-US"/>
              </w:rPr>
              <w:t>1.1.4</w:t>
            </w:r>
            <w:r w:rsidR="007D2C9F" w:rsidRPr="007D2C9F">
              <w:rPr>
                <w:rFonts w:eastAsiaTheme="minorEastAsia"/>
                <w:noProof/>
                <w:sz w:val="24"/>
                <w:szCs w:val="24"/>
                <w:lang w:eastAsia="en-GB"/>
              </w:rPr>
              <w:tab/>
            </w:r>
            <w:r w:rsidR="007D2C9F" w:rsidRPr="007D2C9F">
              <w:rPr>
                <w:rStyle w:val="Hyperlink"/>
                <w:noProof/>
                <w:sz w:val="24"/>
                <w:szCs w:val="24"/>
                <w:lang w:bidi="en-US"/>
              </w:rPr>
              <w:t>Current cancer screening technologies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25</w:t>
            </w:r>
            <w:r w:rsidR="007D2C9F" w:rsidRPr="007D2C9F">
              <w:rPr>
                <w:noProof/>
                <w:webHidden/>
                <w:sz w:val="24"/>
                <w:szCs w:val="24"/>
              </w:rPr>
              <w:fldChar w:fldCharType="end"/>
            </w:r>
          </w:hyperlink>
        </w:p>
        <w:p w14:paraId="7DE75CC6" w14:textId="476E8531"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5" w:history="1">
            <w:r w:rsidR="007D2C9F" w:rsidRPr="007D2C9F">
              <w:rPr>
                <w:rStyle w:val="Hyperlink"/>
                <w:noProof/>
                <w:sz w:val="24"/>
                <w:szCs w:val="24"/>
                <w:lang w:bidi="en-US"/>
              </w:rPr>
              <w:t>1.1.5</w:t>
            </w:r>
            <w:r w:rsidR="007D2C9F" w:rsidRPr="007D2C9F">
              <w:rPr>
                <w:rFonts w:eastAsiaTheme="minorEastAsia"/>
                <w:noProof/>
                <w:sz w:val="24"/>
                <w:szCs w:val="24"/>
                <w:lang w:eastAsia="en-GB"/>
              </w:rPr>
              <w:tab/>
            </w:r>
            <w:r w:rsidR="007D2C9F" w:rsidRPr="007D2C9F">
              <w:rPr>
                <w:rStyle w:val="Hyperlink"/>
                <w:noProof/>
                <w:sz w:val="24"/>
                <w:szCs w:val="24"/>
                <w:lang w:bidi="en-US"/>
              </w:rPr>
              <w:t>Current cancer diagnostic techniques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26</w:t>
            </w:r>
            <w:r w:rsidR="007D2C9F" w:rsidRPr="007D2C9F">
              <w:rPr>
                <w:noProof/>
                <w:webHidden/>
                <w:sz w:val="24"/>
                <w:szCs w:val="24"/>
              </w:rPr>
              <w:fldChar w:fldCharType="end"/>
            </w:r>
          </w:hyperlink>
        </w:p>
        <w:p w14:paraId="2FDF02DB" w14:textId="5C8CFEA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6" w:history="1">
            <w:r w:rsidR="007D2C9F" w:rsidRPr="007D2C9F">
              <w:rPr>
                <w:rStyle w:val="Hyperlink"/>
                <w:noProof/>
                <w:sz w:val="24"/>
                <w:szCs w:val="24"/>
                <w:lang w:bidi="en-US"/>
              </w:rPr>
              <w:t>1.1.6</w:t>
            </w:r>
            <w:r w:rsidR="007D2C9F" w:rsidRPr="007D2C9F">
              <w:rPr>
                <w:rFonts w:eastAsiaTheme="minorEastAsia"/>
                <w:noProof/>
                <w:sz w:val="24"/>
                <w:szCs w:val="24"/>
                <w:lang w:eastAsia="en-GB"/>
              </w:rPr>
              <w:tab/>
            </w:r>
            <w:r w:rsidR="007D2C9F" w:rsidRPr="007D2C9F">
              <w:rPr>
                <w:rStyle w:val="Hyperlink"/>
                <w:noProof/>
                <w:sz w:val="24"/>
                <w:szCs w:val="24"/>
                <w:lang w:bidi="en-US"/>
              </w:rPr>
              <w:t>Cancer biomarkers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26</w:t>
            </w:r>
            <w:r w:rsidR="007D2C9F" w:rsidRPr="007D2C9F">
              <w:rPr>
                <w:noProof/>
                <w:webHidden/>
                <w:sz w:val="24"/>
                <w:szCs w:val="24"/>
              </w:rPr>
              <w:fldChar w:fldCharType="end"/>
            </w:r>
          </w:hyperlink>
        </w:p>
        <w:p w14:paraId="197D46D4" w14:textId="66689BA4"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37" w:history="1">
            <w:r w:rsidR="007D2C9F" w:rsidRPr="007D2C9F">
              <w:rPr>
                <w:rStyle w:val="Hyperlink"/>
                <w:noProof/>
                <w:sz w:val="24"/>
                <w:szCs w:val="24"/>
              </w:rPr>
              <w:t>1.2</w:t>
            </w:r>
            <w:r w:rsidR="007D2C9F" w:rsidRPr="007D2C9F">
              <w:rPr>
                <w:rFonts w:eastAsiaTheme="minorEastAsia"/>
                <w:noProof/>
                <w:sz w:val="24"/>
                <w:szCs w:val="24"/>
                <w:lang w:eastAsia="en-GB"/>
              </w:rPr>
              <w:tab/>
            </w:r>
            <w:r w:rsidR="007D2C9F" w:rsidRPr="007D2C9F">
              <w:rPr>
                <w:rStyle w:val="Hyperlink"/>
                <w:noProof/>
                <w:sz w:val="24"/>
                <w:szCs w:val="24"/>
              </w:rPr>
              <w:t>Liquid biopsy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28</w:t>
            </w:r>
            <w:r w:rsidR="007D2C9F" w:rsidRPr="007D2C9F">
              <w:rPr>
                <w:noProof/>
                <w:webHidden/>
                <w:sz w:val="24"/>
                <w:szCs w:val="24"/>
              </w:rPr>
              <w:fldChar w:fldCharType="end"/>
            </w:r>
          </w:hyperlink>
        </w:p>
        <w:p w14:paraId="7613007D" w14:textId="4F17D3A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8" w:history="1">
            <w:r w:rsidR="007D2C9F" w:rsidRPr="007D2C9F">
              <w:rPr>
                <w:rStyle w:val="Hyperlink"/>
                <w:noProof/>
                <w:sz w:val="24"/>
                <w:szCs w:val="24"/>
                <w:lang w:bidi="en-US"/>
              </w:rPr>
              <w:t>1.2.1</w:t>
            </w:r>
            <w:r w:rsidR="007D2C9F" w:rsidRPr="007D2C9F">
              <w:rPr>
                <w:rFonts w:eastAsiaTheme="minorEastAsia"/>
                <w:noProof/>
                <w:sz w:val="24"/>
                <w:szCs w:val="24"/>
                <w:lang w:eastAsia="en-GB"/>
              </w:rPr>
              <w:tab/>
            </w:r>
            <w:r w:rsidR="007D2C9F" w:rsidRPr="007D2C9F">
              <w:rPr>
                <w:rStyle w:val="Hyperlink"/>
                <w:noProof/>
                <w:sz w:val="24"/>
                <w:szCs w:val="24"/>
                <w:lang w:bidi="en-US"/>
              </w:rPr>
              <w:t>Parameters used in liquid biopsy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29</w:t>
            </w:r>
            <w:r w:rsidR="007D2C9F" w:rsidRPr="007D2C9F">
              <w:rPr>
                <w:noProof/>
                <w:webHidden/>
                <w:sz w:val="24"/>
                <w:szCs w:val="24"/>
              </w:rPr>
              <w:fldChar w:fldCharType="end"/>
            </w:r>
          </w:hyperlink>
        </w:p>
        <w:p w14:paraId="5206B492" w14:textId="41DE3F4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39" w:history="1">
            <w:r w:rsidR="007D2C9F" w:rsidRPr="007D2C9F">
              <w:rPr>
                <w:rStyle w:val="Hyperlink"/>
                <w:noProof/>
                <w:sz w:val="24"/>
                <w:szCs w:val="24"/>
                <w:lang w:bidi="en-US"/>
              </w:rPr>
              <w:t>1.2.2</w:t>
            </w:r>
            <w:r w:rsidR="007D2C9F" w:rsidRPr="007D2C9F">
              <w:rPr>
                <w:rFonts w:eastAsiaTheme="minorEastAsia"/>
                <w:noProof/>
                <w:sz w:val="24"/>
                <w:szCs w:val="24"/>
                <w:lang w:eastAsia="en-GB"/>
              </w:rPr>
              <w:tab/>
            </w:r>
            <w:r w:rsidR="007D2C9F" w:rsidRPr="007D2C9F">
              <w:rPr>
                <w:rStyle w:val="Hyperlink"/>
                <w:noProof/>
                <w:sz w:val="24"/>
                <w:szCs w:val="24"/>
                <w:lang w:bidi="en-US"/>
              </w:rPr>
              <w:t>ctDNA</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_Toc84528039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29</w:t>
            </w:r>
            <w:r w:rsidR="007D2C9F" w:rsidRPr="007D2C9F">
              <w:rPr>
                <w:noProof/>
                <w:webHidden/>
                <w:sz w:val="24"/>
                <w:szCs w:val="24"/>
              </w:rPr>
              <w:fldChar w:fldCharType="end"/>
            </w:r>
          </w:hyperlink>
        </w:p>
        <w:p w14:paraId="664A13F0" w14:textId="54902067"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40" w:history="1">
            <w:r w:rsidR="007D2C9F" w:rsidRPr="007D2C9F">
              <w:rPr>
                <w:rStyle w:val="Hyperlink"/>
                <w:noProof/>
                <w:sz w:val="24"/>
                <w:szCs w:val="24"/>
                <w:lang w:bidi="en-US"/>
              </w:rPr>
              <w:t>1.2.3</w:t>
            </w:r>
            <w:r w:rsidR="007D2C9F" w:rsidRPr="007D2C9F">
              <w:rPr>
                <w:rFonts w:eastAsiaTheme="minorEastAsia"/>
                <w:noProof/>
                <w:sz w:val="24"/>
                <w:szCs w:val="24"/>
                <w:lang w:eastAsia="en-GB"/>
              </w:rPr>
              <w:tab/>
            </w:r>
            <w:r w:rsidR="007D2C9F" w:rsidRPr="007D2C9F">
              <w:rPr>
                <w:rStyle w:val="Hyperlink"/>
                <w:noProof/>
                <w:sz w:val="24"/>
                <w:szCs w:val="24"/>
                <w:lang w:bidi="en-US"/>
              </w:rPr>
              <w:t>Other cancer biomarkers used in liquid biopsy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30</w:t>
            </w:r>
            <w:r w:rsidR="007D2C9F" w:rsidRPr="007D2C9F">
              <w:rPr>
                <w:noProof/>
                <w:webHidden/>
                <w:sz w:val="24"/>
                <w:szCs w:val="24"/>
              </w:rPr>
              <w:fldChar w:fldCharType="end"/>
            </w:r>
          </w:hyperlink>
        </w:p>
        <w:p w14:paraId="42EBC24B" w14:textId="55C845F5"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41" w:history="1">
            <w:r w:rsidR="007D2C9F" w:rsidRPr="007D2C9F">
              <w:rPr>
                <w:rStyle w:val="Hyperlink"/>
                <w:noProof/>
                <w:sz w:val="24"/>
                <w:szCs w:val="24"/>
                <w:lang w:bidi="en-US"/>
              </w:rPr>
              <w:t>1.2.4</w:t>
            </w:r>
            <w:r w:rsidR="007D2C9F" w:rsidRPr="007D2C9F">
              <w:rPr>
                <w:rFonts w:eastAsiaTheme="minorEastAsia"/>
                <w:noProof/>
                <w:sz w:val="24"/>
                <w:szCs w:val="24"/>
                <w:lang w:eastAsia="en-GB"/>
              </w:rPr>
              <w:tab/>
            </w:r>
            <w:r w:rsidR="007D2C9F" w:rsidRPr="007D2C9F">
              <w:rPr>
                <w:rStyle w:val="Hyperlink"/>
                <w:noProof/>
                <w:sz w:val="24"/>
                <w:szCs w:val="24"/>
                <w:lang w:bidi="en-US"/>
              </w:rPr>
              <w:t>Liquid biopsy using common body fluids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33</w:t>
            </w:r>
            <w:r w:rsidR="007D2C9F" w:rsidRPr="007D2C9F">
              <w:rPr>
                <w:noProof/>
                <w:webHidden/>
                <w:sz w:val="24"/>
                <w:szCs w:val="24"/>
              </w:rPr>
              <w:fldChar w:fldCharType="end"/>
            </w:r>
          </w:hyperlink>
        </w:p>
        <w:p w14:paraId="6989847F" w14:textId="06987A56"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42" w:history="1">
            <w:r w:rsidR="007D2C9F" w:rsidRPr="007D2C9F">
              <w:rPr>
                <w:rStyle w:val="Hyperlink"/>
                <w:noProof/>
                <w:sz w:val="24"/>
                <w:szCs w:val="24"/>
                <w:lang w:bidi="en-US"/>
              </w:rPr>
              <w:t>1.2.5</w:t>
            </w:r>
            <w:r w:rsidR="007D2C9F" w:rsidRPr="007D2C9F">
              <w:rPr>
                <w:rFonts w:eastAsiaTheme="minorEastAsia"/>
                <w:noProof/>
                <w:sz w:val="24"/>
                <w:szCs w:val="24"/>
                <w:lang w:eastAsia="en-GB"/>
              </w:rPr>
              <w:tab/>
            </w:r>
            <w:r w:rsidR="007D2C9F" w:rsidRPr="007D2C9F">
              <w:rPr>
                <w:rStyle w:val="Hyperlink"/>
                <w:noProof/>
                <w:sz w:val="24"/>
                <w:szCs w:val="24"/>
                <w:lang w:bidi="en-US"/>
              </w:rPr>
              <w:t>Current liquid biopsy detection platforms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36</w:t>
            </w:r>
            <w:r w:rsidR="007D2C9F" w:rsidRPr="007D2C9F">
              <w:rPr>
                <w:noProof/>
                <w:webHidden/>
                <w:sz w:val="24"/>
                <w:szCs w:val="24"/>
              </w:rPr>
              <w:fldChar w:fldCharType="end"/>
            </w:r>
          </w:hyperlink>
        </w:p>
        <w:p w14:paraId="5BACE064" w14:textId="05313024"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43" w:history="1">
            <w:r w:rsidR="007D2C9F" w:rsidRPr="007D2C9F">
              <w:rPr>
                <w:rStyle w:val="Hyperlink"/>
                <w:noProof/>
                <w:sz w:val="24"/>
                <w:szCs w:val="24"/>
                <w:lang w:bidi="en-US"/>
              </w:rPr>
              <w:t>1.2.6</w:t>
            </w:r>
            <w:r w:rsidR="007D2C9F" w:rsidRPr="007D2C9F">
              <w:rPr>
                <w:rFonts w:eastAsiaTheme="minorEastAsia"/>
                <w:noProof/>
                <w:sz w:val="24"/>
                <w:szCs w:val="24"/>
                <w:lang w:eastAsia="en-GB"/>
              </w:rPr>
              <w:tab/>
            </w:r>
            <w:r w:rsidR="007D2C9F" w:rsidRPr="007D2C9F">
              <w:rPr>
                <w:rStyle w:val="Hyperlink"/>
                <w:noProof/>
                <w:sz w:val="24"/>
                <w:szCs w:val="24"/>
                <w:lang w:bidi="en-US"/>
              </w:rPr>
              <w:t>ctDNA applications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39</w:t>
            </w:r>
            <w:r w:rsidR="007D2C9F" w:rsidRPr="007D2C9F">
              <w:rPr>
                <w:noProof/>
                <w:webHidden/>
                <w:sz w:val="24"/>
                <w:szCs w:val="24"/>
              </w:rPr>
              <w:fldChar w:fldCharType="end"/>
            </w:r>
          </w:hyperlink>
        </w:p>
        <w:p w14:paraId="12293785" w14:textId="544DC184"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044" w:history="1">
            <w:r w:rsidR="007D2C9F" w:rsidRPr="007D2C9F">
              <w:rPr>
                <w:rStyle w:val="Hyperlink"/>
                <w:noProof/>
                <w:sz w:val="24"/>
                <w:szCs w:val="24"/>
              </w:rPr>
              <w:t>2</w:t>
            </w:r>
            <w:r w:rsidR="007D2C9F" w:rsidRPr="007D2C9F">
              <w:rPr>
                <w:rFonts w:eastAsiaTheme="minorEastAsia"/>
                <w:noProof/>
                <w:sz w:val="24"/>
                <w:szCs w:val="24"/>
                <w:lang w:eastAsia="en-GB"/>
              </w:rPr>
              <w:tab/>
            </w:r>
            <w:r w:rsidR="007D2C9F" w:rsidRPr="007D2C9F">
              <w:rPr>
                <w:rStyle w:val="Hyperlink"/>
                <w:noProof/>
                <w:sz w:val="24"/>
                <w:szCs w:val="24"/>
              </w:rPr>
              <w:t>THEORETICAL ASPECTS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43</w:t>
            </w:r>
            <w:r w:rsidR="007D2C9F" w:rsidRPr="007D2C9F">
              <w:rPr>
                <w:noProof/>
                <w:webHidden/>
                <w:sz w:val="24"/>
                <w:szCs w:val="24"/>
              </w:rPr>
              <w:fldChar w:fldCharType="end"/>
            </w:r>
          </w:hyperlink>
        </w:p>
        <w:p w14:paraId="52439EF7" w14:textId="66A035F7"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45" w:history="1">
            <w:r w:rsidR="007D2C9F" w:rsidRPr="007D2C9F">
              <w:rPr>
                <w:rStyle w:val="Hyperlink"/>
                <w:noProof/>
                <w:sz w:val="24"/>
                <w:szCs w:val="24"/>
              </w:rPr>
              <w:t>2.1</w:t>
            </w:r>
            <w:r w:rsidR="007D2C9F" w:rsidRPr="007D2C9F">
              <w:rPr>
                <w:rFonts w:eastAsiaTheme="minorEastAsia"/>
                <w:noProof/>
                <w:sz w:val="24"/>
                <w:szCs w:val="24"/>
                <w:lang w:eastAsia="en-GB"/>
              </w:rPr>
              <w:tab/>
            </w:r>
            <w:r w:rsidR="007D2C9F" w:rsidRPr="007D2C9F">
              <w:rPr>
                <w:rStyle w:val="Hyperlink"/>
                <w:noProof/>
                <w:sz w:val="24"/>
                <w:szCs w:val="24"/>
              </w:rPr>
              <w:t>Bio-sensing</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43</w:t>
            </w:r>
            <w:r w:rsidR="007D2C9F" w:rsidRPr="007D2C9F">
              <w:rPr>
                <w:noProof/>
                <w:webHidden/>
                <w:sz w:val="24"/>
                <w:szCs w:val="24"/>
              </w:rPr>
              <w:fldChar w:fldCharType="end"/>
            </w:r>
          </w:hyperlink>
        </w:p>
        <w:p w14:paraId="073645AC" w14:textId="4DAA22A7"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46" w:history="1">
            <w:r w:rsidR="007D2C9F" w:rsidRPr="007D2C9F">
              <w:rPr>
                <w:rStyle w:val="Hyperlink"/>
                <w:noProof/>
                <w:sz w:val="24"/>
                <w:szCs w:val="24"/>
                <w:lang w:bidi="en-US"/>
              </w:rPr>
              <w:t>2.1.1</w:t>
            </w:r>
            <w:r w:rsidR="007D2C9F" w:rsidRPr="007D2C9F">
              <w:rPr>
                <w:rFonts w:eastAsiaTheme="minorEastAsia"/>
                <w:noProof/>
                <w:sz w:val="24"/>
                <w:szCs w:val="24"/>
                <w:lang w:eastAsia="en-GB"/>
              </w:rPr>
              <w:tab/>
            </w:r>
            <w:r w:rsidR="007D2C9F" w:rsidRPr="007D2C9F">
              <w:rPr>
                <w:rStyle w:val="Hyperlink"/>
                <w:noProof/>
                <w:sz w:val="24"/>
                <w:szCs w:val="24"/>
                <w:lang w:bidi="en-US"/>
              </w:rPr>
              <w:t>Current biosensors for cancer diagnosis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44</w:t>
            </w:r>
            <w:r w:rsidR="007D2C9F" w:rsidRPr="007D2C9F">
              <w:rPr>
                <w:noProof/>
                <w:webHidden/>
                <w:sz w:val="24"/>
                <w:szCs w:val="24"/>
              </w:rPr>
              <w:fldChar w:fldCharType="end"/>
            </w:r>
          </w:hyperlink>
        </w:p>
        <w:p w14:paraId="481B8617" w14:textId="0B4FD936"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47" w:history="1">
            <w:r w:rsidR="007D2C9F" w:rsidRPr="007D2C9F">
              <w:rPr>
                <w:rStyle w:val="Hyperlink"/>
                <w:noProof/>
                <w:sz w:val="24"/>
                <w:szCs w:val="24"/>
              </w:rPr>
              <w:t>2.2</w:t>
            </w:r>
            <w:r w:rsidR="007D2C9F" w:rsidRPr="007D2C9F">
              <w:rPr>
                <w:rFonts w:eastAsiaTheme="minorEastAsia"/>
                <w:noProof/>
                <w:sz w:val="24"/>
                <w:szCs w:val="24"/>
                <w:lang w:eastAsia="en-GB"/>
              </w:rPr>
              <w:tab/>
            </w:r>
            <w:r w:rsidR="007D2C9F" w:rsidRPr="007D2C9F">
              <w:rPr>
                <w:rStyle w:val="Hyperlink"/>
                <w:noProof/>
                <w:sz w:val="24"/>
                <w:szCs w:val="24"/>
              </w:rPr>
              <w:t>Sequence specific DNA detection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45</w:t>
            </w:r>
            <w:r w:rsidR="007D2C9F" w:rsidRPr="007D2C9F">
              <w:rPr>
                <w:noProof/>
                <w:webHidden/>
                <w:sz w:val="24"/>
                <w:szCs w:val="24"/>
              </w:rPr>
              <w:fldChar w:fldCharType="end"/>
            </w:r>
          </w:hyperlink>
        </w:p>
        <w:p w14:paraId="62F3F972" w14:textId="4527B91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48" w:history="1">
            <w:r w:rsidR="007D2C9F" w:rsidRPr="007D2C9F">
              <w:rPr>
                <w:rStyle w:val="Hyperlink"/>
                <w:noProof/>
                <w:sz w:val="24"/>
                <w:szCs w:val="24"/>
                <w:lang w:bidi="en-US"/>
              </w:rPr>
              <w:t>2.2.1</w:t>
            </w:r>
            <w:r w:rsidR="007D2C9F" w:rsidRPr="007D2C9F">
              <w:rPr>
                <w:rFonts w:eastAsiaTheme="minorEastAsia"/>
                <w:noProof/>
                <w:sz w:val="24"/>
                <w:szCs w:val="24"/>
                <w:lang w:eastAsia="en-GB"/>
              </w:rPr>
              <w:tab/>
            </w:r>
            <w:r w:rsidR="007D2C9F" w:rsidRPr="007D2C9F">
              <w:rPr>
                <w:rStyle w:val="Hyperlink"/>
                <w:noProof/>
                <w:sz w:val="24"/>
                <w:szCs w:val="24"/>
                <w:lang w:bidi="en-US"/>
              </w:rPr>
              <w:t>Nucleic acids and their role in biosensing systems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45</w:t>
            </w:r>
            <w:r w:rsidR="007D2C9F" w:rsidRPr="007D2C9F">
              <w:rPr>
                <w:noProof/>
                <w:webHidden/>
                <w:sz w:val="24"/>
                <w:szCs w:val="24"/>
              </w:rPr>
              <w:fldChar w:fldCharType="end"/>
            </w:r>
          </w:hyperlink>
        </w:p>
        <w:p w14:paraId="44B56321" w14:textId="5779173D"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49" w:history="1">
            <w:r w:rsidR="007D2C9F" w:rsidRPr="007D2C9F">
              <w:rPr>
                <w:rStyle w:val="Hyperlink"/>
                <w:noProof/>
                <w:sz w:val="24"/>
                <w:szCs w:val="24"/>
                <w:lang w:bidi="en-US"/>
              </w:rPr>
              <w:t>2.2.2</w:t>
            </w:r>
            <w:r w:rsidR="007D2C9F" w:rsidRPr="007D2C9F">
              <w:rPr>
                <w:rFonts w:eastAsiaTheme="minorEastAsia"/>
                <w:noProof/>
                <w:sz w:val="24"/>
                <w:szCs w:val="24"/>
                <w:lang w:eastAsia="en-GB"/>
              </w:rPr>
              <w:tab/>
            </w:r>
            <w:r w:rsidR="007D2C9F" w:rsidRPr="007D2C9F">
              <w:rPr>
                <w:rStyle w:val="Hyperlink"/>
                <w:noProof/>
                <w:sz w:val="24"/>
                <w:szCs w:val="24"/>
                <w:lang w:bidi="en-US"/>
              </w:rPr>
              <w:t>Probe and Primer design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_Toc84528049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47</w:t>
            </w:r>
            <w:r w:rsidR="007D2C9F" w:rsidRPr="007D2C9F">
              <w:rPr>
                <w:noProof/>
                <w:webHidden/>
                <w:sz w:val="24"/>
                <w:szCs w:val="24"/>
              </w:rPr>
              <w:fldChar w:fldCharType="end"/>
            </w:r>
          </w:hyperlink>
        </w:p>
        <w:p w14:paraId="7DA8C539" w14:textId="74B4D0AF"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50" w:history="1">
            <w:r w:rsidR="007D2C9F" w:rsidRPr="007D2C9F">
              <w:rPr>
                <w:rStyle w:val="Hyperlink"/>
                <w:noProof/>
                <w:sz w:val="24"/>
                <w:szCs w:val="24"/>
                <w:lang w:bidi="en-US"/>
              </w:rPr>
              <w:t>2.2.3</w:t>
            </w:r>
            <w:r w:rsidR="007D2C9F" w:rsidRPr="007D2C9F">
              <w:rPr>
                <w:rFonts w:eastAsiaTheme="minorEastAsia"/>
                <w:noProof/>
                <w:sz w:val="24"/>
                <w:szCs w:val="24"/>
                <w:lang w:eastAsia="en-GB"/>
              </w:rPr>
              <w:tab/>
            </w:r>
            <w:r w:rsidR="007D2C9F" w:rsidRPr="007D2C9F">
              <w:rPr>
                <w:rStyle w:val="Hyperlink"/>
                <w:noProof/>
                <w:sz w:val="24"/>
                <w:szCs w:val="24"/>
                <w:lang w:bidi="en-US"/>
              </w:rPr>
              <w:t>Amplification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48</w:t>
            </w:r>
            <w:r w:rsidR="007D2C9F" w:rsidRPr="007D2C9F">
              <w:rPr>
                <w:noProof/>
                <w:webHidden/>
                <w:sz w:val="24"/>
                <w:szCs w:val="24"/>
              </w:rPr>
              <w:fldChar w:fldCharType="end"/>
            </w:r>
          </w:hyperlink>
        </w:p>
        <w:p w14:paraId="4EA30C8C" w14:textId="18D53B26"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51" w:history="1">
            <w:r w:rsidR="007D2C9F" w:rsidRPr="007D2C9F">
              <w:rPr>
                <w:rStyle w:val="Hyperlink"/>
                <w:noProof/>
                <w:sz w:val="24"/>
                <w:szCs w:val="24"/>
              </w:rPr>
              <w:t>2.3</w:t>
            </w:r>
            <w:r w:rsidR="007D2C9F" w:rsidRPr="007D2C9F">
              <w:rPr>
                <w:rFonts w:eastAsiaTheme="minorEastAsia"/>
                <w:noProof/>
                <w:sz w:val="24"/>
                <w:szCs w:val="24"/>
                <w:lang w:eastAsia="en-GB"/>
              </w:rPr>
              <w:tab/>
            </w:r>
            <w:r w:rsidR="007D2C9F" w:rsidRPr="007D2C9F">
              <w:rPr>
                <w:rStyle w:val="Hyperlink"/>
                <w:noProof/>
                <w:sz w:val="24"/>
                <w:szCs w:val="24"/>
              </w:rPr>
              <w:t>Electrochemistry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50</w:t>
            </w:r>
            <w:r w:rsidR="007D2C9F" w:rsidRPr="007D2C9F">
              <w:rPr>
                <w:noProof/>
                <w:webHidden/>
                <w:sz w:val="24"/>
                <w:szCs w:val="24"/>
              </w:rPr>
              <w:fldChar w:fldCharType="end"/>
            </w:r>
          </w:hyperlink>
        </w:p>
        <w:p w14:paraId="602545FA" w14:textId="1DF231FE"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52" w:history="1">
            <w:r w:rsidR="007D2C9F" w:rsidRPr="007D2C9F">
              <w:rPr>
                <w:rStyle w:val="Hyperlink"/>
                <w:noProof/>
                <w:sz w:val="24"/>
                <w:szCs w:val="24"/>
              </w:rPr>
              <w:t>2.4</w:t>
            </w:r>
            <w:r w:rsidR="007D2C9F" w:rsidRPr="007D2C9F">
              <w:rPr>
                <w:rFonts w:eastAsiaTheme="minorEastAsia"/>
                <w:noProof/>
                <w:sz w:val="24"/>
                <w:szCs w:val="24"/>
                <w:lang w:eastAsia="en-GB"/>
              </w:rPr>
              <w:tab/>
            </w:r>
            <w:r w:rsidR="007D2C9F" w:rsidRPr="007D2C9F">
              <w:rPr>
                <w:rStyle w:val="Hyperlink"/>
                <w:noProof/>
                <w:sz w:val="24"/>
                <w:szCs w:val="24"/>
              </w:rPr>
              <w:t>Electrochemical biosensors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51</w:t>
            </w:r>
            <w:r w:rsidR="007D2C9F" w:rsidRPr="007D2C9F">
              <w:rPr>
                <w:noProof/>
                <w:webHidden/>
                <w:sz w:val="24"/>
                <w:szCs w:val="24"/>
              </w:rPr>
              <w:fldChar w:fldCharType="end"/>
            </w:r>
          </w:hyperlink>
        </w:p>
        <w:p w14:paraId="10FA6FF9" w14:textId="68B926B3"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53" w:history="1">
            <w:r w:rsidR="007D2C9F" w:rsidRPr="007D2C9F">
              <w:rPr>
                <w:rStyle w:val="Hyperlink"/>
                <w:noProof/>
                <w:sz w:val="24"/>
                <w:szCs w:val="24"/>
                <w:lang w:bidi="en-US"/>
              </w:rPr>
              <w:t>2.4.1</w:t>
            </w:r>
            <w:r w:rsidR="007D2C9F" w:rsidRPr="007D2C9F">
              <w:rPr>
                <w:rFonts w:eastAsiaTheme="minorEastAsia"/>
                <w:noProof/>
                <w:sz w:val="24"/>
                <w:szCs w:val="24"/>
                <w:lang w:eastAsia="en-GB"/>
              </w:rPr>
              <w:tab/>
            </w:r>
            <w:r w:rsidR="007D2C9F" w:rsidRPr="007D2C9F">
              <w:rPr>
                <w:rStyle w:val="Hyperlink"/>
                <w:noProof/>
                <w:sz w:val="24"/>
                <w:szCs w:val="24"/>
                <w:lang w:bidi="en-US"/>
              </w:rPr>
              <w:t>DNA hybridisation technique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53</w:t>
            </w:r>
            <w:r w:rsidR="007D2C9F" w:rsidRPr="007D2C9F">
              <w:rPr>
                <w:noProof/>
                <w:webHidden/>
                <w:sz w:val="24"/>
                <w:szCs w:val="24"/>
              </w:rPr>
              <w:fldChar w:fldCharType="end"/>
            </w:r>
          </w:hyperlink>
        </w:p>
        <w:p w14:paraId="72A6695D" w14:textId="25383286"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54" w:history="1">
            <w:r w:rsidR="007D2C9F" w:rsidRPr="007D2C9F">
              <w:rPr>
                <w:rStyle w:val="Hyperlink"/>
                <w:noProof/>
                <w:sz w:val="24"/>
                <w:szCs w:val="24"/>
                <w:lang w:bidi="en-US"/>
              </w:rPr>
              <w:t>2.4.2</w:t>
            </w:r>
            <w:r w:rsidR="007D2C9F" w:rsidRPr="007D2C9F">
              <w:rPr>
                <w:rFonts w:eastAsiaTheme="minorEastAsia"/>
                <w:noProof/>
                <w:sz w:val="24"/>
                <w:szCs w:val="24"/>
                <w:lang w:eastAsia="en-GB"/>
              </w:rPr>
              <w:tab/>
            </w:r>
            <w:r w:rsidR="007D2C9F" w:rsidRPr="007D2C9F">
              <w:rPr>
                <w:rStyle w:val="Hyperlink"/>
                <w:noProof/>
                <w:sz w:val="24"/>
                <w:szCs w:val="24"/>
                <w:lang w:bidi="en-US"/>
              </w:rPr>
              <w:t>Electrochemical DNA detection in cancer</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54</w:t>
            </w:r>
            <w:r w:rsidR="007D2C9F" w:rsidRPr="007D2C9F">
              <w:rPr>
                <w:noProof/>
                <w:webHidden/>
                <w:sz w:val="24"/>
                <w:szCs w:val="24"/>
              </w:rPr>
              <w:fldChar w:fldCharType="end"/>
            </w:r>
          </w:hyperlink>
        </w:p>
        <w:p w14:paraId="752500AE" w14:textId="596F6649"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55" w:history="1">
            <w:r w:rsidR="007D2C9F" w:rsidRPr="007D2C9F">
              <w:rPr>
                <w:rStyle w:val="Hyperlink"/>
                <w:noProof/>
                <w:sz w:val="24"/>
                <w:szCs w:val="24"/>
              </w:rPr>
              <w:t>2.5</w:t>
            </w:r>
            <w:r w:rsidR="007D2C9F" w:rsidRPr="007D2C9F">
              <w:rPr>
                <w:rFonts w:eastAsiaTheme="minorEastAsia"/>
                <w:noProof/>
                <w:sz w:val="24"/>
                <w:szCs w:val="24"/>
                <w:lang w:eastAsia="en-GB"/>
              </w:rPr>
              <w:tab/>
            </w:r>
            <w:r w:rsidR="007D2C9F" w:rsidRPr="007D2C9F">
              <w:rPr>
                <w:rStyle w:val="Hyperlink"/>
                <w:noProof/>
                <w:sz w:val="24"/>
                <w:szCs w:val="24"/>
              </w:rPr>
              <w:t>Carbon electrodes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55</w:t>
            </w:r>
            <w:r w:rsidR="007D2C9F" w:rsidRPr="007D2C9F">
              <w:rPr>
                <w:noProof/>
                <w:webHidden/>
                <w:sz w:val="24"/>
                <w:szCs w:val="24"/>
              </w:rPr>
              <w:fldChar w:fldCharType="end"/>
            </w:r>
          </w:hyperlink>
        </w:p>
        <w:p w14:paraId="279802A2" w14:textId="0E0F759C"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56" w:history="1">
            <w:r w:rsidR="007D2C9F" w:rsidRPr="007D2C9F">
              <w:rPr>
                <w:rStyle w:val="Hyperlink"/>
                <w:noProof/>
                <w:sz w:val="24"/>
                <w:szCs w:val="24"/>
                <w:lang w:bidi="en-US"/>
              </w:rPr>
              <w:t>2.5.1</w:t>
            </w:r>
            <w:r w:rsidR="007D2C9F" w:rsidRPr="007D2C9F">
              <w:rPr>
                <w:rFonts w:eastAsiaTheme="minorEastAsia"/>
                <w:noProof/>
                <w:sz w:val="24"/>
                <w:szCs w:val="24"/>
                <w:lang w:eastAsia="en-GB"/>
              </w:rPr>
              <w:tab/>
            </w:r>
            <w:r w:rsidR="007D2C9F" w:rsidRPr="007D2C9F">
              <w:rPr>
                <w:rStyle w:val="Hyperlink"/>
                <w:noProof/>
                <w:sz w:val="24"/>
                <w:szCs w:val="24"/>
                <w:lang w:bidi="en-US"/>
              </w:rPr>
              <w:t>DNA probes immobilisation strategies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55</w:t>
            </w:r>
            <w:r w:rsidR="007D2C9F" w:rsidRPr="007D2C9F">
              <w:rPr>
                <w:noProof/>
                <w:webHidden/>
                <w:sz w:val="24"/>
                <w:szCs w:val="24"/>
              </w:rPr>
              <w:fldChar w:fldCharType="end"/>
            </w:r>
          </w:hyperlink>
        </w:p>
        <w:p w14:paraId="0DA9B83A" w14:textId="1383C3A1"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57" w:history="1">
            <w:r w:rsidR="007D2C9F" w:rsidRPr="007D2C9F">
              <w:rPr>
                <w:rStyle w:val="Hyperlink"/>
                <w:noProof/>
                <w:sz w:val="24"/>
                <w:szCs w:val="24"/>
                <w:lang w:bidi="en-US"/>
              </w:rPr>
              <w:t>2.5.2</w:t>
            </w:r>
            <w:r w:rsidR="007D2C9F" w:rsidRPr="007D2C9F">
              <w:rPr>
                <w:rFonts w:eastAsiaTheme="minorEastAsia"/>
                <w:noProof/>
                <w:sz w:val="24"/>
                <w:szCs w:val="24"/>
                <w:lang w:eastAsia="en-GB"/>
              </w:rPr>
              <w:tab/>
            </w:r>
            <w:r w:rsidR="007D2C9F" w:rsidRPr="007D2C9F">
              <w:rPr>
                <w:rStyle w:val="Hyperlink"/>
                <w:noProof/>
                <w:sz w:val="24"/>
                <w:szCs w:val="24"/>
                <w:lang w:bidi="en-US"/>
              </w:rPr>
              <w:t>Modification - Carbon nanotube (CNT) modified carbon electrodes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57</w:t>
            </w:r>
            <w:r w:rsidR="007D2C9F" w:rsidRPr="007D2C9F">
              <w:rPr>
                <w:noProof/>
                <w:webHidden/>
                <w:sz w:val="24"/>
                <w:szCs w:val="24"/>
              </w:rPr>
              <w:fldChar w:fldCharType="end"/>
            </w:r>
          </w:hyperlink>
        </w:p>
        <w:p w14:paraId="430D4576" w14:textId="095A7FDA"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58" w:history="1">
            <w:r w:rsidR="007D2C9F" w:rsidRPr="007D2C9F">
              <w:rPr>
                <w:rStyle w:val="Hyperlink"/>
                <w:noProof/>
                <w:sz w:val="24"/>
                <w:szCs w:val="24"/>
              </w:rPr>
              <w:t>2.6</w:t>
            </w:r>
            <w:r w:rsidR="007D2C9F" w:rsidRPr="007D2C9F">
              <w:rPr>
                <w:rFonts w:eastAsiaTheme="minorEastAsia"/>
                <w:noProof/>
                <w:sz w:val="24"/>
                <w:szCs w:val="24"/>
                <w:lang w:eastAsia="en-GB"/>
              </w:rPr>
              <w:tab/>
            </w:r>
            <w:r w:rsidR="007D2C9F" w:rsidRPr="007D2C9F">
              <w:rPr>
                <w:rStyle w:val="Hyperlink"/>
                <w:noProof/>
                <w:sz w:val="24"/>
                <w:szCs w:val="24"/>
              </w:rPr>
              <w:t>Electrochemical measurement techniques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58</w:t>
            </w:r>
            <w:r w:rsidR="007D2C9F" w:rsidRPr="007D2C9F">
              <w:rPr>
                <w:noProof/>
                <w:webHidden/>
                <w:sz w:val="24"/>
                <w:szCs w:val="24"/>
              </w:rPr>
              <w:fldChar w:fldCharType="end"/>
            </w:r>
          </w:hyperlink>
        </w:p>
        <w:p w14:paraId="6F2EA924" w14:textId="1FDC4FD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59" w:history="1">
            <w:r w:rsidR="007D2C9F" w:rsidRPr="007D2C9F">
              <w:rPr>
                <w:rStyle w:val="Hyperlink"/>
                <w:noProof/>
                <w:sz w:val="24"/>
                <w:szCs w:val="24"/>
                <w:lang w:bidi="en-US"/>
              </w:rPr>
              <w:t>2.6.1</w:t>
            </w:r>
            <w:r w:rsidR="007D2C9F" w:rsidRPr="007D2C9F">
              <w:rPr>
                <w:rFonts w:eastAsiaTheme="minorEastAsia"/>
                <w:noProof/>
                <w:sz w:val="24"/>
                <w:szCs w:val="24"/>
                <w:lang w:eastAsia="en-GB"/>
              </w:rPr>
              <w:tab/>
            </w:r>
            <w:r w:rsidR="007D2C9F" w:rsidRPr="007D2C9F">
              <w:rPr>
                <w:rStyle w:val="Hyperlink"/>
                <w:noProof/>
                <w:sz w:val="24"/>
                <w:szCs w:val="24"/>
                <w:lang w:bidi="en-US"/>
              </w:rPr>
              <w:t>Reductive and oxidative reactions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_Toc84528059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59</w:t>
            </w:r>
            <w:r w:rsidR="007D2C9F" w:rsidRPr="007D2C9F">
              <w:rPr>
                <w:noProof/>
                <w:webHidden/>
                <w:sz w:val="24"/>
                <w:szCs w:val="24"/>
              </w:rPr>
              <w:fldChar w:fldCharType="end"/>
            </w:r>
          </w:hyperlink>
        </w:p>
        <w:p w14:paraId="6C1BABC8" w14:textId="5B00DC24"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60" w:history="1">
            <w:r w:rsidR="007D2C9F" w:rsidRPr="007D2C9F">
              <w:rPr>
                <w:rStyle w:val="Hyperlink"/>
                <w:noProof/>
                <w:sz w:val="24"/>
                <w:szCs w:val="24"/>
                <w:lang w:bidi="en-US"/>
              </w:rPr>
              <w:t>2.6.2</w:t>
            </w:r>
            <w:r w:rsidR="007D2C9F" w:rsidRPr="007D2C9F">
              <w:rPr>
                <w:rFonts w:eastAsiaTheme="minorEastAsia"/>
                <w:noProof/>
                <w:sz w:val="24"/>
                <w:szCs w:val="24"/>
                <w:lang w:eastAsia="en-GB"/>
              </w:rPr>
              <w:tab/>
            </w:r>
            <w:r w:rsidR="007D2C9F" w:rsidRPr="007D2C9F">
              <w:rPr>
                <w:rStyle w:val="Hyperlink"/>
                <w:noProof/>
                <w:sz w:val="24"/>
                <w:szCs w:val="24"/>
                <w:lang w:bidi="en-US"/>
              </w:rPr>
              <w:t>Redox buffers and media</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59</w:t>
            </w:r>
            <w:r w:rsidR="007D2C9F" w:rsidRPr="007D2C9F">
              <w:rPr>
                <w:noProof/>
                <w:webHidden/>
                <w:sz w:val="24"/>
                <w:szCs w:val="24"/>
              </w:rPr>
              <w:fldChar w:fldCharType="end"/>
            </w:r>
          </w:hyperlink>
        </w:p>
        <w:p w14:paraId="7C9A1276" w14:textId="647E589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61" w:history="1">
            <w:r w:rsidR="007D2C9F" w:rsidRPr="007D2C9F">
              <w:rPr>
                <w:rStyle w:val="Hyperlink"/>
                <w:noProof/>
                <w:sz w:val="24"/>
                <w:szCs w:val="24"/>
                <w:lang w:val="en-US" w:bidi="en-US"/>
              </w:rPr>
              <w:t>2.6.3</w:t>
            </w:r>
            <w:r w:rsidR="007D2C9F" w:rsidRPr="007D2C9F">
              <w:rPr>
                <w:rFonts w:eastAsiaTheme="minorEastAsia"/>
                <w:noProof/>
                <w:sz w:val="24"/>
                <w:szCs w:val="24"/>
                <w:lang w:eastAsia="en-GB"/>
              </w:rPr>
              <w:tab/>
            </w:r>
            <w:r w:rsidR="007D2C9F" w:rsidRPr="007D2C9F">
              <w:rPr>
                <w:rStyle w:val="Hyperlink"/>
                <w:noProof/>
                <w:sz w:val="24"/>
                <w:szCs w:val="24"/>
                <w:lang w:val="en-US" w:bidi="en-US"/>
              </w:rPr>
              <w:t>Scan rate and Diffusion coefficients in Screen printed carbon electrodes (SPCE)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61</w:t>
            </w:r>
            <w:r w:rsidR="007D2C9F" w:rsidRPr="007D2C9F">
              <w:rPr>
                <w:noProof/>
                <w:webHidden/>
                <w:sz w:val="24"/>
                <w:szCs w:val="24"/>
              </w:rPr>
              <w:fldChar w:fldCharType="end"/>
            </w:r>
          </w:hyperlink>
        </w:p>
        <w:p w14:paraId="3DC32DFB" w14:textId="28DAD945"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62" w:history="1">
            <w:r w:rsidR="007D2C9F" w:rsidRPr="007D2C9F">
              <w:rPr>
                <w:rStyle w:val="Hyperlink"/>
                <w:noProof/>
                <w:sz w:val="24"/>
                <w:szCs w:val="24"/>
              </w:rPr>
              <w:t>2.7</w:t>
            </w:r>
            <w:r w:rsidR="007D2C9F" w:rsidRPr="007D2C9F">
              <w:rPr>
                <w:rFonts w:eastAsiaTheme="minorEastAsia"/>
                <w:noProof/>
                <w:sz w:val="24"/>
                <w:szCs w:val="24"/>
                <w:lang w:eastAsia="en-GB"/>
              </w:rPr>
              <w:tab/>
            </w:r>
            <w:r w:rsidR="007D2C9F" w:rsidRPr="007D2C9F">
              <w:rPr>
                <w:rStyle w:val="Hyperlink"/>
                <w:noProof/>
                <w:sz w:val="24"/>
                <w:szCs w:val="24"/>
              </w:rPr>
              <w:t>Project aim</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62</w:t>
            </w:r>
            <w:r w:rsidR="007D2C9F" w:rsidRPr="007D2C9F">
              <w:rPr>
                <w:noProof/>
                <w:webHidden/>
                <w:sz w:val="24"/>
                <w:szCs w:val="24"/>
              </w:rPr>
              <w:fldChar w:fldCharType="end"/>
            </w:r>
          </w:hyperlink>
        </w:p>
        <w:p w14:paraId="03C7CC6E" w14:textId="6FCE3213"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63" w:history="1">
            <w:r w:rsidR="007D2C9F" w:rsidRPr="007D2C9F">
              <w:rPr>
                <w:rStyle w:val="Hyperlink"/>
                <w:noProof/>
                <w:sz w:val="24"/>
                <w:szCs w:val="24"/>
              </w:rPr>
              <w:t>2.8</w:t>
            </w:r>
            <w:r w:rsidR="007D2C9F" w:rsidRPr="007D2C9F">
              <w:rPr>
                <w:rFonts w:eastAsiaTheme="minorEastAsia"/>
                <w:noProof/>
                <w:sz w:val="24"/>
                <w:szCs w:val="24"/>
                <w:lang w:eastAsia="en-GB"/>
              </w:rPr>
              <w:tab/>
            </w:r>
            <w:r w:rsidR="007D2C9F" w:rsidRPr="007D2C9F">
              <w:rPr>
                <w:rStyle w:val="Hyperlink"/>
                <w:noProof/>
                <w:sz w:val="24"/>
                <w:szCs w:val="24"/>
              </w:rPr>
              <w:t>Project objectives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62</w:t>
            </w:r>
            <w:r w:rsidR="007D2C9F" w:rsidRPr="007D2C9F">
              <w:rPr>
                <w:noProof/>
                <w:webHidden/>
                <w:sz w:val="24"/>
                <w:szCs w:val="24"/>
              </w:rPr>
              <w:fldChar w:fldCharType="end"/>
            </w:r>
          </w:hyperlink>
        </w:p>
        <w:p w14:paraId="22FA4E10" w14:textId="1765A7C5"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64" w:history="1">
            <w:r w:rsidR="007D2C9F" w:rsidRPr="007D2C9F">
              <w:rPr>
                <w:rStyle w:val="Hyperlink"/>
                <w:noProof/>
                <w:sz w:val="24"/>
                <w:szCs w:val="24"/>
              </w:rPr>
              <w:t>2.9</w:t>
            </w:r>
            <w:r w:rsidR="007D2C9F" w:rsidRPr="007D2C9F">
              <w:rPr>
                <w:rFonts w:eastAsiaTheme="minorEastAsia"/>
                <w:noProof/>
                <w:sz w:val="24"/>
                <w:szCs w:val="24"/>
                <w:lang w:eastAsia="en-GB"/>
              </w:rPr>
              <w:tab/>
            </w:r>
            <w:r w:rsidR="007D2C9F" w:rsidRPr="007D2C9F">
              <w:rPr>
                <w:rStyle w:val="Hyperlink"/>
                <w:noProof/>
                <w:sz w:val="24"/>
                <w:szCs w:val="24"/>
              </w:rPr>
              <w:t>Project justification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63</w:t>
            </w:r>
            <w:r w:rsidR="007D2C9F" w:rsidRPr="007D2C9F">
              <w:rPr>
                <w:noProof/>
                <w:webHidden/>
                <w:sz w:val="24"/>
                <w:szCs w:val="24"/>
              </w:rPr>
              <w:fldChar w:fldCharType="end"/>
            </w:r>
          </w:hyperlink>
        </w:p>
        <w:p w14:paraId="779174D4" w14:textId="4609BCB9"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065" w:history="1">
            <w:r w:rsidR="007D2C9F" w:rsidRPr="007D2C9F">
              <w:rPr>
                <w:rStyle w:val="Hyperlink"/>
                <w:noProof/>
                <w:sz w:val="24"/>
                <w:szCs w:val="24"/>
              </w:rPr>
              <w:t>3</w:t>
            </w:r>
            <w:r w:rsidR="007D2C9F" w:rsidRPr="007D2C9F">
              <w:rPr>
                <w:rFonts w:eastAsiaTheme="minorEastAsia"/>
                <w:noProof/>
                <w:sz w:val="24"/>
                <w:szCs w:val="24"/>
                <w:lang w:eastAsia="en-GB"/>
              </w:rPr>
              <w:tab/>
            </w:r>
            <w:r w:rsidR="007D2C9F" w:rsidRPr="007D2C9F">
              <w:rPr>
                <w:rStyle w:val="Hyperlink"/>
                <w:noProof/>
                <w:sz w:val="24"/>
                <w:szCs w:val="24"/>
              </w:rPr>
              <w:t>- EXPERIMENTAL PROCEDURE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65</w:t>
            </w:r>
            <w:r w:rsidR="007D2C9F" w:rsidRPr="007D2C9F">
              <w:rPr>
                <w:noProof/>
                <w:webHidden/>
                <w:sz w:val="24"/>
                <w:szCs w:val="24"/>
              </w:rPr>
              <w:fldChar w:fldCharType="end"/>
            </w:r>
          </w:hyperlink>
        </w:p>
        <w:p w14:paraId="223BF1FD" w14:textId="7006016B"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66" w:history="1">
            <w:r w:rsidR="007D2C9F" w:rsidRPr="007D2C9F">
              <w:rPr>
                <w:rStyle w:val="Hyperlink"/>
                <w:noProof/>
                <w:sz w:val="24"/>
                <w:szCs w:val="24"/>
              </w:rPr>
              <w:t>3.1</w:t>
            </w:r>
            <w:r w:rsidR="007D2C9F" w:rsidRPr="007D2C9F">
              <w:rPr>
                <w:rFonts w:eastAsiaTheme="minorEastAsia"/>
                <w:noProof/>
                <w:sz w:val="24"/>
                <w:szCs w:val="24"/>
                <w:lang w:eastAsia="en-GB"/>
              </w:rPr>
              <w:tab/>
            </w:r>
            <w:r w:rsidR="007D2C9F" w:rsidRPr="007D2C9F">
              <w:rPr>
                <w:rStyle w:val="Hyperlink"/>
                <w:noProof/>
                <w:sz w:val="24"/>
                <w:szCs w:val="24"/>
              </w:rPr>
              <w:t>Materials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65</w:t>
            </w:r>
            <w:r w:rsidR="007D2C9F" w:rsidRPr="007D2C9F">
              <w:rPr>
                <w:noProof/>
                <w:webHidden/>
                <w:sz w:val="24"/>
                <w:szCs w:val="24"/>
              </w:rPr>
              <w:fldChar w:fldCharType="end"/>
            </w:r>
          </w:hyperlink>
        </w:p>
        <w:p w14:paraId="70BF2BE2" w14:textId="6271E62C"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67" w:history="1">
            <w:r w:rsidR="007D2C9F" w:rsidRPr="007D2C9F">
              <w:rPr>
                <w:rStyle w:val="Hyperlink"/>
                <w:noProof/>
                <w:sz w:val="24"/>
                <w:szCs w:val="24"/>
                <w:lang w:bidi="en-US"/>
              </w:rPr>
              <w:t>3.1.1</w:t>
            </w:r>
            <w:r w:rsidR="007D2C9F" w:rsidRPr="007D2C9F">
              <w:rPr>
                <w:rFonts w:eastAsiaTheme="minorEastAsia"/>
                <w:noProof/>
                <w:sz w:val="24"/>
                <w:szCs w:val="24"/>
                <w:lang w:eastAsia="en-GB"/>
              </w:rPr>
              <w:tab/>
            </w:r>
            <w:r w:rsidR="007D2C9F" w:rsidRPr="007D2C9F">
              <w:rPr>
                <w:rStyle w:val="Hyperlink"/>
                <w:noProof/>
                <w:sz w:val="24"/>
                <w:szCs w:val="24"/>
                <w:lang w:bidi="en-US"/>
              </w:rPr>
              <w:t>Reagents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65</w:t>
            </w:r>
            <w:r w:rsidR="007D2C9F" w:rsidRPr="007D2C9F">
              <w:rPr>
                <w:noProof/>
                <w:webHidden/>
                <w:sz w:val="24"/>
                <w:szCs w:val="24"/>
              </w:rPr>
              <w:fldChar w:fldCharType="end"/>
            </w:r>
          </w:hyperlink>
        </w:p>
        <w:p w14:paraId="7103670C" w14:textId="5024347D"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68" w:history="1">
            <w:r w:rsidR="007D2C9F" w:rsidRPr="007D2C9F">
              <w:rPr>
                <w:rStyle w:val="Hyperlink"/>
                <w:noProof/>
                <w:sz w:val="24"/>
                <w:szCs w:val="24"/>
                <w:lang w:bidi="en-US"/>
              </w:rPr>
              <w:t>3.1.2</w:t>
            </w:r>
            <w:r w:rsidR="007D2C9F" w:rsidRPr="007D2C9F">
              <w:rPr>
                <w:rFonts w:eastAsiaTheme="minorEastAsia"/>
                <w:noProof/>
                <w:sz w:val="24"/>
                <w:szCs w:val="24"/>
                <w:lang w:eastAsia="en-GB"/>
              </w:rPr>
              <w:tab/>
            </w:r>
            <w:r w:rsidR="007D2C9F" w:rsidRPr="007D2C9F">
              <w:rPr>
                <w:rStyle w:val="Hyperlink"/>
                <w:noProof/>
                <w:sz w:val="24"/>
                <w:szCs w:val="24"/>
                <w:lang w:bidi="en-US"/>
              </w:rPr>
              <w:t>Apparatus and equipment</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65</w:t>
            </w:r>
            <w:r w:rsidR="007D2C9F" w:rsidRPr="007D2C9F">
              <w:rPr>
                <w:noProof/>
                <w:webHidden/>
                <w:sz w:val="24"/>
                <w:szCs w:val="24"/>
              </w:rPr>
              <w:fldChar w:fldCharType="end"/>
            </w:r>
          </w:hyperlink>
        </w:p>
        <w:p w14:paraId="2A953192" w14:textId="183C40E6"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69" w:history="1">
            <w:r w:rsidR="007D2C9F" w:rsidRPr="007D2C9F">
              <w:rPr>
                <w:rStyle w:val="Hyperlink"/>
                <w:noProof/>
                <w:sz w:val="24"/>
                <w:szCs w:val="24"/>
              </w:rPr>
              <w:t>3.2</w:t>
            </w:r>
            <w:r w:rsidR="007D2C9F" w:rsidRPr="007D2C9F">
              <w:rPr>
                <w:rFonts w:eastAsiaTheme="minorEastAsia"/>
                <w:noProof/>
                <w:sz w:val="24"/>
                <w:szCs w:val="24"/>
                <w:lang w:eastAsia="en-GB"/>
              </w:rPr>
              <w:tab/>
            </w:r>
            <w:r w:rsidR="007D2C9F" w:rsidRPr="007D2C9F">
              <w:rPr>
                <w:rStyle w:val="Hyperlink"/>
                <w:noProof/>
                <w:sz w:val="24"/>
                <w:szCs w:val="24"/>
              </w:rPr>
              <w:t>Methods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_Toc84528069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66</w:t>
            </w:r>
            <w:r w:rsidR="007D2C9F" w:rsidRPr="007D2C9F">
              <w:rPr>
                <w:noProof/>
                <w:webHidden/>
                <w:sz w:val="24"/>
                <w:szCs w:val="24"/>
              </w:rPr>
              <w:fldChar w:fldCharType="end"/>
            </w:r>
          </w:hyperlink>
        </w:p>
        <w:p w14:paraId="389B6B68" w14:textId="40C4653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0" w:history="1">
            <w:r w:rsidR="007D2C9F" w:rsidRPr="007D2C9F">
              <w:rPr>
                <w:rStyle w:val="Hyperlink"/>
                <w:noProof/>
                <w:sz w:val="24"/>
                <w:szCs w:val="24"/>
                <w:lang w:bidi="en-US"/>
              </w:rPr>
              <w:t>3.2.1</w:t>
            </w:r>
            <w:r w:rsidR="007D2C9F" w:rsidRPr="007D2C9F">
              <w:rPr>
                <w:rFonts w:eastAsiaTheme="minorEastAsia"/>
                <w:noProof/>
                <w:sz w:val="24"/>
                <w:szCs w:val="24"/>
                <w:lang w:eastAsia="en-GB"/>
              </w:rPr>
              <w:tab/>
            </w:r>
            <w:r w:rsidR="007D2C9F" w:rsidRPr="007D2C9F">
              <w:rPr>
                <w:rStyle w:val="Hyperlink"/>
                <w:noProof/>
                <w:sz w:val="24"/>
                <w:szCs w:val="24"/>
                <w:lang w:bidi="en-US"/>
              </w:rPr>
              <w:t>Electrode selection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66</w:t>
            </w:r>
            <w:r w:rsidR="007D2C9F" w:rsidRPr="007D2C9F">
              <w:rPr>
                <w:noProof/>
                <w:webHidden/>
                <w:sz w:val="24"/>
                <w:szCs w:val="24"/>
              </w:rPr>
              <w:fldChar w:fldCharType="end"/>
            </w:r>
          </w:hyperlink>
        </w:p>
        <w:p w14:paraId="3D74458E" w14:textId="1D4D326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1" w:history="1">
            <w:r w:rsidR="007D2C9F" w:rsidRPr="007D2C9F">
              <w:rPr>
                <w:rStyle w:val="Hyperlink"/>
                <w:noProof/>
                <w:sz w:val="24"/>
                <w:szCs w:val="24"/>
                <w:lang w:bidi="en-US"/>
              </w:rPr>
              <w:t>3.2.2</w:t>
            </w:r>
            <w:r w:rsidR="007D2C9F" w:rsidRPr="007D2C9F">
              <w:rPr>
                <w:rFonts w:eastAsiaTheme="minorEastAsia"/>
                <w:noProof/>
                <w:sz w:val="24"/>
                <w:szCs w:val="24"/>
                <w:lang w:eastAsia="en-GB"/>
              </w:rPr>
              <w:tab/>
            </w:r>
            <w:r w:rsidR="007D2C9F" w:rsidRPr="007D2C9F">
              <w:rPr>
                <w:rStyle w:val="Hyperlink"/>
                <w:noProof/>
                <w:sz w:val="24"/>
                <w:szCs w:val="24"/>
                <w:lang w:bidi="en-US"/>
              </w:rPr>
              <w:t>Electrochemical setup</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67</w:t>
            </w:r>
            <w:r w:rsidR="007D2C9F" w:rsidRPr="007D2C9F">
              <w:rPr>
                <w:noProof/>
                <w:webHidden/>
                <w:sz w:val="24"/>
                <w:szCs w:val="24"/>
              </w:rPr>
              <w:fldChar w:fldCharType="end"/>
            </w:r>
          </w:hyperlink>
        </w:p>
        <w:p w14:paraId="309D2B15" w14:textId="7AD2566C"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2" w:history="1">
            <w:r w:rsidR="007D2C9F" w:rsidRPr="007D2C9F">
              <w:rPr>
                <w:rStyle w:val="Hyperlink"/>
                <w:noProof/>
                <w:sz w:val="24"/>
                <w:szCs w:val="24"/>
                <w:lang w:bidi="en-US"/>
              </w:rPr>
              <w:t>3.2.3</w:t>
            </w:r>
            <w:r w:rsidR="007D2C9F" w:rsidRPr="007D2C9F">
              <w:rPr>
                <w:rFonts w:eastAsiaTheme="minorEastAsia"/>
                <w:noProof/>
                <w:sz w:val="24"/>
                <w:szCs w:val="24"/>
                <w:lang w:eastAsia="en-GB"/>
              </w:rPr>
              <w:tab/>
            </w:r>
            <w:r w:rsidR="007D2C9F" w:rsidRPr="007D2C9F">
              <w:rPr>
                <w:rStyle w:val="Hyperlink"/>
                <w:noProof/>
                <w:sz w:val="24"/>
                <w:szCs w:val="24"/>
                <w:lang w:bidi="en-US"/>
              </w:rPr>
              <w:t>Gold electrode preparation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68</w:t>
            </w:r>
            <w:r w:rsidR="007D2C9F" w:rsidRPr="007D2C9F">
              <w:rPr>
                <w:noProof/>
                <w:webHidden/>
                <w:sz w:val="24"/>
                <w:szCs w:val="24"/>
              </w:rPr>
              <w:fldChar w:fldCharType="end"/>
            </w:r>
          </w:hyperlink>
        </w:p>
        <w:p w14:paraId="188A9DF2" w14:textId="2A5E29FE"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3" w:history="1">
            <w:r w:rsidR="007D2C9F" w:rsidRPr="007D2C9F">
              <w:rPr>
                <w:rStyle w:val="Hyperlink"/>
                <w:noProof/>
                <w:sz w:val="24"/>
                <w:szCs w:val="24"/>
                <w:lang w:bidi="en-US"/>
              </w:rPr>
              <w:t>3.2.4</w:t>
            </w:r>
            <w:r w:rsidR="007D2C9F" w:rsidRPr="007D2C9F">
              <w:rPr>
                <w:rFonts w:eastAsiaTheme="minorEastAsia"/>
                <w:noProof/>
                <w:sz w:val="24"/>
                <w:szCs w:val="24"/>
                <w:lang w:eastAsia="en-GB"/>
              </w:rPr>
              <w:tab/>
            </w:r>
            <w:r w:rsidR="007D2C9F" w:rsidRPr="007D2C9F">
              <w:rPr>
                <w:rStyle w:val="Hyperlink"/>
                <w:noProof/>
                <w:sz w:val="24"/>
                <w:szCs w:val="24"/>
                <w:lang w:bidi="en-US"/>
              </w:rPr>
              <w:t>Scanning electron microscope (SEM) Characterisation of multi-SPCE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68</w:t>
            </w:r>
            <w:r w:rsidR="007D2C9F" w:rsidRPr="007D2C9F">
              <w:rPr>
                <w:noProof/>
                <w:webHidden/>
                <w:sz w:val="24"/>
                <w:szCs w:val="24"/>
              </w:rPr>
              <w:fldChar w:fldCharType="end"/>
            </w:r>
          </w:hyperlink>
        </w:p>
        <w:p w14:paraId="18DA142C" w14:textId="6948EB2C"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4" w:history="1">
            <w:r w:rsidR="007D2C9F" w:rsidRPr="007D2C9F">
              <w:rPr>
                <w:rStyle w:val="Hyperlink"/>
                <w:noProof/>
                <w:sz w:val="24"/>
                <w:szCs w:val="24"/>
                <w:lang w:bidi="en-US"/>
              </w:rPr>
              <w:t>3.2.5</w:t>
            </w:r>
            <w:r w:rsidR="007D2C9F" w:rsidRPr="007D2C9F">
              <w:rPr>
                <w:rFonts w:eastAsiaTheme="minorEastAsia"/>
                <w:noProof/>
                <w:sz w:val="24"/>
                <w:szCs w:val="24"/>
                <w:lang w:eastAsia="en-GB"/>
              </w:rPr>
              <w:tab/>
            </w:r>
            <w:r w:rsidR="007D2C9F" w:rsidRPr="007D2C9F">
              <w:rPr>
                <w:rStyle w:val="Hyperlink"/>
                <w:noProof/>
                <w:sz w:val="24"/>
                <w:szCs w:val="24"/>
                <w:lang w:bidi="en-US"/>
              </w:rPr>
              <w:t>Initial assay development</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69</w:t>
            </w:r>
            <w:r w:rsidR="007D2C9F" w:rsidRPr="007D2C9F">
              <w:rPr>
                <w:noProof/>
                <w:webHidden/>
                <w:sz w:val="24"/>
                <w:szCs w:val="24"/>
              </w:rPr>
              <w:fldChar w:fldCharType="end"/>
            </w:r>
          </w:hyperlink>
        </w:p>
        <w:p w14:paraId="0144ABDD" w14:textId="2C2BD903"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5" w:history="1">
            <w:r w:rsidR="007D2C9F" w:rsidRPr="007D2C9F">
              <w:rPr>
                <w:rStyle w:val="Hyperlink"/>
                <w:noProof/>
                <w:sz w:val="24"/>
                <w:szCs w:val="24"/>
                <w:lang w:bidi="en-US"/>
              </w:rPr>
              <w:t>3.2.6</w:t>
            </w:r>
            <w:r w:rsidR="007D2C9F" w:rsidRPr="007D2C9F">
              <w:rPr>
                <w:rFonts w:eastAsiaTheme="minorEastAsia"/>
                <w:noProof/>
                <w:sz w:val="24"/>
                <w:szCs w:val="24"/>
                <w:lang w:eastAsia="en-GB"/>
              </w:rPr>
              <w:tab/>
            </w:r>
            <w:r w:rsidR="007D2C9F" w:rsidRPr="007D2C9F">
              <w:rPr>
                <w:rStyle w:val="Hyperlink"/>
                <w:noProof/>
                <w:sz w:val="24"/>
                <w:szCs w:val="24"/>
                <w:lang w:bidi="en-US"/>
              </w:rPr>
              <w:t>Carbon electrode preparation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69</w:t>
            </w:r>
            <w:r w:rsidR="007D2C9F" w:rsidRPr="007D2C9F">
              <w:rPr>
                <w:noProof/>
                <w:webHidden/>
                <w:sz w:val="24"/>
                <w:szCs w:val="24"/>
              </w:rPr>
              <w:fldChar w:fldCharType="end"/>
            </w:r>
          </w:hyperlink>
        </w:p>
        <w:p w14:paraId="4281E286" w14:textId="5918655C"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6" w:history="1">
            <w:r w:rsidR="007D2C9F" w:rsidRPr="007D2C9F">
              <w:rPr>
                <w:rStyle w:val="Hyperlink"/>
                <w:noProof/>
                <w:sz w:val="24"/>
                <w:szCs w:val="24"/>
                <w:lang w:bidi="en-US"/>
              </w:rPr>
              <w:t>3.2.7</w:t>
            </w:r>
            <w:r w:rsidR="007D2C9F" w:rsidRPr="007D2C9F">
              <w:rPr>
                <w:rFonts w:eastAsiaTheme="minorEastAsia"/>
                <w:noProof/>
                <w:sz w:val="24"/>
                <w:szCs w:val="24"/>
                <w:lang w:eastAsia="en-GB"/>
              </w:rPr>
              <w:tab/>
            </w:r>
            <w:r w:rsidR="007D2C9F" w:rsidRPr="007D2C9F">
              <w:rPr>
                <w:rStyle w:val="Hyperlink"/>
                <w:noProof/>
                <w:sz w:val="24"/>
                <w:szCs w:val="24"/>
                <w:lang w:bidi="en-US"/>
              </w:rPr>
              <w:t>Carbon nanotube (CNT) – modified carbon electrode preparation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71</w:t>
            </w:r>
            <w:r w:rsidR="007D2C9F" w:rsidRPr="007D2C9F">
              <w:rPr>
                <w:noProof/>
                <w:webHidden/>
                <w:sz w:val="24"/>
                <w:szCs w:val="24"/>
              </w:rPr>
              <w:fldChar w:fldCharType="end"/>
            </w:r>
          </w:hyperlink>
        </w:p>
        <w:p w14:paraId="0BDC1317" w14:textId="3DDBAFE7"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7" w:history="1">
            <w:r w:rsidR="007D2C9F" w:rsidRPr="007D2C9F">
              <w:rPr>
                <w:rStyle w:val="Hyperlink"/>
                <w:noProof/>
                <w:sz w:val="24"/>
                <w:szCs w:val="24"/>
                <w:lang w:bidi="en-US"/>
              </w:rPr>
              <w:t>3.2.8</w:t>
            </w:r>
            <w:r w:rsidR="007D2C9F" w:rsidRPr="007D2C9F">
              <w:rPr>
                <w:rFonts w:eastAsiaTheme="minorEastAsia"/>
                <w:noProof/>
                <w:sz w:val="24"/>
                <w:szCs w:val="24"/>
                <w:lang w:eastAsia="en-GB"/>
              </w:rPr>
              <w:tab/>
            </w:r>
            <w:r w:rsidR="007D2C9F" w:rsidRPr="007D2C9F">
              <w:rPr>
                <w:rStyle w:val="Hyperlink"/>
                <w:noProof/>
                <w:sz w:val="24"/>
                <w:szCs w:val="24"/>
                <w:lang w:bidi="en-US"/>
              </w:rPr>
              <w:t>Workflow</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73</w:t>
            </w:r>
            <w:r w:rsidR="007D2C9F" w:rsidRPr="007D2C9F">
              <w:rPr>
                <w:noProof/>
                <w:webHidden/>
                <w:sz w:val="24"/>
                <w:szCs w:val="24"/>
              </w:rPr>
              <w:fldChar w:fldCharType="end"/>
            </w:r>
          </w:hyperlink>
        </w:p>
        <w:p w14:paraId="14D50138" w14:textId="59E9C456"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8" w:history="1">
            <w:r w:rsidR="007D2C9F" w:rsidRPr="007D2C9F">
              <w:rPr>
                <w:rStyle w:val="Hyperlink"/>
                <w:noProof/>
                <w:sz w:val="24"/>
                <w:szCs w:val="24"/>
                <w:lang w:bidi="en-US"/>
              </w:rPr>
              <w:t>3.2.9</w:t>
            </w:r>
            <w:r w:rsidR="007D2C9F" w:rsidRPr="007D2C9F">
              <w:rPr>
                <w:rFonts w:eastAsiaTheme="minorEastAsia"/>
                <w:noProof/>
                <w:sz w:val="24"/>
                <w:szCs w:val="24"/>
                <w:lang w:eastAsia="en-GB"/>
              </w:rPr>
              <w:tab/>
            </w:r>
            <w:r w:rsidR="007D2C9F" w:rsidRPr="007D2C9F">
              <w:rPr>
                <w:rStyle w:val="Hyperlink"/>
                <w:noProof/>
                <w:sz w:val="24"/>
                <w:szCs w:val="24"/>
                <w:lang w:bidi="en-US"/>
              </w:rPr>
              <w:t>Signal quantification and Analysis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74</w:t>
            </w:r>
            <w:r w:rsidR="007D2C9F" w:rsidRPr="007D2C9F">
              <w:rPr>
                <w:noProof/>
                <w:webHidden/>
                <w:sz w:val="24"/>
                <w:szCs w:val="24"/>
              </w:rPr>
              <w:fldChar w:fldCharType="end"/>
            </w:r>
          </w:hyperlink>
        </w:p>
        <w:p w14:paraId="4A9C8D19" w14:textId="327F643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79" w:history="1">
            <w:r w:rsidR="007D2C9F" w:rsidRPr="007D2C9F">
              <w:rPr>
                <w:rStyle w:val="Hyperlink"/>
                <w:noProof/>
                <w:sz w:val="24"/>
                <w:szCs w:val="24"/>
                <w:lang w:bidi="en-US"/>
              </w:rPr>
              <w:t>3.2.10</w:t>
            </w:r>
            <w:r w:rsidR="007D2C9F" w:rsidRPr="007D2C9F">
              <w:rPr>
                <w:rFonts w:eastAsiaTheme="minorEastAsia"/>
                <w:noProof/>
                <w:sz w:val="24"/>
                <w:szCs w:val="24"/>
                <w:lang w:eastAsia="en-GB"/>
              </w:rPr>
              <w:tab/>
            </w:r>
            <w:r w:rsidR="007D2C9F" w:rsidRPr="007D2C9F">
              <w:rPr>
                <w:rStyle w:val="Hyperlink"/>
                <w:noProof/>
                <w:sz w:val="24"/>
                <w:szCs w:val="24"/>
                <w:lang w:bidi="en-US"/>
              </w:rPr>
              <w:t>Polymerase chain reaction (PCR) protocol</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_Toc84528079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75</w:t>
            </w:r>
            <w:r w:rsidR="007D2C9F" w:rsidRPr="007D2C9F">
              <w:rPr>
                <w:noProof/>
                <w:webHidden/>
                <w:sz w:val="24"/>
                <w:szCs w:val="24"/>
              </w:rPr>
              <w:fldChar w:fldCharType="end"/>
            </w:r>
          </w:hyperlink>
        </w:p>
        <w:p w14:paraId="72DDC40E" w14:textId="755DCB0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80" w:history="1">
            <w:r w:rsidR="007D2C9F" w:rsidRPr="007D2C9F">
              <w:rPr>
                <w:rStyle w:val="Hyperlink"/>
                <w:noProof/>
                <w:sz w:val="24"/>
                <w:szCs w:val="24"/>
                <w:lang w:bidi="en-US"/>
              </w:rPr>
              <w:t>3.2.11</w:t>
            </w:r>
            <w:r w:rsidR="007D2C9F" w:rsidRPr="007D2C9F">
              <w:rPr>
                <w:rFonts w:eastAsiaTheme="minorEastAsia"/>
                <w:noProof/>
                <w:sz w:val="24"/>
                <w:szCs w:val="24"/>
                <w:lang w:eastAsia="en-GB"/>
              </w:rPr>
              <w:tab/>
            </w:r>
            <w:r w:rsidR="007D2C9F" w:rsidRPr="007D2C9F">
              <w:rPr>
                <w:rStyle w:val="Hyperlink"/>
                <w:noProof/>
                <w:sz w:val="24"/>
                <w:szCs w:val="24"/>
                <w:lang w:bidi="en-US"/>
              </w:rPr>
              <w:t>Recombinase Polymerase Amplification (RPA) Isothermal Amplification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78</w:t>
            </w:r>
            <w:r w:rsidR="007D2C9F" w:rsidRPr="007D2C9F">
              <w:rPr>
                <w:noProof/>
                <w:webHidden/>
                <w:sz w:val="24"/>
                <w:szCs w:val="24"/>
              </w:rPr>
              <w:fldChar w:fldCharType="end"/>
            </w:r>
          </w:hyperlink>
        </w:p>
        <w:p w14:paraId="40B75455" w14:textId="690F02B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81" w:history="1">
            <w:r w:rsidR="007D2C9F" w:rsidRPr="007D2C9F">
              <w:rPr>
                <w:rStyle w:val="Hyperlink"/>
                <w:noProof/>
                <w:sz w:val="24"/>
                <w:szCs w:val="24"/>
                <w:lang w:bidi="en-US"/>
              </w:rPr>
              <w:t>3.2.12</w:t>
            </w:r>
            <w:r w:rsidR="007D2C9F" w:rsidRPr="007D2C9F">
              <w:rPr>
                <w:rFonts w:eastAsiaTheme="minorEastAsia"/>
                <w:noProof/>
                <w:sz w:val="24"/>
                <w:szCs w:val="24"/>
                <w:lang w:eastAsia="en-GB"/>
              </w:rPr>
              <w:tab/>
            </w:r>
            <w:r w:rsidR="007D2C9F" w:rsidRPr="007D2C9F">
              <w:rPr>
                <w:rStyle w:val="Hyperlink"/>
                <w:noProof/>
                <w:sz w:val="24"/>
                <w:szCs w:val="24"/>
                <w:lang w:bidi="en-US"/>
              </w:rPr>
              <w:t>Phusion direct PCR protocol</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81</w:t>
            </w:r>
            <w:r w:rsidR="007D2C9F" w:rsidRPr="007D2C9F">
              <w:rPr>
                <w:noProof/>
                <w:webHidden/>
                <w:sz w:val="24"/>
                <w:szCs w:val="24"/>
              </w:rPr>
              <w:fldChar w:fldCharType="end"/>
            </w:r>
          </w:hyperlink>
        </w:p>
        <w:p w14:paraId="542B1579" w14:textId="0F8CE3C4"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82" w:history="1">
            <w:r w:rsidR="007D2C9F" w:rsidRPr="007D2C9F">
              <w:rPr>
                <w:rStyle w:val="Hyperlink"/>
                <w:noProof/>
                <w:sz w:val="24"/>
                <w:szCs w:val="24"/>
                <w:lang w:bidi="en-US"/>
              </w:rPr>
              <w:t>3.2.13</w:t>
            </w:r>
            <w:r w:rsidR="007D2C9F" w:rsidRPr="007D2C9F">
              <w:rPr>
                <w:rFonts w:eastAsiaTheme="minorEastAsia"/>
                <w:noProof/>
                <w:sz w:val="24"/>
                <w:szCs w:val="24"/>
                <w:lang w:eastAsia="en-GB"/>
              </w:rPr>
              <w:tab/>
            </w:r>
            <w:r w:rsidR="007D2C9F" w:rsidRPr="007D2C9F">
              <w:rPr>
                <w:rStyle w:val="Hyperlink"/>
                <w:noProof/>
                <w:sz w:val="24"/>
                <w:szCs w:val="24"/>
                <w:lang w:bidi="en-US"/>
              </w:rPr>
              <w:t>Gel electrophoresis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83</w:t>
            </w:r>
            <w:r w:rsidR="007D2C9F" w:rsidRPr="007D2C9F">
              <w:rPr>
                <w:noProof/>
                <w:webHidden/>
                <w:sz w:val="24"/>
                <w:szCs w:val="24"/>
              </w:rPr>
              <w:fldChar w:fldCharType="end"/>
            </w:r>
          </w:hyperlink>
        </w:p>
        <w:p w14:paraId="13E39F92" w14:textId="4E39AAE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83" w:history="1">
            <w:r w:rsidR="007D2C9F" w:rsidRPr="007D2C9F">
              <w:rPr>
                <w:rStyle w:val="Hyperlink"/>
                <w:noProof/>
                <w:sz w:val="24"/>
                <w:szCs w:val="24"/>
                <w:lang w:bidi="en-US"/>
              </w:rPr>
              <w:t>3.2.14</w:t>
            </w:r>
            <w:r w:rsidR="007D2C9F" w:rsidRPr="007D2C9F">
              <w:rPr>
                <w:rFonts w:eastAsiaTheme="minorEastAsia"/>
                <w:noProof/>
                <w:sz w:val="24"/>
                <w:szCs w:val="24"/>
                <w:lang w:eastAsia="en-GB"/>
              </w:rPr>
              <w:tab/>
            </w:r>
            <w:r w:rsidR="007D2C9F" w:rsidRPr="007D2C9F">
              <w:rPr>
                <w:rStyle w:val="Hyperlink"/>
                <w:noProof/>
                <w:sz w:val="24"/>
                <w:szCs w:val="24"/>
                <w:lang w:bidi="en-US"/>
              </w:rPr>
              <w:t>DNA immobilisation protocol</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85</w:t>
            </w:r>
            <w:r w:rsidR="007D2C9F" w:rsidRPr="007D2C9F">
              <w:rPr>
                <w:noProof/>
                <w:webHidden/>
                <w:sz w:val="24"/>
                <w:szCs w:val="24"/>
              </w:rPr>
              <w:fldChar w:fldCharType="end"/>
            </w:r>
          </w:hyperlink>
        </w:p>
        <w:p w14:paraId="1E6D6B00" w14:textId="70F95A6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84" w:history="1">
            <w:r w:rsidR="007D2C9F" w:rsidRPr="007D2C9F">
              <w:rPr>
                <w:rStyle w:val="Hyperlink"/>
                <w:noProof/>
                <w:sz w:val="24"/>
                <w:szCs w:val="24"/>
                <w:lang w:bidi="en-US"/>
              </w:rPr>
              <w:t>3.2.15</w:t>
            </w:r>
            <w:r w:rsidR="007D2C9F" w:rsidRPr="007D2C9F">
              <w:rPr>
                <w:rFonts w:eastAsiaTheme="minorEastAsia"/>
                <w:noProof/>
                <w:sz w:val="24"/>
                <w:szCs w:val="24"/>
                <w:lang w:eastAsia="en-GB"/>
              </w:rPr>
              <w:tab/>
            </w:r>
            <w:r w:rsidR="007D2C9F" w:rsidRPr="007D2C9F">
              <w:rPr>
                <w:rStyle w:val="Hyperlink"/>
                <w:noProof/>
                <w:sz w:val="24"/>
                <w:szCs w:val="24"/>
                <w:lang w:bidi="en-US"/>
              </w:rPr>
              <w:t>Denaturation of amplified dsDNA</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86</w:t>
            </w:r>
            <w:r w:rsidR="007D2C9F" w:rsidRPr="007D2C9F">
              <w:rPr>
                <w:noProof/>
                <w:webHidden/>
                <w:sz w:val="24"/>
                <w:szCs w:val="24"/>
              </w:rPr>
              <w:fldChar w:fldCharType="end"/>
            </w:r>
          </w:hyperlink>
        </w:p>
        <w:p w14:paraId="66AE9300" w14:textId="724B1BE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85" w:history="1">
            <w:r w:rsidR="007D2C9F" w:rsidRPr="007D2C9F">
              <w:rPr>
                <w:rStyle w:val="Hyperlink"/>
                <w:noProof/>
                <w:sz w:val="24"/>
                <w:szCs w:val="24"/>
                <w:lang w:bidi="en-US"/>
              </w:rPr>
              <w:t>3.2.16</w:t>
            </w:r>
            <w:r w:rsidR="007D2C9F" w:rsidRPr="007D2C9F">
              <w:rPr>
                <w:rFonts w:eastAsiaTheme="minorEastAsia"/>
                <w:noProof/>
                <w:sz w:val="24"/>
                <w:szCs w:val="24"/>
                <w:lang w:eastAsia="en-GB"/>
              </w:rPr>
              <w:tab/>
            </w:r>
            <w:r w:rsidR="007D2C9F" w:rsidRPr="007D2C9F">
              <w:rPr>
                <w:rStyle w:val="Hyperlink"/>
                <w:noProof/>
                <w:sz w:val="24"/>
                <w:szCs w:val="24"/>
                <w:lang w:bidi="en-US"/>
              </w:rPr>
              <w:t>Electrochemical measurements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86</w:t>
            </w:r>
            <w:r w:rsidR="007D2C9F" w:rsidRPr="007D2C9F">
              <w:rPr>
                <w:noProof/>
                <w:webHidden/>
                <w:sz w:val="24"/>
                <w:szCs w:val="24"/>
              </w:rPr>
              <w:fldChar w:fldCharType="end"/>
            </w:r>
          </w:hyperlink>
        </w:p>
        <w:p w14:paraId="524A4316" w14:textId="6D132D55"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086" w:history="1">
            <w:r w:rsidR="007D2C9F" w:rsidRPr="007D2C9F">
              <w:rPr>
                <w:rStyle w:val="Hyperlink"/>
                <w:noProof/>
                <w:sz w:val="24"/>
                <w:szCs w:val="24"/>
              </w:rPr>
              <w:t>4</w:t>
            </w:r>
            <w:r w:rsidR="007D2C9F" w:rsidRPr="007D2C9F">
              <w:rPr>
                <w:rFonts w:eastAsiaTheme="minorEastAsia"/>
                <w:noProof/>
                <w:sz w:val="24"/>
                <w:szCs w:val="24"/>
                <w:lang w:eastAsia="en-GB"/>
              </w:rPr>
              <w:tab/>
            </w:r>
            <w:r w:rsidR="007D2C9F" w:rsidRPr="007D2C9F">
              <w:rPr>
                <w:rStyle w:val="Hyperlink"/>
                <w:noProof/>
                <w:sz w:val="24"/>
                <w:szCs w:val="24"/>
              </w:rPr>
              <w:t>– DEVELOPING A ctDNA ASSAY USING A COMMON AND ESTABLISHED CANCER MUTATION – Tp53</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91</w:t>
            </w:r>
            <w:r w:rsidR="007D2C9F" w:rsidRPr="007D2C9F">
              <w:rPr>
                <w:noProof/>
                <w:webHidden/>
                <w:sz w:val="24"/>
                <w:szCs w:val="24"/>
              </w:rPr>
              <w:fldChar w:fldCharType="end"/>
            </w:r>
          </w:hyperlink>
        </w:p>
        <w:p w14:paraId="05FC85E7" w14:textId="234C2623" w:rsidR="007D2C9F" w:rsidRPr="007D2C9F" w:rsidRDefault="00DD4134" w:rsidP="007D2C9F">
          <w:pPr>
            <w:pStyle w:val="TOC2"/>
            <w:tabs>
              <w:tab w:val="right" w:leader="dot" w:pos="8494"/>
            </w:tabs>
            <w:spacing w:line="276" w:lineRule="auto"/>
            <w:rPr>
              <w:rFonts w:eastAsiaTheme="minorEastAsia"/>
              <w:noProof/>
              <w:sz w:val="24"/>
              <w:szCs w:val="24"/>
              <w:lang w:eastAsia="en-GB"/>
            </w:rPr>
          </w:pPr>
          <w:hyperlink w:anchor="_Toc84528087" w:history="1">
            <w:r w:rsidR="007D2C9F" w:rsidRPr="007D2C9F">
              <w:rPr>
                <w:rStyle w:val="Hyperlink"/>
                <w:noProof/>
                <w:sz w:val="24"/>
                <w:szCs w:val="24"/>
              </w:rPr>
              <w:t>4.1 Introduction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91</w:t>
            </w:r>
            <w:r w:rsidR="007D2C9F" w:rsidRPr="007D2C9F">
              <w:rPr>
                <w:noProof/>
                <w:webHidden/>
                <w:sz w:val="24"/>
                <w:szCs w:val="24"/>
              </w:rPr>
              <w:fldChar w:fldCharType="end"/>
            </w:r>
          </w:hyperlink>
        </w:p>
        <w:p w14:paraId="43A99967" w14:textId="64907BA2"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88" w:history="1">
            <w:r w:rsidR="007D2C9F" w:rsidRPr="007D2C9F">
              <w:rPr>
                <w:rStyle w:val="Hyperlink"/>
                <w:noProof/>
                <w:sz w:val="24"/>
                <w:szCs w:val="24"/>
              </w:rPr>
              <w:t>4.1</w:t>
            </w:r>
            <w:r w:rsidR="007D2C9F" w:rsidRPr="007D2C9F">
              <w:rPr>
                <w:rFonts w:eastAsiaTheme="minorEastAsia"/>
                <w:noProof/>
                <w:sz w:val="24"/>
                <w:szCs w:val="24"/>
                <w:lang w:eastAsia="en-GB"/>
              </w:rPr>
              <w:tab/>
            </w:r>
            <w:r w:rsidR="007D2C9F" w:rsidRPr="007D2C9F">
              <w:rPr>
                <w:rStyle w:val="Hyperlink"/>
                <w:noProof/>
                <w:sz w:val="24"/>
                <w:szCs w:val="24"/>
              </w:rPr>
              <w:t>Methods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91</w:t>
            </w:r>
            <w:r w:rsidR="007D2C9F" w:rsidRPr="007D2C9F">
              <w:rPr>
                <w:noProof/>
                <w:webHidden/>
                <w:sz w:val="24"/>
                <w:szCs w:val="24"/>
              </w:rPr>
              <w:fldChar w:fldCharType="end"/>
            </w:r>
          </w:hyperlink>
        </w:p>
        <w:p w14:paraId="5C6EDDE2" w14:textId="627ACA4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89" w:history="1">
            <w:r w:rsidR="007D2C9F" w:rsidRPr="007D2C9F">
              <w:rPr>
                <w:rStyle w:val="Hyperlink"/>
                <w:noProof/>
                <w:sz w:val="24"/>
                <w:szCs w:val="24"/>
                <w:lang w:bidi="en-US"/>
              </w:rPr>
              <w:t>4.1.1</w:t>
            </w:r>
            <w:r w:rsidR="007D2C9F" w:rsidRPr="007D2C9F">
              <w:rPr>
                <w:rFonts w:eastAsiaTheme="minorEastAsia"/>
                <w:noProof/>
                <w:sz w:val="24"/>
                <w:szCs w:val="24"/>
                <w:lang w:eastAsia="en-GB"/>
              </w:rPr>
              <w:tab/>
            </w:r>
            <w:r w:rsidR="007D2C9F" w:rsidRPr="007D2C9F">
              <w:rPr>
                <w:rStyle w:val="Hyperlink"/>
                <w:noProof/>
                <w:sz w:val="24"/>
                <w:szCs w:val="24"/>
                <w:lang w:bidi="en-US"/>
              </w:rPr>
              <w:t>Reagents and materials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_Toc84528089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91</w:t>
            </w:r>
            <w:r w:rsidR="007D2C9F" w:rsidRPr="007D2C9F">
              <w:rPr>
                <w:noProof/>
                <w:webHidden/>
                <w:sz w:val="24"/>
                <w:szCs w:val="24"/>
              </w:rPr>
              <w:fldChar w:fldCharType="end"/>
            </w:r>
          </w:hyperlink>
        </w:p>
        <w:p w14:paraId="2442FC4C" w14:textId="7B30D55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90" w:history="1">
            <w:r w:rsidR="007D2C9F" w:rsidRPr="007D2C9F">
              <w:rPr>
                <w:rStyle w:val="Hyperlink"/>
                <w:noProof/>
                <w:sz w:val="24"/>
                <w:szCs w:val="24"/>
                <w:lang w:bidi="en-US"/>
              </w:rPr>
              <w:t>4.1.2</w:t>
            </w:r>
            <w:r w:rsidR="007D2C9F" w:rsidRPr="007D2C9F">
              <w:rPr>
                <w:rFonts w:eastAsiaTheme="minorEastAsia"/>
                <w:noProof/>
                <w:sz w:val="24"/>
                <w:szCs w:val="24"/>
                <w:lang w:eastAsia="en-GB"/>
              </w:rPr>
              <w:tab/>
            </w:r>
            <w:r w:rsidR="007D2C9F" w:rsidRPr="007D2C9F">
              <w:rPr>
                <w:rStyle w:val="Hyperlink"/>
                <w:noProof/>
                <w:sz w:val="24"/>
                <w:szCs w:val="24"/>
                <w:lang w:bidi="en-US"/>
              </w:rPr>
              <w:t>Cell culture and DNA extraction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92</w:t>
            </w:r>
            <w:r w:rsidR="007D2C9F" w:rsidRPr="007D2C9F">
              <w:rPr>
                <w:noProof/>
                <w:webHidden/>
                <w:sz w:val="24"/>
                <w:szCs w:val="24"/>
              </w:rPr>
              <w:fldChar w:fldCharType="end"/>
            </w:r>
          </w:hyperlink>
        </w:p>
        <w:p w14:paraId="38D5B73E" w14:textId="16275733"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91" w:history="1">
            <w:r w:rsidR="007D2C9F" w:rsidRPr="007D2C9F">
              <w:rPr>
                <w:rStyle w:val="Hyperlink"/>
                <w:noProof/>
                <w:sz w:val="24"/>
                <w:szCs w:val="24"/>
                <w:lang w:bidi="en-US"/>
              </w:rPr>
              <w:t>4.1.3</w:t>
            </w:r>
            <w:r w:rsidR="007D2C9F" w:rsidRPr="007D2C9F">
              <w:rPr>
                <w:rFonts w:eastAsiaTheme="minorEastAsia"/>
                <w:noProof/>
                <w:sz w:val="24"/>
                <w:szCs w:val="24"/>
                <w:lang w:eastAsia="en-GB"/>
              </w:rPr>
              <w:tab/>
            </w:r>
            <w:r w:rsidR="007D2C9F" w:rsidRPr="007D2C9F">
              <w:rPr>
                <w:rStyle w:val="Hyperlink"/>
                <w:noProof/>
                <w:sz w:val="24"/>
                <w:szCs w:val="24"/>
                <w:lang w:bidi="en-US"/>
              </w:rPr>
              <w:t>Workflow</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93</w:t>
            </w:r>
            <w:r w:rsidR="007D2C9F" w:rsidRPr="007D2C9F">
              <w:rPr>
                <w:noProof/>
                <w:webHidden/>
                <w:sz w:val="24"/>
                <w:szCs w:val="24"/>
              </w:rPr>
              <w:fldChar w:fldCharType="end"/>
            </w:r>
          </w:hyperlink>
        </w:p>
        <w:p w14:paraId="79E391DF" w14:textId="52B5BB7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92" w:history="1">
            <w:r w:rsidR="007D2C9F" w:rsidRPr="007D2C9F">
              <w:rPr>
                <w:rStyle w:val="Hyperlink"/>
                <w:noProof/>
                <w:sz w:val="24"/>
                <w:szCs w:val="24"/>
                <w:lang w:bidi="en-US"/>
              </w:rPr>
              <w:t>4.1.4</w:t>
            </w:r>
            <w:r w:rsidR="007D2C9F" w:rsidRPr="007D2C9F">
              <w:rPr>
                <w:rFonts w:eastAsiaTheme="minorEastAsia"/>
                <w:noProof/>
                <w:sz w:val="24"/>
                <w:szCs w:val="24"/>
                <w:lang w:eastAsia="en-GB"/>
              </w:rPr>
              <w:tab/>
            </w:r>
            <w:r w:rsidR="007D2C9F" w:rsidRPr="007D2C9F">
              <w:rPr>
                <w:rStyle w:val="Hyperlink"/>
                <w:noProof/>
                <w:sz w:val="24"/>
                <w:szCs w:val="24"/>
                <w:lang w:bidi="en-US"/>
              </w:rPr>
              <w:t>Analysis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94</w:t>
            </w:r>
            <w:r w:rsidR="007D2C9F" w:rsidRPr="007D2C9F">
              <w:rPr>
                <w:noProof/>
                <w:webHidden/>
                <w:sz w:val="24"/>
                <w:szCs w:val="24"/>
              </w:rPr>
              <w:fldChar w:fldCharType="end"/>
            </w:r>
          </w:hyperlink>
        </w:p>
        <w:p w14:paraId="2A601BBD" w14:textId="2C42CA41"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93" w:history="1">
            <w:r w:rsidR="007D2C9F" w:rsidRPr="007D2C9F">
              <w:rPr>
                <w:rStyle w:val="Hyperlink"/>
                <w:noProof/>
                <w:sz w:val="24"/>
                <w:szCs w:val="24"/>
              </w:rPr>
              <w:t>4.2</w:t>
            </w:r>
            <w:r w:rsidR="007D2C9F" w:rsidRPr="007D2C9F">
              <w:rPr>
                <w:rFonts w:eastAsiaTheme="minorEastAsia"/>
                <w:noProof/>
                <w:sz w:val="24"/>
                <w:szCs w:val="24"/>
                <w:lang w:eastAsia="en-GB"/>
              </w:rPr>
              <w:tab/>
            </w:r>
            <w:r w:rsidR="007D2C9F" w:rsidRPr="007D2C9F">
              <w:rPr>
                <w:rStyle w:val="Hyperlink"/>
                <w:noProof/>
                <w:sz w:val="24"/>
                <w:szCs w:val="24"/>
              </w:rPr>
              <w:t>Results and discussion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94</w:t>
            </w:r>
            <w:r w:rsidR="007D2C9F" w:rsidRPr="007D2C9F">
              <w:rPr>
                <w:noProof/>
                <w:webHidden/>
                <w:sz w:val="24"/>
                <w:szCs w:val="24"/>
              </w:rPr>
              <w:fldChar w:fldCharType="end"/>
            </w:r>
          </w:hyperlink>
        </w:p>
        <w:p w14:paraId="4414E1B9" w14:textId="0E2DD86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94" w:history="1">
            <w:r w:rsidR="007D2C9F" w:rsidRPr="007D2C9F">
              <w:rPr>
                <w:rStyle w:val="Hyperlink"/>
                <w:noProof/>
                <w:sz w:val="24"/>
                <w:szCs w:val="24"/>
                <w:lang w:bidi="en-US"/>
              </w:rPr>
              <w:t>4.2.1</w:t>
            </w:r>
            <w:r w:rsidR="007D2C9F" w:rsidRPr="007D2C9F">
              <w:rPr>
                <w:rFonts w:eastAsiaTheme="minorEastAsia"/>
                <w:noProof/>
                <w:sz w:val="24"/>
                <w:szCs w:val="24"/>
                <w:lang w:eastAsia="en-GB"/>
              </w:rPr>
              <w:tab/>
            </w:r>
            <w:r w:rsidR="007D2C9F" w:rsidRPr="007D2C9F">
              <w:rPr>
                <w:rStyle w:val="Hyperlink"/>
                <w:noProof/>
                <w:sz w:val="24"/>
                <w:szCs w:val="24"/>
                <w:lang w:bidi="en-US"/>
              </w:rPr>
              <w:t>Extracted DNA characterisation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94</w:t>
            </w:r>
            <w:r w:rsidR="007D2C9F" w:rsidRPr="007D2C9F">
              <w:rPr>
                <w:noProof/>
                <w:webHidden/>
                <w:sz w:val="24"/>
                <w:szCs w:val="24"/>
              </w:rPr>
              <w:fldChar w:fldCharType="end"/>
            </w:r>
          </w:hyperlink>
        </w:p>
        <w:p w14:paraId="70245BA8" w14:textId="4CA6703F"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95" w:history="1">
            <w:r w:rsidR="007D2C9F" w:rsidRPr="007D2C9F">
              <w:rPr>
                <w:rStyle w:val="Hyperlink"/>
                <w:noProof/>
                <w:sz w:val="24"/>
                <w:szCs w:val="24"/>
                <w:lang w:val="en-US" w:bidi="en-US"/>
              </w:rPr>
              <w:t>4.2.2</w:t>
            </w:r>
            <w:r w:rsidR="007D2C9F" w:rsidRPr="007D2C9F">
              <w:rPr>
                <w:rFonts w:eastAsiaTheme="minorEastAsia"/>
                <w:noProof/>
                <w:sz w:val="24"/>
                <w:szCs w:val="24"/>
                <w:lang w:eastAsia="en-GB"/>
              </w:rPr>
              <w:tab/>
            </w:r>
            <w:r w:rsidR="007D2C9F" w:rsidRPr="007D2C9F">
              <w:rPr>
                <w:rStyle w:val="Hyperlink"/>
                <w:noProof/>
                <w:sz w:val="24"/>
                <w:szCs w:val="24"/>
                <w:lang w:val="en-US" w:bidi="en-US"/>
              </w:rPr>
              <w:t>DNA hybridisation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95</w:t>
            </w:r>
            <w:r w:rsidR="007D2C9F" w:rsidRPr="007D2C9F">
              <w:rPr>
                <w:noProof/>
                <w:webHidden/>
                <w:sz w:val="24"/>
                <w:szCs w:val="24"/>
              </w:rPr>
              <w:fldChar w:fldCharType="end"/>
            </w:r>
          </w:hyperlink>
        </w:p>
        <w:p w14:paraId="3DDD39FC" w14:textId="62FCE7D3"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96" w:history="1">
            <w:r w:rsidR="007D2C9F" w:rsidRPr="007D2C9F">
              <w:rPr>
                <w:rStyle w:val="Hyperlink"/>
                <w:noProof/>
                <w:sz w:val="24"/>
                <w:szCs w:val="24"/>
                <w:lang w:val="en-US" w:bidi="en-US"/>
              </w:rPr>
              <w:t>4.2.3</w:t>
            </w:r>
            <w:r w:rsidR="007D2C9F" w:rsidRPr="007D2C9F">
              <w:rPr>
                <w:rFonts w:eastAsiaTheme="minorEastAsia"/>
                <w:noProof/>
                <w:sz w:val="24"/>
                <w:szCs w:val="24"/>
                <w:lang w:eastAsia="en-GB"/>
              </w:rPr>
              <w:tab/>
            </w:r>
            <w:r w:rsidR="007D2C9F" w:rsidRPr="007D2C9F">
              <w:rPr>
                <w:rStyle w:val="Hyperlink"/>
                <w:noProof/>
                <w:sz w:val="24"/>
                <w:szCs w:val="24"/>
                <w:lang w:val="en-US" w:bidi="en-US"/>
              </w:rPr>
              <w:t>Electro-active surface analysis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99</w:t>
            </w:r>
            <w:r w:rsidR="007D2C9F" w:rsidRPr="007D2C9F">
              <w:rPr>
                <w:noProof/>
                <w:webHidden/>
                <w:sz w:val="24"/>
                <w:szCs w:val="24"/>
              </w:rPr>
              <w:fldChar w:fldCharType="end"/>
            </w:r>
          </w:hyperlink>
        </w:p>
        <w:p w14:paraId="6B065F6C" w14:textId="5D6FDC3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097" w:history="1">
            <w:r w:rsidR="007D2C9F" w:rsidRPr="007D2C9F">
              <w:rPr>
                <w:rStyle w:val="Hyperlink"/>
                <w:noProof/>
                <w:sz w:val="24"/>
                <w:szCs w:val="24"/>
                <w:lang w:val="en-US" w:bidi="en-US"/>
              </w:rPr>
              <w:t>4.2.4</w:t>
            </w:r>
            <w:r w:rsidR="007D2C9F" w:rsidRPr="007D2C9F">
              <w:rPr>
                <w:rFonts w:eastAsiaTheme="minorEastAsia"/>
                <w:noProof/>
                <w:sz w:val="24"/>
                <w:szCs w:val="24"/>
                <w:lang w:eastAsia="en-GB"/>
              </w:rPr>
              <w:tab/>
            </w:r>
            <w:r w:rsidR="007D2C9F" w:rsidRPr="007D2C9F">
              <w:rPr>
                <w:rStyle w:val="Hyperlink"/>
                <w:noProof/>
                <w:sz w:val="24"/>
                <w:szCs w:val="24"/>
                <w:lang w:val="en-US" w:bidi="en-US"/>
              </w:rPr>
              <w:t>Diffusion Coefficients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100</w:t>
            </w:r>
            <w:r w:rsidR="007D2C9F" w:rsidRPr="007D2C9F">
              <w:rPr>
                <w:noProof/>
                <w:webHidden/>
                <w:sz w:val="24"/>
                <w:szCs w:val="24"/>
              </w:rPr>
              <w:fldChar w:fldCharType="end"/>
            </w:r>
          </w:hyperlink>
        </w:p>
        <w:p w14:paraId="6E879B22" w14:textId="303C135E"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098" w:history="1">
            <w:r w:rsidR="007D2C9F" w:rsidRPr="007D2C9F">
              <w:rPr>
                <w:rStyle w:val="Hyperlink"/>
                <w:noProof/>
                <w:sz w:val="24"/>
                <w:szCs w:val="24"/>
              </w:rPr>
              <w:t>4.3</w:t>
            </w:r>
            <w:r w:rsidR="007D2C9F" w:rsidRPr="007D2C9F">
              <w:rPr>
                <w:rFonts w:eastAsiaTheme="minorEastAsia"/>
                <w:noProof/>
                <w:sz w:val="24"/>
                <w:szCs w:val="24"/>
                <w:lang w:eastAsia="en-GB"/>
              </w:rPr>
              <w:tab/>
            </w:r>
            <w:r w:rsidR="007D2C9F" w:rsidRPr="007D2C9F">
              <w:rPr>
                <w:rStyle w:val="Hyperlink"/>
                <w:noProof/>
                <w:sz w:val="24"/>
                <w:szCs w:val="24"/>
              </w:rPr>
              <w:t>Conclusion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105</w:t>
            </w:r>
            <w:r w:rsidR="007D2C9F" w:rsidRPr="007D2C9F">
              <w:rPr>
                <w:noProof/>
                <w:webHidden/>
                <w:sz w:val="24"/>
                <w:szCs w:val="24"/>
              </w:rPr>
              <w:fldChar w:fldCharType="end"/>
            </w:r>
          </w:hyperlink>
        </w:p>
        <w:p w14:paraId="63574C94" w14:textId="56FB585C"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099" w:history="1">
            <w:r w:rsidR="007D2C9F" w:rsidRPr="007D2C9F">
              <w:rPr>
                <w:rStyle w:val="Hyperlink"/>
                <w:noProof/>
                <w:sz w:val="24"/>
                <w:szCs w:val="24"/>
              </w:rPr>
              <w:t>5</w:t>
            </w:r>
            <w:r w:rsidR="007D2C9F" w:rsidRPr="007D2C9F">
              <w:rPr>
                <w:rFonts w:eastAsiaTheme="minorEastAsia"/>
                <w:noProof/>
                <w:sz w:val="24"/>
                <w:szCs w:val="24"/>
                <w:lang w:eastAsia="en-GB"/>
              </w:rPr>
              <w:tab/>
            </w:r>
            <w:r w:rsidR="007D2C9F" w:rsidRPr="007D2C9F">
              <w:rPr>
                <w:rStyle w:val="Hyperlink"/>
                <w:noProof/>
                <w:sz w:val="24"/>
                <w:szCs w:val="24"/>
              </w:rPr>
              <w:t>– DEVELOPING A ctDNA ASSAY USING A COMMON AND ESTABLISHED CANCER MUTATION - KRAS G12D</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_Toc84528099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106</w:t>
            </w:r>
            <w:r w:rsidR="007D2C9F" w:rsidRPr="007D2C9F">
              <w:rPr>
                <w:noProof/>
                <w:webHidden/>
                <w:sz w:val="24"/>
                <w:szCs w:val="24"/>
              </w:rPr>
              <w:fldChar w:fldCharType="end"/>
            </w:r>
          </w:hyperlink>
        </w:p>
        <w:p w14:paraId="2721B2E4" w14:textId="6E768648"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00" w:history="1">
            <w:r w:rsidR="007D2C9F" w:rsidRPr="007D2C9F">
              <w:rPr>
                <w:rStyle w:val="Hyperlink"/>
                <w:noProof/>
                <w:sz w:val="24"/>
                <w:szCs w:val="24"/>
              </w:rPr>
              <w:t>5.1</w:t>
            </w:r>
            <w:r w:rsidR="007D2C9F" w:rsidRPr="007D2C9F">
              <w:rPr>
                <w:rFonts w:eastAsiaTheme="minorEastAsia"/>
                <w:noProof/>
                <w:sz w:val="24"/>
                <w:szCs w:val="24"/>
                <w:lang w:eastAsia="en-GB"/>
              </w:rPr>
              <w:tab/>
            </w:r>
            <w:r w:rsidR="007D2C9F" w:rsidRPr="007D2C9F">
              <w:rPr>
                <w:rStyle w:val="Hyperlink"/>
                <w:noProof/>
                <w:sz w:val="24"/>
                <w:szCs w:val="24"/>
              </w:rPr>
              <w:t>Introduction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106</w:t>
            </w:r>
            <w:r w:rsidR="007D2C9F" w:rsidRPr="007D2C9F">
              <w:rPr>
                <w:noProof/>
                <w:webHidden/>
                <w:sz w:val="24"/>
                <w:szCs w:val="24"/>
              </w:rPr>
              <w:fldChar w:fldCharType="end"/>
            </w:r>
          </w:hyperlink>
        </w:p>
        <w:p w14:paraId="52D8A899" w14:textId="2DBB9592"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01" w:history="1">
            <w:r w:rsidR="007D2C9F" w:rsidRPr="007D2C9F">
              <w:rPr>
                <w:rStyle w:val="Hyperlink"/>
                <w:noProof/>
                <w:sz w:val="24"/>
                <w:szCs w:val="24"/>
              </w:rPr>
              <w:t>5.2</w:t>
            </w:r>
            <w:r w:rsidR="007D2C9F" w:rsidRPr="007D2C9F">
              <w:rPr>
                <w:rFonts w:eastAsiaTheme="minorEastAsia"/>
                <w:noProof/>
                <w:sz w:val="24"/>
                <w:szCs w:val="24"/>
                <w:lang w:eastAsia="en-GB"/>
              </w:rPr>
              <w:tab/>
            </w:r>
            <w:r w:rsidR="007D2C9F" w:rsidRPr="007D2C9F">
              <w:rPr>
                <w:rStyle w:val="Hyperlink"/>
                <w:noProof/>
                <w:sz w:val="24"/>
                <w:szCs w:val="24"/>
              </w:rPr>
              <w:t>Methods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107</w:t>
            </w:r>
            <w:r w:rsidR="007D2C9F" w:rsidRPr="007D2C9F">
              <w:rPr>
                <w:noProof/>
                <w:webHidden/>
                <w:sz w:val="24"/>
                <w:szCs w:val="24"/>
              </w:rPr>
              <w:fldChar w:fldCharType="end"/>
            </w:r>
          </w:hyperlink>
        </w:p>
        <w:p w14:paraId="5CC8D244" w14:textId="2D38895A"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02" w:history="1">
            <w:r w:rsidR="007D2C9F" w:rsidRPr="007D2C9F">
              <w:rPr>
                <w:rStyle w:val="Hyperlink"/>
                <w:noProof/>
                <w:sz w:val="24"/>
                <w:szCs w:val="24"/>
                <w:lang w:bidi="en-US"/>
              </w:rPr>
              <w:t>5.2.1</w:t>
            </w:r>
            <w:r w:rsidR="007D2C9F" w:rsidRPr="007D2C9F">
              <w:rPr>
                <w:rFonts w:eastAsiaTheme="minorEastAsia"/>
                <w:noProof/>
                <w:sz w:val="24"/>
                <w:szCs w:val="24"/>
                <w:lang w:eastAsia="en-GB"/>
              </w:rPr>
              <w:tab/>
            </w:r>
            <w:r w:rsidR="007D2C9F" w:rsidRPr="007D2C9F">
              <w:rPr>
                <w:rStyle w:val="Hyperlink"/>
                <w:noProof/>
                <w:sz w:val="24"/>
                <w:szCs w:val="24"/>
                <w:lang w:bidi="en-US"/>
              </w:rPr>
              <w:t>Genomic DNA sample preparation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107</w:t>
            </w:r>
            <w:r w:rsidR="007D2C9F" w:rsidRPr="007D2C9F">
              <w:rPr>
                <w:noProof/>
                <w:webHidden/>
                <w:sz w:val="24"/>
                <w:szCs w:val="24"/>
              </w:rPr>
              <w:fldChar w:fldCharType="end"/>
            </w:r>
          </w:hyperlink>
        </w:p>
        <w:p w14:paraId="1F376EFF" w14:textId="5258446E"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03" w:history="1">
            <w:r w:rsidR="007D2C9F" w:rsidRPr="007D2C9F">
              <w:rPr>
                <w:rStyle w:val="Hyperlink"/>
                <w:noProof/>
                <w:sz w:val="24"/>
                <w:szCs w:val="24"/>
                <w:lang w:bidi="en-US"/>
              </w:rPr>
              <w:t>5.2.2</w:t>
            </w:r>
            <w:r w:rsidR="007D2C9F" w:rsidRPr="007D2C9F">
              <w:rPr>
                <w:rFonts w:eastAsiaTheme="minorEastAsia"/>
                <w:noProof/>
                <w:sz w:val="24"/>
                <w:szCs w:val="24"/>
                <w:lang w:eastAsia="en-GB"/>
              </w:rPr>
              <w:tab/>
            </w:r>
            <w:r w:rsidR="007D2C9F" w:rsidRPr="007D2C9F">
              <w:rPr>
                <w:rStyle w:val="Hyperlink"/>
                <w:noProof/>
                <w:sz w:val="24"/>
                <w:szCs w:val="24"/>
                <w:lang w:bidi="en-US"/>
              </w:rPr>
              <w:t>KRAS G12D DNA probe design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108</w:t>
            </w:r>
            <w:r w:rsidR="007D2C9F" w:rsidRPr="007D2C9F">
              <w:rPr>
                <w:noProof/>
                <w:webHidden/>
                <w:sz w:val="24"/>
                <w:szCs w:val="24"/>
              </w:rPr>
              <w:fldChar w:fldCharType="end"/>
            </w:r>
          </w:hyperlink>
        </w:p>
        <w:p w14:paraId="2CA9DC84" w14:textId="60BE636E"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04" w:history="1">
            <w:r w:rsidR="007D2C9F" w:rsidRPr="007D2C9F">
              <w:rPr>
                <w:rStyle w:val="Hyperlink"/>
                <w:noProof/>
                <w:sz w:val="24"/>
                <w:szCs w:val="24"/>
                <w:lang w:bidi="en-US"/>
              </w:rPr>
              <w:t>5.2.3</w:t>
            </w:r>
            <w:r w:rsidR="007D2C9F" w:rsidRPr="007D2C9F">
              <w:rPr>
                <w:rFonts w:eastAsiaTheme="minorEastAsia"/>
                <w:noProof/>
                <w:sz w:val="24"/>
                <w:szCs w:val="24"/>
                <w:lang w:eastAsia="en-GB"/>
              </w:rPr>
              <w:tab/>
            </w:r>
            <w:r w:rsidR="007D2C9F" w:rsidRPr="007D2C9F">
              <w:rPr>
                <w:rStyle w:val="Hyperlink"/>
                <w:noProof/>
                <w:sz w:val="24"/>
                <w:szCs w:val="24"/>
                <w:lang w:bidi="en-US"/>
              </w:rPr>
              <w:t>KRAS G12D Amplification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110</w:t>
            </w:r>
            <w:r w:rsidR="007D2C9F" w:rsidRPr="007D2C9F">
              <w:rPr>
                <w:noProof/>
                <w:webHidden/>
                <w:sz w:val="24"/>
                <w:szCs w:val="24"/>
              </w:rPr>
              <w:fldChar w:fldCharType="end"/>
            </w:r>
          </w:hyperlink>
        </w:p>
        <w:p w14:paraId="0B7D906B" w14:textId="34EC7924"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05" w:history="1">
            <w:r w:rsidR="007D2C9F" w:rsidRPr="007D2C9F">
              <w:rPr>
                <w:rStyle w:val="Hyperlink"/>
                <w:noProof/>
                <w:sz w:val="24"/>
                <w:szCs w:val="24"/>
                <w:lang w:bidi="en-US"/>
              </w:rPr>
              <w:t>5.2.4</w:t>
            </w:r>
            <w:r w:rsidR="007D2C9F" w:rsidRPr="007D2C9F">
              <w:rPr>
                <w:rFonts w:eastAsiaTheme="minorEastAsia"/>
                <w:noProof/>
                <w:sz w:val="24"/>
                <w:szCs w:val="24"/>
                <w:lang w:eastAsia="en-GB"/>
              </w:rPr>
              <w:tab/>
            </w:r>
            <w:r w:rsidR="007D2C9F" w:rsidRPr="007D2C9F">
              <w:rPr>
                <w:rStyle w:val="Hyperlink"/>
                <w:noProof/>
                <w:sz w:val="24"/>
                <w:szCs w:val="24"/>
                <w:lang w:bidi="en-US"/>
              </w:rPr>
              <w:t>Electrochemical Measurements and Surface Functionalisation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111</w:t>
            </w:r>
            <w:r w:rsidR="007D2C9F" w:rsidRPr="007D2C9F">
              <w:rPr>
                <w:noProof/>
                <w:webHidden/>
                <w:sz w:val="24"/>
                <w:szCs w:val="24"/>
              </w:rPr>
              <w:fldChar w:fldCharType="end"/>
            </w:r>
          </w:hyperlink>
        </w:p>
        <w:p w14:paraId="6B1A11E4" w14:textId="0DC0012C"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06" w:history="1">
            <w:r w:rsidR="007D2C9F" w:rsidRPr="007D2C9F">
              <w:rPr>
                <w:rStyle w:val="Hyperlink"/>
                <w:noProof/>
                <w:sz w:val="24"/>
                <w:szCs w:val="24"/>
                <w:lang w:bidi="en-US"/>
              </w:rPr>
              <w:t>5.2.5</w:t>
            </w:r>
            <w:r w:rsidR="007D2C9F" w:rsidRPr="007D2C9F">
              <w:rPr>
                <w:rFonts w:eastAsiaTheme="minorEastAsia"/>
                <w:noProof/>
                <w:sz w:val="24"/>
                <w:szCs w:val="24"/>
                <w:lang w:eastAsia="en-GB"/>
              </w:rPr>
              <w:tab/>
            </w:r>
            <w:r w:rsidR="007D2C9F" w:rsidRPr="007D2C9F">
              <w:rPr>
                <w:rStyle w:val="Hyperlink"/>
                <w:noProof/>
                <w:sz w:val="24"/>
                <w:szCs w:val="24"/>
                <w:lang w:bidi="en-US"/>
              </w:rPr>
              <w:t>Work-flow</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111</w:t>
            </w:r>
            <w:r w:rsidR="007D2C9F" w:rsidRPr="007D2C9F">
              <w:rPr>
                <w:noProof/>
                <w:webHidden/>
                <w:sz w:val="24"/>
                <w:szCs w:val="24"/>
              </w:rPr>
              <w:fldChar w:fldCharType="end"/>
            </w:r>
          </w:hyperlink>
        </w:p>
        <w:p w14:paraId="622D3A6F" w14:textId="1C5B6A8A"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07" w:history="1">
            <w:r w:rsidR="007D2C9F" w:rsidRPr="007D2C9F">
              <w:rPr>
                <w:rStyle w:val="Hyperlink"/>
                <w:noProof/>
                <w:sz w:val="24"/>
                <w:szCs w:val="24"/>
              </w:rPr>
              <w:t>5.3</w:t>
            </w:r>
            <w:r w:rsidR="007D2C9F" w:rsidRPr="007D2C9F">
              <w:rPr>
                <w:rFonts w:eastAsiaTheme="minorEastAsia"/>
                <w:noProof/>
                <w:sz w:val="24"/>
                <w:szCs w:val="24"/>
                <w:lang w:eastAsia="en-GB"/>
              </w:rPr>
              <w:tab/>
            </w:r>
            <w:r w:rsidR="007D2C9F" w:rsidRPr="007D2C9F">
              <w:rPr>
                <w:rStyle w:val="Hyperlink"/>
                <w:noProof/>
                <w:sz w:val="24"/>
                <w:szCs w:val="24"/>
              </w:rPr>
              <w:t>Results and discussion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113</w:t>
            </w:r>
            <w:r w:rsidR="007D2C9F" w:rsidRPr="007D2C9F">
              <w:rPr>
                <w:noProof/>
                <w:webHidden/>
                <w:sz w:val="24"/>
                <w:szCs w:val="24"/>
              </w:rPr>
              <w:fldChar w:fldCharType="end"/>
            </w:r>
          </w:hyperlink>
        </w:p>
        <w:p w14:paraId="7C278FA9" w14:textId="421464F2"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08" w:history="1">
            <w:r w:rsidR="007D2C9F" w:rsidRPr="007D2C9F">
              <w:rPr>
                <w:rStyle w:val="Hyperlink"/>
                <w:noProof/>
                <w:sz w:val="24"/>
                <w:szCs w:val="24"/>
                <w:lang w:bidi="en-US"/>
              </w:rPr>
              <w:t>5.3.1</w:t>
            </w:r>
            <w:r w:rsidR="007D2C9F" w:rsidRPr="007D2C9F">
              <w:rPr>
                <w:rFonts w:eastAsiaTheme="minorEastAsia"/>
                <w:noProof/>
                <w:sz w:val="24"/>
                <w:szCs w:val="24"/>
                <w:lang w:eastAsia="en-GB"/>
              </w:rPr>
              <w:tab/>
            </w:r>
            <w:r w:rsidR="007D2C9F" w:rsidRPr="007D2C9F">
              <w:rPr>
                <w:rStyle w:val="Hyperlink"/>
                <w:noProof/>
                <w:sz w:val="24"/>
                <w:szCs w:val="24"/>
                <w:lang w:bidi="en-US"/>
              </w:rPr>
              <w:t>Scanning electron microscopy (SEM) characterisation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113</w:t>
            </w:r>
            <w:r w:rsidR="007D2C9F" w:rsidRPr="007D2C9F">
              <w:rPr>
                <w:noProof/>
                <w:webHidden/>
                <w:sz w:val="24"/>
                <w:szCs w:val="24"/>
              </w:rPr>
              <w:fldChar w:fldCharType="end"/>
            </w:r>
          </w:hyperlink>
        </w:p>
        <w:p w14:paraId="14BF3059" w14:textId="5414348A"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09" w:history="1">
            <w:r w:rsidR="007D2C9F" w:rsidRPr="007D2C9F">
              <w:rPr>
                <w:rStyle w:val="Hyperlink"/>
                <w:noProof/>
                <w:sz w:val="24"/>
                <w:szCs w:val="24"/>
                <w:lang w:bidi="en-US"/>
              </w:rPr>
              <w:t>5.3.1</w:t>
            </w:r>
            <w:r w:rsidR="007D2C9F" w:rsidRPr="007D2C9F">
              <w:rPr>
                <w:rFonts w:eastAsiaTheme="minorEastAsia"/>
                <w:noProof/>
                <w:sz w:val="24"/>
                <w:szCs w:val="24"/>
                <w:lang w:eastAsia="en-GB"/>
              </w:rPr>
              <w:tab/>
            </w:r>
            <w:r w:rsidR="007D2C9F" w:rsidRPr="007D2C9F">
              <w:rPr>
                <w:rStyle w:val="Hyperlink"/>
                <w:noProof/>
                <w:sz w:val="24"/>
                <w:szCs w:val="24"/>
                <w:lang w:bidi="en-US"/>
              </w:rPr>
              <w:t>Characterisation of the pre-treated electrode surface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_Toc84528109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113</w:t>
            </w:r>
            <w:r w:rsidR="007D2C9F" w:rsidRPr="007D2C9F">
              <w:rPr>
                <w:noProof/>
                <w:webHidden/>
                <w:sz w:val="24"/>
                <w:szCs w:val="24"/>
              </w:rPr>
              <w:fldChar w:fldCharType="end"/>
            </w:r>
          </w:hyperlink>
        </w:p>
        <w:p w14:paraId="05AE73D1" w14:textId="2D9C1F3F"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0" w:history="1">
            <w:r w:rsidR="007D2C9F" w:rsidRPr="007D2C9F">
              <w:rPr>
                <w:rStyle w:val="Hyperlink"/>
                <w:noProof/>
                <w:sz w:val="24"/>
                <w:szCs w:val="24"/>
                <w:lang w:bidi="en-US"/>
              </w:rPr>
              <w:t>5.3.2</w:t>
            </w:r>
            <w:r w:rsidR="007D2C9F" w:rsidRPr="007D2C9F">
              <w:rPr>
                <w:rFonts w:eastAsiaTheme="minorEastAsia"/>
                <w:noProof/>
                <w:sz w:val="24"/>
                <w:szCs w:val="24"/>
                <w:lang w:eastAsia="en-GB"/>
              </w:rPr>
              <w:tab/>
            </w:r>
            <w:r w:rsidR="007D2C9F" w:rsidRPr="007D2C9F">
              <w:rPr>
                <w:rStyle w:val="Hyperlink"/>
                <w:noProof/>
                <w:sz w:val="24"/>
                <w:szCs w:val="24"/>
                <w:lang w:bidi="en-US"/>
              </w:rPr>
              <w:t>SPCE surface characterisation in electrolyte solution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115</w:t>
            </w:r>
            <w:r w:rsidR="007D2C9F" w:rsidRPr="007D2C9F">
              <w:rPr>
                <w:noProof/>
                <w:webHidden/>
                <w:sz w:val="24"/>
                <w:szCs w:val="24"/>
              </w:rPr>
              <w:fldChar w:fldCharType="end"/>
            </w:r>
          </w:hyperlink>
        </w:p>
        <w:p w14:paraId="109DD638" w14:textId="73CEF496"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1" w:history="1">
            <w:r w:rsidR="007D2C9F" w:rsidRPr="007D2C9F">
              <w:rPr>
                <w:rStyle w:val="Hyperlink"/>
                <w:noProof/>
                <w:sz w:val="24"/>
                <w:szCs w:val="24"/>
                <w:lang w:bidi="en-US"/>
              </w:rPr>
              <w:t>5.3.3</w:t>
            </w:r>
            <w:r w:rsidR="007D2C9F" w:rsidRPr="007D2C9F">
              <w:rPr>
                <w:rFonts w:eastAsiaTheme="minorEastAsia"/>
                <w:noProof/>
                <w:sz w:val="24"/>
                <w:szCs w:val="24"/>
                <w:lang w:eastAsia="en-GB"/>
              </w:rPr>
              <w:tab/>
            </w:r>
            <w:r w:rsidR="007D2C9F" w:rsidRPr="007D2C9F">
              <w:rPr>
                <w:rStyle w:val="Hyperlink"/>
                <w:noProof/>
                <w:sz w:val="24"/>
                <w:szCs w:val="24"/>
                <w:lang w:bidi="en-US"/>
              </w:rPr>
              <w:t>Characterisation of SPCE through the process of bio-functionalisation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115</w:t>
            </w:r>
            <w:r w:rsidR="007D2C9F" w:rsidRPr="007D2C9F">
              <w:rPr>
                <w:noProof/>
                <w:webHidden/>
                <w:sz w:val="24"/>
                <w:szCs w:val="24"/>
              </w:rPr>
              <w:fldChar w:fldCharType="end"/>
            </w:r>
          </w:hyperlink>
        </w:p>
        <w:p w14:paraId="122FEC27" w14:textId="7C614015"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2" w:history="1">
            <w:r w:rsidR="007D2C9F" w:rsidRPr="007D2C9F">
              <w:rPr>
                <w:rStyle w:val="Hyperlink"/>
                <w:noProof/>
                <w:sz w:val="24"/>
                <w:szCs w:val="24"/>
                <w:lang w:bidi="en-US"/>
              </w:rPr>
              <w:t>5.3.4</w:t>
            </w:r>
            <w:r w:rsidR="007D2C9F" w:rsidRPr="007D2C9F">
              <w:rPr>
                <w:rFonts w:eastAsiaTheme="minorEastAsia"/>
                <w:noProof/>
                <w:sz w:val="24"/>
                <w:szCs w:val="24"/>
                <w:lang w:eastAsia="en-GB"/>
              </w:rPr>
              <w:tab/>
            </w:r>
            <w:r w:rsidR="007D2C9F" w:rsidRPr="007D2C9F">
              <w:rPr>
                <w:rStyle w:val="Hyperlink"/>
                <w:noProof/>
                <w:sz w:val="24"/>
                <w:szCs w:val="24"/>
                <w:lang w:bidi="en-US"/>
              </w:rPr>
              <w:t>Assay development and DNA Amplification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118</w:t>
            </w:r>
            <w:r w:rsidR="007D2C9F" w:rsidRPr="007D2C9F">
              <w:rPr>
                <w:noProof/>
                <w:webHidden/>
                <w:sz w:val="24"/>
                <w:szCs w:val="24"/>
              </w:rPr>
              <w:fldChar w:fldCharType="end"/>
            </w:r>
          </w:hyperlink>
        </w:p>
        <w:p w14:paraId="5383446C" w14:textId="0B0C4394"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3" w:history="1">
            <w:r w:rsidR="007D2C9F" w:rsidRPr="007D2C9F">
              <w:rPr>
                <w:rStyle w:val="Hyperlink"/>
                <w:noProof/>
                <w:sz w:val="24"/>
                <w:szCs w:val="24"/>
                <w:lang w:bidi="en-US"/>
              </w:rPr>
              <w:t>5.3.5</w:t>
            </w:r>
            <w:r w:rsidR="007D2C9F" w:rsidRPr="007D2C9F">
              <w:rPr>
                <w:rFonts w:eastAsiaTheme="minorEastAsia"/>
                <w:noProof/>
                <w:sz w:val="24"/>
                <w:szCs w:val="24"/>
                <w:lang w:eastAsia="en-GB"/>
              </w:rPr>
              <w:tab/>
            </w:r>
            <w:r w:rsidR="007D2C9F" w:rsidRPr="007D2C9F">
              <w:rPr>
                <w:rStyle w:val="Hyperlink"/>
                <w:noProof/>
                <w:sz w:val="24"/>
                <w:szCs w:val="24"/>
                <w:lang w:bidi="en-US"/>
              </w:rPr>
              <w:t>Assay stability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120</w:t>
            </w:r>
            <w:r w:rsidR="007D2C9F" w:rsidRPr="007D2C9F">
              <w:rPr>
                <w:noProof/>
                <w:webHidden/>
                <w:sz w:val="24"/>
                <w:szCs w:val="24"/>
              </w:rPr>
              <w:fldChar w:fldCharType="end"/>
            </w:r>
          </w:hyperlink>
        </w:p>
        <w:p w14:paraId="6DE4BC2C" w14:textId="5CE6012F"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4" w:history="1">
            <w:r w:rsidR="007D2C9F" w:rsidRPr="007D2C9F">
              <w:rPr>
                <w:rStyle w:val="Hyperlink"/>
                <w:noProof/>
                <w:sz w:val="24"/>
                <w:szCs w:val="24"/>
                <w:lang w:bidi="en-US"/>
              </w:rPr>
              <w:t>5.3.6</w:t>
            </w:r>
            <w:r w:rsidR="007D2C9F" w:rsidRPr="007D2C9F">
              <w:rPr>
                <w:rFonts w:eastAsiaTheme="minorEastAsia"/>
                <w:noProof/>
                <w:sz w:val="24"/>
                <w:szCs w:val="24"/>
                <w:lang w:eastAsia="en-GB"/>
              </w:rPr>
              <w:tab/>
            </w:r>
            <w:r w:rsidR="007D2C9F" w:rsidRPr="007D2C9F">
              <w:rPr>
                <w:rStyle w:val="Hyperlink"/>
                <w:noProof/>
                <w:sz w:val="24"/>
                <w:szCs w:val="24"/>
                <w:lang w:bidi="en-US"/>
              </w:rPr>
              <w:t>KRAS pG12D DNA hybridisation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121</w:t>
            </w:r>
            <w:r w:rsidR="007D2C9F" w:rsidRPr="007D2C9F">
              <w:rPr>
                <w:noProof/>
                <w:webHidden/>
                <w:sz w:val="24"/>
                <w:szCs w:val="24"/>
              </w:rPr>
              <w:fldChar w:fldCharType="end"/>
            </w:r>
          </w:hyperlink>
        </w:p>
        <w:p w14:paraId="7B13D51F" w14:textId="64BAB27D"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5" w:history="1">
            <w:r w:rsidR="007D2C9F" w:rsidRPr="007D2C9F">
              <w:rPr>
                <w:rStyle w:val="Hyperlink"/>
                <w:noProof/>
                <w:sz w:val="24"/>
                <w:szCs w:val="24"/>
                <w:lang w:bidi="en-US"/>
              </w:rPr>
              <w:t>5.3.7</w:t>
            </w:r>
            <w:r w:rsidR="007D2C9F" w:rsidRPr="007D2C9F">
              <w:rPr>
                <w:rFonts w:eastAsiaTheme="minorEastAsia"/>
                <w:noProof/>
                <w:sz w:val="24"/>
                <w:szCs w:val="24"/>
                <w:lang w:eastAsia="en-GB"/>
              </w:rPr>
              <w:tab/>
            </w:r>
            <w:r w:rsidR="007D2C9F" w:rsidRPr="007D2C9F">
              <w:rPr>
                <w:rStyle w:val="Hyperlink"/>
                <w:noProof/>
                <w:sz w:val="24"/>
                <w:szCs w:val="24"/>
                <w:lang w:bidi="en-US"/>
              </w:rPr>
              <w:t>KRAS pG12D Assay specificity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123</w:t>
            </w:r>
            <w:r w:rsidR="007D2C9F" w:rsidRPr="007D2C9F">
              <w:rPr>
                <w:noProof/>
                <w:webHidden/>
                <w:sz w:val="24"/>
                <w:szCs w:val="24"/>
              </w:rPr>
              <w:fldChar w:fldCharType="end"/>
            </w:r>
          </w:hyperlink>
        </w:p>
        <w:p w14:paraId="42E41141" w14:textId="5FDB49DA"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6" w:history="1">
            <w:r w:rsidR="007D2C9F" w:rsidRPr="007D2C9F">
              <w:rPr>
                <w:rStyle w:val="Hyperlink"/>
                <w:noProof/>
                <w:sz w:val="24"/>
                <w:szCs w:val="24"/>
                <w:lang w:bidi="en-US"/>
              </w:rPr>
              <w:t>5.3.8</w:t>
            </w:r>
            <w:r w:rsidR="007D2C9F" w:rsidRPr="007D2C9F">
              <w:rPr>
                <w:rFonts w:eastAsiaTheme="minorEastAsia"/>
                <w:noProof/>
                <w:sz w:val="24"/>
                <w:szCs w:val="24"/>
                <w:lang w:eastAsia="en-GB"/>
              </w:rPr>
              <w:tab/>
            </w:r>
            <w:r w:rsidR="007D2C9F" w:rsidRPr="007D2C9F">
              <w:rPr>
                <w:rStyle w:val="Hyperlink"/>
                <w:noProof/>
                <w:sz w:val="24"/>
                <w:szCs w:val="24"/>
                <w:lang w:bidi="en-US"/>
              </w:rPr>
              <w:t>Assay optimisation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124</w:t>
            </w:r>
            <w:r w:rsidR="007D2C9F" w:rsidRPr="007D2C9F">
              <w:rPr>
                <w:noProof/>
                <w:webHidden/>
                <w:sz w:val="24"/>
                <w:szCs w:val="24"/>
              </w:rPr>
              <w:fldChar w:fldCharType="end"/>
            </w:r>
          </w:hyperlink>
        </w:p>
        <w:p w14:paraId="4276C25B" w14:textId="5CF37B1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7" w:history="1">
            <w:r w:rsidR="007D2C9F" w:rsidRPr="007D2C9F">
              <w:rPr>
                <w:rStyle w:val="Hyperlink"/>
                <w:noProof/>
                <w:sz w:val="24"/>
                <w:szCs w:val="24"/>
                <w:lang w:bidi="en-US"/>
              </w:rPr>
              <w:t>5.3.9</w:t>
            </w:r>
            <w:r w:rsidR="007D2C9F" w:rsidRPr="007D2C9F">
              <w:rPr>
                <w:rFonts w:eastAsiaTheme="minorEastAsia"/>
                <w:noProof/>
                <w:sz w:val="24"/>
                <w:szCs w:val="24"/>
                <w:lang w:eastAsia="en-GB"/>
              </w:rPr>
              <w:tab/>
            </w:r>
            <w:r w:rsidR="007D2C9F" w:rsidRPr="007D2C9F">
              <w:rPr>
                <w:rStyle w:val="Hyperlink"/>
                <w:noProof/>
                <w:sz w:val="24"/>
                <w:szCs w:val="24"/>
                <w:lang w:bidi="en-US"/>
              </w:rPr>
              <w:t>KRAS G12D concentration response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127</w:t>
            </w:r>
            <w:r w:rsidR="007D2C9F" w:rsidRPr="007D2C9F">
              <w:rPr>
                <w:noProof/>
                <w:webHidden/>
                <w:sz w:val="24"/>
                <w:szCs w:val="24"/>
              </w:rPr>
              <w:fldChar w:fldCharType="end"/>
            </w:r>
          </w:hyperlink>
        </w:p>
        <w:p w14:paraId="610AEB6F" w14:textId="63F3B1C1"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8" w:history="1">
            <w:r w:rsidR="007D2C9F" w:rsidRPr="007D2C9F">
              <w:rPr>
                <w:rStyle w:val="Hyperlink"/>
                <w:noProof/>
                <w:sz w:val="24"/>
                <w:szCs w:val="24"/>
                <w:lang w:bidi="en-US"/>
              </w:rPr>
              <w:t>5.3.10</w:t>
            </w:r>
            <w:r w:rsidR="007D2C9F" w:rsidRPr="007D2C9F">
              <w:rPr>
                <w:rFonts w:eastAsiaTheme="minorEastAsia"/>
                <w:noProof/>
                <w:sz w:val="24"/>
                <w:szCs w:val="24"/>
                <w:lang w:eastAsia="en-GB"/>
              </w:rPr>
              <w:tab/>
            </w:r>
            <w:r w:rsidR="007D2C9F" w:rsidRPr="007D2C9F">
              <w:rPr>
                <w:rStyle w:val="Hyperlink"/>
                <w:noProof/>
                <w:sz w:val="24"/>
                <w:szCs w:val="24"/>
                <w:lang w:bidi="en-US"/>
              </w:rPr>
              <w:t>DNA Target Controls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129</w:t>
            </w:r>
            <w:r w:rsidR="007D2C9F" w:rsidRPr="007D2C9F">
              <w:rPr>
                <w:noProof/>
                <w:webHidden/>
                <w:sz w:val="24"/>
                <w:szCs w:val="24"/>
              </w:rPr>
              <w:fldChar w:fldCharType="end"/>
            </w:r>
          </w:hyperlink>
        </w:p>
        <w:p w14:paraId="7AF6DB03" w14:textId="252AEC6D"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19" w:history="1">
            <w:r w:rsidR="007D2C9F" w:rsidRPr="007D2C9F">
              <w:rPr>
                <w:rStyle w:val="Hyperlink"/>
                <w:noProof/>
                <w:sz w:val="24"/>
                <w:szCs w:val="24"/>
                <w:lang w:val="en-US" w:bidi="en-US"/>
              </w:rPr>
              <w:t>5.3.11</w:t>
            </w:r>
            <w:r w:rsidR="007D2C9F" w:rsidRPr="007D2C9F">
              <w:rPr>
                <w:rFonts w:eastAsiaTheme="minorEastAsia"/>
                <w:noProof/>
                <w:sz w:val="24"/>
                <w:szCs w:val="24"/>
                <w:lang w:eastAsia="en-GB"/>
              </w:rPr>
              <w:tab/>
            </w:r>
            <w:r w:rsidR="007D2C9F" w:rsidRPr="007D2C9F">
              <w:rPr>
                <w:rStyle w:val="Hyperlink"/>
                <w:noProof/>
                <w:sz w:val="24"/>
                <w:szCs w:val="24"/>
                <w:lang w:val="en-US" w:bidi="en-US"/>
              </w:rPr>
              <w:t>Conclusion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_Toc84528119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131</w:t>
            </w:r>
            <w:r w:rsidR="007D2C9F" w:rsidRPr="007D2C9F">
              <w:rPr>
                <w:noProof/>
                <w:webHidden/>
                <w:sz w:val="24"/>
                <w:szCs w:val="24"/>
              </w:rPr>
              <w:fldChar w:fldCharType="end"/>
            </w:r>
          </w:hyperlink>
        </w:p>
        <w:p w14:paraId="6B3CEC30" w14:textId="3C2DFE88"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120" w:history="1">
            <w:r w:rsidR="007D2C9F" w:rsidRPr="007D2C9F">
              <w:rPr>
                <w:rStyle w:val="Hyperlink"/>
                <w:noProof/>
                <w:sz w:val="24"/>
                <w:szCs w:val="24"/>
              </w:rPr>
              <w:t>6</w:t>
            </w:r>
            <w:r w:rsidR="007D2C9F" w:rsidRPr="007D2C9F">
              <w:rPr>
                <w:rFonts w:eastAsiaTheme="minorEastAsia"/>
                <w:noProof/>
                <w:sz w:val="24"/>
                <w:szCs w:val="24"/>
                <w:lang w:eastAsia="en-GB"/>
              </w:rPr>
              <w:tab/>
            </w:r>
            <w:r w:rsidR="007D2C9F" w:rsidRPr="007D2C9F">
              <w:rPr>
                <w:rStyle w:val="Hyperlink"/>
                <w:noProof/>
                <w:sz w:val="24"/>
                <w:szCs w:val="24"/>
              </w:rPr>
              <w:t>-  DEVELOPING A ctDNA ASSAY USING A COMMON AND ESTABLISHED CANCER MUTATION - KRAS G13D</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133</w:t>
            </w:r>
            <w:r w:rsidR="007D2C9F" w:rsidRPr="007D2C9F">
              <w:rPr>
                <w:noProof/>
                <w:webHidden/>
                <w:sz w:val="24"/>
                <w:szCs w:val="24"/>
              </w:rPr>
              <w:fldChar w:fldCharType="end"/>
            </w:r>
          </w:hyperlink>
        </w:p>
        <w:p w14:paraId="1B3DCF12" w14:textId="1D368C6C"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21" w:history="1">
            <w:r w:rsidR="007D2C9F" w:rsidRPr="007D2C9F">
              <w:rPr>
                <w:rStyle w:val="Hyperlink"/>
                <w:noProof/>
                <w:sz w:val="24"/>
                <w:szCs w:val="24"/>
              </w:rPr>
              <w:t>6.1</w:t>
            </w:r>
            <w:r w:rsidR="007D2C9F" w:rsidRPr="007D2C9F">
              <w:rPr>
                <w:rFonts w:eastAsiaTheme="minorEastAsia"/>
                <w:noProof/>
                <w:sz w:val="24"/>
                <w:szCs w:val="24"/>
                <w:lang w:eastAsia="en-GB"/>
              </w:rPr>
              <w:tab/>
            </w:r>
            <w:r w:rsidR="007D2C9F" w:rsidRPr="007D2C9F">
              <w:rPr>
                <w:rStyle w:val="Hyperlink"/>
                <w:noProof/>
                <w:sz w:val="24"/>
                <w:szCs w:val="24"/>
              </w:rPr>
              <w:t>Introduction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133</w:t>
            </w:r>
            <w:r w:rsidR="007D2C9F" w:rsidRPr="007D2C9F">
              <w:rPr>
                <w:noProof/>
                <w:webHidden/>
                <w:sz w:val="24"/>
                <w:szCs w:val="24"/>
              </w:rPr>
              <w:fldChar w:fldCharType="end"/>
            </w:r>
          </w:hyperlink>
        </w:p>
        <w:p w14:paraId="2D3DB317" w14:textId="67E657D7"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22" w:history="1">
            <w:r w:rsidR="007D2C9F" w:rsidRPr="007D2C9F">
              <w:rPr>
                <w:rStyle w:val="Hyperlink"/>
                <w:noProof/>
                <w:sz w:val="24"/>
                <w:szCs w:val="24"/>
              </w:rPr>
              <w:t>6.2</w:t>
            </w:r>
            <w:r w:rsidR="007D2C9F" w:rsidRPr="007D2C9F">
              <w:rPr>
                <w:rFonts w:eastAsiaTheme="minorEastAsia"/>
                <w:noProof/>
                <w:sz w:val="24"/>
                <w:szCs w:val="24"/>
                <w:lang w:eastAsia="en-GB"/>
              </w:rPr>
              <w:tab/>
            </w:r>
            <w:r w:rsidR="007D2C9F" w:rsidRPr="007D2C9F">
              <w:rPr>
                <w:rStyle w:val="Hyperlink"/>
                <w:noProof/>
                <w:sz w:val="24"/>
                <w:szCs w:val="24"/>
              </w:rPr>
              <w:t>Methods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134</w:t>
            </w:r>
            <w:r w:rsidR="007D2C9F" w:rsidRPr="007D2C9F">
              <w:rPr>
                <w:noProof/>
                <w:webHidden/>
                <w:sz w:val="24"/>
                <w:szCs w:val="24"/>
              </w:rPr>
              <w:fldChar w:fldCharType="end"/>
            </w:r>
          </w:hyperlink>
        </w:p>
        <w:p w14:paraId="330C531F" w14:textId="36708E7C"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23" w:history="1">
            <w:r w:rsidR="007D2C9F" w:rsidRPr="007D2C9F">
              <w:rPr>
                <w:rStyle w:val="Hyperlink"/>
                <w:noProof/>
                <w:sz w:val="24"/>
                <w:szCs w:val="24"/>
                <w:lang w:bidi="en-US"/>
              </w:rPr>
              <w:t>6.2.1</w:t>
            </w:r>
            <w:r w:rsidR="007D2C9F" w:rsidRPr="007D2C9F">
              <w:rPr>
                <w:rFonts w:eastAsiaTheme="minorEastAsia"/>
                <w:noProof/>
                <w:sz w:val="24"/>
                <w:szCs w:val="24"/>
                <w:lang w:eastAsia="en-GB"/>
              </w:rPr>
              <w:tab/>
            </w:r>
            <w:r w:rsidR="007D2C9F" w:rsidRPr="007D2C9F">
              <w:rPr>
                <w:rStyle w:val="Hyperlink"/>
                <w:noProof/>
                <w:sz w:val="24"/>
                <w:szCs w:val="24"/>
                <w:lang w:bidi="en-US"/>
              </w:rPr>
              <w:t>Genomic DNA sample preparation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134</w:t>
            </w:r>
            <w:r w:rsidR="007D2C9F" w:rsidRPr="007D2C9F">
              <w:rPr>
                <w:noProof/>
                <w:webHidden/>
                <w:sz w:val="24"/>
                <w:szCs w:val="24"/>
              </w:rPr>
              <w:fldChar w:fldCharType="end"/>
            </w:r>
          </w:hyperlink>
        </w:p>
        <w:p w14:paraId="7ADD96F6" w14:textId="65BF3131"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24" w:history="1">
            <w:r w:rsidR="007D2C9F" w:rsidRPr="007D2C9F">
              <w:rPr>
                <w:rStyle w:val="Hyperlink"/>
                <w:noProof/>
                <w:sz w:val="24"/>
                <w:szCs w:val="24"/>
                <w:lang w:bidi="en-US"/>
              </w:rPr>
              <w:t>6.2.2</w:t>
            </w:r>
            <w:r w:rsidR="007D2C9F" w:rsidRPr="007D2C9F">
              <w:rPr>
                <w:rFonts w:eastAsiaTheme="minorEastAsia"/>
                <w:noProof/>
                <w:sz w:val="24"/>
                <w:szCs w:val="24"/>
                <w:lang w:eastAsia="en-GB"/>
              </w:rPr>
              <w:tab/>
            </w:r>
            <w:r w:rsidR="007D2C9F" w:rsidRPr="007D2C9F">
              <w:rPr>
                <w:rStyle w:val="Hyperlink"/>
                <w:noProof/>
                <w:sz w:val="24"/>
                <w:szCs w:val="24"/>
                <w:lang w:bidi="en-US"/>
              </w:rPr>
              <w:t>KRAS G13D DNA probe and primer design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134</w:t>
            </w:r>
            <w:r w:rsidR="007D2C9F" w:rsidRPr="007D2C9F">
              <w:rPr>
                <w:noProof/>
                <w:webHidden/>
                <w:sz w:val="24"/>
                <w:szCs w:val="24"/>
              </w:rPr>
              <w:fldChar w:fldCharType="end"/>
            </w:r>
          </w:hyperlink>
        </w:p>
        <w:p w14:paraId="21F55F3E" w14:textId="0C840ECD"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25" w:history="1">
            <w:r w:rsidR="007D2C9F" w:rsidRPr="007D2C9F">
              <w:rPr>
                <w:rStyle w:val="Hyperlink"/>
                <w:noProof/>
                <w:sz w:val="24"/>
                <w:szCs w:val="24"/>
                <w:lang w:bidi="en-US"/>
              </w:rPr>
              <w:t>6.2.3</w:t>
            </w:r>
            <w:r w:rsidR="007D2C9F" w:rsidRPr="007D2C9F">
              <w:rPr>
                <w:rFonts w:eastAsiaTheme="minorEastAsia"/>
                <w:noProof/>
                <w:sz w:val="24"/>
                <w:szCs w:val="24"/>
                <w:lang w:eastAsia="en-GB"/>
              </w:rPr>
              <w:tab/>
            </w:r>
            <w:r w:rsidR="007D2C9F" w:rsidRPr="007D2C9F">
              <w:rPr>
                <w:rStyle w:val="Hyperlink"/>
                <w:noProof/>
                <w:sz w:val="24"/>
                <w:szCs w:val="24"/>
                <w:lang w:bidi="en-US"/>
              </w:rPr>
              <w:t>KRAS G13D amplification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136</w:t>
            </w:r>
            <w:r w:rsidR="007D2C9F" w:rsidRPr="007D2C9F">
              <w:rPr>
                <w:noProof/>
                <w:webHidden/>
                <w:sz w:val="24"/>
                <w:szCs w:val="24"/>
              </w:rPr>
              <w:fldChar w:fldCharType="end"/>
            </w:r>
          </w:hyperlink>
        </w:p>
        <w:p w14:paraId="5D539B5F" w14:textId="31EF012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26" w:history="1">
            <w:r w:rsidR="007D2C9F" w:rsidRPr="007D2C9F">
              <w:rPr>
                <w:rStyle w:val="Hyperlink"/>
                <w:noProof/>
                <w:sz w:val="24"/>
                <w:szCs w:val="24"/>
                <w:lang w:bidi="en-US"/>
              </w:rPr>
              <w:t>6.2.4</w:t>
            </w:r>
            <w:r w:rsidR="007D2C9F" w:rsidRPr="007D2C9F">
              <w:rPr>
                <w:rFonts w:eastAsiaTheme="minorEastAsia"/>
                <w:noProof/>
                <w:sz w:val="24"/>
                <w:szCs w:val="24"/>
                <w:lang w:eastAsia="en-GB"/>
              </w:rPr>
              <w:tab/>
            </w:r>
            <w:r w:rsidR="007D2C9F" w:rsidRPr="007D2C9F">
              <w:rPr>
                <w:rStyle w:val="Hyperlink"/>
                <w:noProof/>
                <w:sz w:val="24"/>
                <w:szCs w:val="24"/>
                <w:lang w:bidi="en-US"/>
              </w:rPr>
              <w:t>Electrochemical Measurements and Surface Functionalisation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137</w:t>
            </w:r>
            <w:r w:rsidR="007D2C9F" w:rsidRPr="007D2C9F">
              <w:rPr>
                <w:noProof/>
                <w:webHidden/>
                <w:sz w:val="24"/>
                <w:szCs w:val="24"/>
              </w:rPr>
              <w:fldChar w:fldCharType="end"/>
            </w:r>
          </w:hyperlink>
        </w:p>
        <w:p w14:paraId="6B7C8126" w14:textId="1FF042A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27" w:history="1">
            <w:r w:rsidR="007D2C9F" w:rsidRPr="007D2C9F">
              <w:rPr>
                <w:rStyle w:val="Hyperlink"/>
                <w:noProof/>
                <w:sz w:val="24"/>
                <w:szCs w:val="24"/>
                <w:lang w:bidi="en-US"/>
              </w:rPr>
              <w:t>6.2.5</w:t>
            </w:r>
            <w:r w:rsidR="007D2C9F" w:rsidRPr="007D2C9F">
              <w:rPr>
                <w:rFonts w:eastAsiaTheme="minorEastAsia"/>
                <w:noProof/>
                <w:sz w:val="24"/>
                <w:szCs w:val="24"/>
                <w:lang w:eastAsia="en-GB"/>
              </w:rPr>
              <w:tab/>
            </w:r>
            <w:r w:rsidR="007D2C9F" w:rsidRPr="007D2C9F">
              <w:rPr>
                <w:rStyle w:val="Hyperlink"/>
                <w:noProof/>
                <w:sz w:val="24"/>
                <w:szCs w:val="24"/>
                <w:lang w:bidi="en-US"/>
              </w:rPr>
              <w:t>Work-flow</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137</w:t>
            </w:r>
            <w:r w:rsidR="007D2C9F" w:rsidRPr="007D2C9F">
              <w:rPr>
                <w:noProof/>
                <w:webHidden/>
                <w:sz w:val="24"/>
                <w:szCs w:val="24"/>
              </w:rPr>
              <w:fldChar w:fldCharType="end"/>
            </w:r>
          </w:hyperlink>
        </w:p>
        <w:p w14:paraId="22736F64" w14:textId="4DC4CDC1"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28" w:history="1">
            <w:r w:rsidR="007D2C9F" w:rsidRPr="007D2C9F">
              <w:rPr>
                <w:rStyle w:val="Hyperlink"/>
                <w:noProof/>
                <w:sz w:val="24"/>
                <w:szCs w:val="24"/>
                <w:lang w:bidi="en-US"/>
              </w:rPr>
              <w:t>6.3</w:t>
            </w:r>
            <w:r w:rsidR="007D2C9F" w:rsidRPr="007D2C9F">
              <w:rPr>
                <w:rFonts w:eastAsiaTheme="minorEastAsia"/>
                <w:noProof/>
                <w:sz w:val="24"/>
                <w:szCs w:val="24"/>
                <w:lang w:eastAsia="en-GB"/>
              </w:rPr>
              <w:tab/>
            </w:r>
            <w:r w:rsidR="007D2C9F" w:rsidRPr="007D2C9F">
              <w:rPr>
                <w:rStyle w:val="Hyperlink"/>
                <w:noProof/>
                <w:sz w:val="24"/>
                <w:szCs w:val="24"/>
                <w:lang w:bidi="en-US"/>
              </w:rPr>
              <w:t>Results and Discussion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139</w:t>
            </w:r>
            <w:r w:rsidR="007D2C9F" w:rsidRPr="007D2C9F">
              <w:rPr>
                <w:noProof/>
                <w:webHidden/>
                <w:sz w:val="24"/>
                <w:szCs w:val="24"/>
              </w:rPr>
              <w:fldChar w:fldCharType="end"/>
            </w:r>
          </w:hyperlink>
        </w:p>
        <w:p w14:paraId="4185080D" w14:textId="7B711D3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29" w:history="1">
            <w:r w:rsidR="007D2C9F" w:rsidRPr="007D2C9F">
              <w:rPr>
                <w:rStyle w:val="Hyperlink"/>
                <w:noProof/>
                <w:sz w:val="24"/>
                <w:szCs w:val="24"/>
                <w:lang w:bidi="en-US"/>
              </w:rPr>
              <w:t>6.3.1</w:t>
            </w:r>
            <w:r w:rsidR="007D2C9F" w:rsidRPr="007D2C9F">
              <w:rPr>
                <w:rFonts w:eastAsiaTheme="minorEastAsia"/>
                <w:noProof/>
                <w:sz w:val="24"/>
                <w:szCs w:val="24"/>
                <w:lang w:eastAsia="en-GB"/>
              </w:rPr>
              <w:tab/>
            </w:r>
            <w:r w:rsidR="007D2C9F" w:rsidRPr="007D2C9F">
              <w:rPr>
                <w:rStyle w:val="Hyperlink"/>
                <w:noProof/>
                <w:sz w:val="24"/>
                <w:szCs w:val="24"/>
                <w:lang w:bidi="en-US"/>
              </w:rPr>
              <w:t>Assay development</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_Toc84528129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139</w:t>
            </w:r>
            <w:r w:rsidR="007D2C9F" w:rsidRPr="007D2C9F">
              <w:rPr>
                <w:noProof/>
                <w:webHidden/>
                <w:sz w:val="24"/>
                <w:szCs w:val="24"/>
              </w:rPr>
              <w:fldChar w:fldCharType="end"/>
            </w:r>
          </w:hyperlink>
        </w:p>
        <w:p w14:paraId="2792A175" w14:textId="008A07E2"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0" w:history="1">
            <w:r w:rsidR="007D2C9F" w:rsidRPr="007D2C9F">
              <w:rPr>
                <w:rStyle w:val="Hyperlink"/>
                <w:noProof/>
                <w:sz w:val="24"/>
                <w:szCs w:val="24"/>
                <w:lang w:bidi="en-US"/>
              </w:rPr>
              <w:t>6.3.2</w:t>
            </w:r>
            <w:r w:rsidR="007D2C9F" w:rsidRPr="007D2C9F">
              <w:rPr>
                <w:rFonts w:eastAsiaTheme="minorEastAsia"/>
                <w:noProof/>
                <w:sz w:val="24"/>
                <w:szCs w:val="24"/>
                <w:lang w:eastAsia="en-GB"/>
              </w:rPr>
              <w:tab/>
            </w:r>
            <w:r w:rsidR="007D2C9F" w:rsidRPr="007D2C9F">
              <w:rPr>
                <w:rStyle w:val="Hyperlink"/>
                <w:noProof/>
                <w:sz w:val="24"/>
                <w:szCs w:val="24"/>
                <w:lang w:bidi="en-US"/>
              </w:rPr>
              <w:t>Sensor reproducibility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140</w:t>
            </w:r>
            <w:r w:rsidR="007D2C9F" w:rsidRPr="007D2C9F">
              <w:rPr>
                <w:noProof/>
                <w:webHidden/>
                <w:sz w:val="24"/>
                <w:szCs w:val="24"/>
              </w:rPr>
              <w:fldChar w:fldCharType="end"/>
            </w:r>
          </w:hyperlink>
        </w:p>
        <w:p w14:paraId="3F48CAF6" w14:textId="70A850BD"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1" w:history="1">
            <w:r w:rsidR="007D2C9F" w:rsidRPr="007D2C9F">
              <w:rPr>
                <w:rStyle w:val="Hyperlink"/>
                <w:noProof/>
                <w:sz w:val="24"/>
                <w:szCs w:val="24"/>
                <w:lang w:bidi="en-US"/>
              </w:rPr>
              <w:t>6.3.3</w:t>
            </w:r>
            <w:r w:rsidR="007D2C9F" w:rsidRPr="007D2C9F">
              <w:rPr>
                <w:rFonts w:eastAsiaTheme="minorEastAsia"/>
                <w:noProof/>
                <w:sz w:val="24"/>
                <w:szCs w:val="24"/>
                <w:lang w:eastAsia="en-GB"/>
              </w:rPr>
              <w:tab/>
            </w:r>
            <w:r w:rsidR="007D2C9F" w:rsidRPr="007D2C9F">
              <w:rPr>
                <w:rStyle w:val="Hyperlink"/>
                <w:noProof/>
                <w:sz w:val="24"/>
                <w:szCs w:val="24"/>
                <w:lang w:bidi="en-US"/>
              </w:rPr>
              <w:t>Sensor optimisation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142</w:t>
            </w:r>
            <w:r w:rsidR="007D2C9F" w:rsidRPr="007D2C9F">
              <w:rPr>
                <w:noProof/>
                <w:webHidden/>
                <w:sz w:val="24"/>
                <w:szCs w:val="24"/>
              </w:rPr>
              <w:fldChar w:fldCharType="end"/>
            </w:r>
          </w:hyperlink>
        </w:p>
        <w:p w14:paraId="669F27D1" w14:textId="00CD5E7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2" w:history="1">
            <w:r w:rsidR="007D2C9F" w:rsidRPr="007D2C9F">
              <w:rPr>
                <w:rStyle w:val="Hyperlink"/>
                <w:noProof/>
                <w:sz w:val="24"/>
                <w:szCs w:val="24"/>
                <w:lang w:val="en-US" w:bidi="en-US"/>
              </w:rPr>
              <w:t>6.3.4</w:t>
            </w:r>
            <w:r w:rsidR="007D2C9F" w:rsidRPr="007D2C9F">
              <w:rPr>
                <w:rFonts w:eastAsiaTheme="minorEastAsia"/>
                <w:noProof/>
                <w:sz w:val="24"/>
                <w:szCs w:val="24"/>
                <w:lang w:eastAsia="en-GB"/>
              </w:rPr>
              <w:tab/>
            </w:r>
            <w:r w:rsidR="007D2C9F" w:rsidRPr="007D2C9F">
              <w:rPr>
                <w:rStyle w:val="Hyperlink"/>
                <w:noProof/>
                <w:sz w:val="24"/>
                <w:szCs w:val="24"/>
                <w:lang w:val="en-US" w:bidi="en-US"/>
              </w:rPr>
              <w:t>DNA amplification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144</w:t>
            </w:r>
            <w:r w:rsidR="007D2C9F" w:rsidRPr="007D2C9F">
              <w:rPr>
                <w:noProof/>
                <w:webHidden/>
                <w:sz w:val="24"/>
                <w:szCs w:val="24"/>
              </w:rPr>
              <w:fldChar w:fldCharType="end"/>
            </w:r>
          </w:hyperlink>
        </w:p>
        <w:p w14:paraId="02C75EB6" w14:textId="65A5BBC5"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3" w:history="1">
            <w:r w:rsidR="007D2C9F" w:rsidRPr="007D2C9F">
              <w:rPr>
                <w:rStyle w:val="Hyperlink"/>
                <w:noProof/>
                <w:sz w:val="24"/>
                <w:szCs w:val="24"/>
                <w:lang w:bidi="en-US"/>
              </w:rPr>
              <w:t>6.3.5</w:t>
            </w:r>
            <w:r w:rsidR="007D2C9F" w:rsidRPr="007D2C9F">
              <w:rPr>
                <w:rFonts w:eastAsiaTheme="minorEastAsia"/>
                <w:noProof/>
                <w:sz w:val="24"/>
                <w:szCs w:val="24"/>
                <w:lang w:eastAsia="en-GB"/>
              </w:rPr>
              <w:tab/>
            </w:r>
            <w:r w:rsidR="007D2C9F" w:rsidRPr="007D2C9F">
              <w:rPr>
                <w:rStyle w:val="Hyperlink"/>
                <w:noProof/>
                <w:sz w:val="24"/>
                <w:szCs w:val="24"/>
                <w:lang w:bidi="en-US"/>
              </w:rPr>
              <w:t>KRAS pG13D DNA hybridisation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145</w:t>
            </w:r>
            <w:r w:rsidR="007D2C9F" w:rsidRPr="007D2C9F">
              <w:rPr>
                <w:noProof/>
                <w:webHidden/>
                <w:sz w:val="24"/>
                <w:szCs w:val="24"/>
              </w:rPr>
              <w:fldChar w:fldCharType="end"/>
            </w:r>
          </w:hyperlink>
        </w:p>
        <w:p w14:paraId="3589212B" w14:textId="75591FF7"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4" w:history="1">
            <w:r w:rsidR="007D2C9F" w:rsidRPr="007D2C9F">
              <w:rPr>
                <w:rStyle w:val="Hyperlink"/>
                <w:noProof/>
                <w:sz w:val="24"/>
                <w:szCs w:val="24"/>
                <w:lang w:bidi="en-US"/>
              </w:rPr>
              <w:t>6.3.6</w:t>
            </w:r>
            <w:r w:rsidR="007D2C9F" w:rsidRPr="007D2C9F">
              <w:rPr>
                <w:rFonts w:eastAsiaTheme="minorEastAsia"/>
                <w:noProof/>
                <w:sz w:val="24"/>
                <w:szCs w:val="24"/>
                <w:lang w:eastAsia="en-GB"/>
              </w:rPr>
              <w:tab/>
            </w:r>
            <w:r w:rsidR="007D2C9F" w:rsidRPr="007D2C9F">
              <w:rPr>
                <w:rStyle w:val="Hyperlink"/>
                <w:noProof/>
                <w:sz w:val="24"/>
                <w:szCs w:val="24"/>
                <w:lang w:bidi="en-US"/>
              </w:rPr>
              <w:t>Isothermal amplification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147</w:t>
            </w:r>
            <w:r w:rsidR="007D2C9F" w:rsidRPr="007D2C9F">
              <w:rPr>
                <w:noProof/>
                <w:webHidden/>
                <w:sz w:val="24"/>
                <w:szCs w:val="24"/>
              </w:rPr>
              <w:fldChar w:fldCharType="end"/>
            </w:r>
          </w:hyperlink>
        </w:p>
        <w:p w14:paraId="68CA392D" w14:textId="75C471EF"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5" w:history="1">
            <w:r w:rsidR="007D2C9F" w:rsidRPr="007D2C9F">
              <w:rPr>
                <w:rStyle w:val="Hyperlink"/>
                <w:noProof/>
                <w:sz w:val="24"/>
                <w:szCs w:val="24"/>
                <w:lang w:bidi="en-US"/>
              </w:rPr>
              <w:t>6.3.7</w:t>
            </w:r>
            <w:r w:rsidR="007D2C9F" w:rsidRPr="007D2C9F">
              <w:rPr>
                <w:rFonts w:eastAsiaTheme="minorEastAsia"/>
                <w:noProof/>
                <w:sz w:val="24"/>
                <w:szCs w:val="24"/>
                <w:lang w:eastAsia="en-GB"/>
              </w:rPr>
              <w:tab/>
            </w:r>
            <w:r w:rsidR="007D2C9F" w:rsidRPr="007D2C9F">
              <w:rPr>
                <w:rStyle w:val="Hyperlink"/>
                <w:noProof/>
                <w:sz w:val="24"/>
                <w:szCs w:val="24"/>
                <w:lang w:bidi="en-US"/>
              </w:rPr>
              <w:t>KRAS pG13D assay specificity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149</w:t>
            </w:r>
            <w:r w:rsidR="007D2C9F" w:rsidRPr="007D2C9F">
              <w:rPr>
                <w:noProof/>
                <w:webHidden/>
                <w:sz w:val="24"/>
                <w:szCs w:val="24"/>
              </w:rPr>
              <w:fldChar w:fldCharType="end"/>
            </w:r>
          </w:hyperlink>
        </w:p>
        <w:p w14:paraId="310059ED" w14:textId="07D2CBC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6" w:history="1">
            <w:r w:rsidR="007D2C9F" w:rsidRPr="007D2C9F">
              <w:rPr>
                <w:rStyle w:val="Hyperlink"/>
                <w:noProof/>
                <w:sz w:val="24"/>
                <w:szCs w:val="24"/>
                <w:lang w:bidi="en-US"/>
              </w:rPr>
              <w:t>6.3.8</w:t>
            </w:r>
            <w:r w:rsidR="007D2C9F" w:rsidRPr="007D2C9F">
              <w:rPr>
                <w:rFonts w:eastAsiaTheme="minorEastAsia"/>
                <w:noProof/>
                <w:sz w:val="24"/>
                <w:szCs w:val="24"/>
                <w:lang w:eastAsia="en-GB"/>
              </w:rPr>
              <w:tab/>
            </w:r>
            <w:r w:rsidR="007D2C9F" w:rsidRPr="007D2C9F">
              <w:rPr>
                <w:rStyle w:val="Hyperlink"/>
                <w:noProof/>
                <w:sz w:val="24"/>
                <w:szCs w:val="24"/>
                <w:lang w:bidi="en-US"/>
              </w:rPr>
              <w:t>ctDNA response at different concentrations using DPV peak currents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151</w:t>
            </w:r>
            <w:r w:rsidR="007D2C9F" w:rsidRPr="007D2C9F">
              <w:rPr>
                <w:noProof/>
                <w:webHidden/>
                <w:sz w:val="24"/>
                <w:szCs w:val="24"/>
              </w:rPr>
              <w:fldChar w:fldCharType="end"/>
            </w:r>
          </w:hyperlink>
        </w:p>
        <w:p w14:paraId="7586A61F" w14:textId="1C0747DF"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37" w:history="1">
            <w:r w:rsidR="007D2C9F" w:rsidRPr="007D2C9F">
              <w:rPr>
                <w:rStyle w:val="Hyperlink"/>
                <w:noProof/>
                <w:sz w:val="24"/>
                <w:szCs w:val="24"/>
                <w:lang w:bidi="en-US"/>
              </w:rPr>
              <w:t>6.3.9</w:t>
            </w:r>
            <w:r w:rsidR="007D2C9F" w:rsidRPr="007D2C9F">
              <w:rPr>
                <w:rFonts w:eastAsiaTheme="minorEastAsia"/>
                <w:noProof/>
                <w:sz w:val="24"/>
                <w:szCs w:val="24"/>
                <w:lang w:eastAsia="en-GB"/>
              </w:rPr>
              <w:tab/>
            </w:r>
            <w:r w:rsidR="007D2C9F" w:rsidRPr="007D2C9F">
              <w:rPr>
                <w:rStyle w:val="Hyperlink"/>
                <w:noProof/>
                <w:sz w:val="24"/>
                <w:szCs w:val="24"/>
                <w:lang w:bidi="en-US"/>
              </w:rPr>
              <w:t>Sensor modification using carbon nanotubes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153</w:t>
            </w:r>
            <w:r w:rsidR="007D2C9F" w:rsidRPr="007D2C9F">
              <w:rPr>
                <w:noProof/>
                <w:webHidden/>
                <w:sz w:val="24"/>
                <w:szCs w:val="24"/>
              </w:rPr>
              <w:fldChar w:fldCharType="end"/>
            </w:r>
          </w:hyperlink>
        </w:p>
        <w:p w14:paraId="499FE8F9" w14:textId="2D455448"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38" w:history="1">
            <w:r w:rsidR="007D2C9F" w:rsidRPr="007D2C9F">
              <w:rPr>
                <w:rStyle w:val="Hyperlink"/>
                <w:noProof/>
                <w:sz w:val="24"/>
                <w:szCs w:val="24"/>
                <w:lang w:bidi="en-US"/>
              </w:rPr>
              <w:t>6.4</w:t>
            </w:r>
            <w:r w:rsidR="007D2C9F" w:rsidRPr="007D2C9F">
              <w:rPr>
                <w:rFonts w:eastAsiaTheme="minorEastAsia"/>
                <w:noProof/>
                <w:sz w:val="24"/>
                <w:szCs w:val="24"/>
                <w:lang w:eastAsia="en-GB"/>
              </w:rPr>
              <w:tab/>
            </w:r>
            <w:r w:rsidR="007D2C9F" w:rsidRPr="007D2C9F">
              <w:rPr>
                <w:rStyle w:val="Hyperlink"/>
                <w:noProof/>
                <w:sz w:val="24"/>
                <w:szCs w:val="24"/>
                <w:lang w:bidi="en-US"/>
              </w:rPr>
              <w:t>Conclusion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158</w:t>
            </w:r>
            <w:r w:rsidR="007D2C9F" w:rsidRPr="007D2C9F">
              <w:rPr>
                <w:noProof/>
                <w:webHidden/>
                <w:sz w:val="24"/>
                <w:szCs w:val="24"/>
              </w:rPr>
              <w:fldChar w:fldCharType="end"/>
            </w:r>
          </w:hyperlink>
        </w:p>
        <w:p w14:paraId="16B98016" w14:textId="5A5D1F98"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139" w:history="1">
            <w:r w:rsidR="007D2C9F" w:rsidRPr="007D2C9F">
              <w:rPr>
                <w:rStyle w:val="Hyperlink"/>
                <w:noProof/>
                <w:sz w:val="24"/>
                <w:szCs w:val="24"/>
              </w:rPr>
              <w:t>7</w:t>
            </w:r>
            <w:r w:rsidR="007D2C9F" w:rsidRPr="007D2C9F">
              <w:rPr>
                <w:rFonts w:eastAsiaTheme="minorEastAsia"/>
                <w:noProof/>
                <w:sz w:val="24"/>
                <w:szCs w:val="24"/>
                <w:lang w:eastAsia="en-GB"/>
              </w:rPr>
              <w:tab/>
            </w:r>
            <w:r w:rsidR="007D2C9F" w:rsidRPr="007D2C9F">
              <w:rPr>
                <w:rStyle w:val="Hyperlink"/>
                <w:noProof/>
                <w:sz w:val="24"/>
                <w:szCs w:val="24"/>
              </w:rPr>
              <w:t>- OPTIMISING THE ASSAY FOR USE WITH CLINICAL SAMPLES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_Toc84528139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160</w:t>
            </w:r>
            <w:r w:rsidR="007D2C9F" w:rsidRPr="007D2C9F">
              <w:rPr>
                <w:noProof/>
                <w:webHidden/>
                <w:sz w:val="24"/>
                <w:szCs w:val="24"/>
              </w:rPr>
              <w:fldChar w:fldCharType="end"/>
            </w:r>
          </w:hyperlink>
        </w:p>
        <w:p w14:paraId="6573877C" w14:textId="16037852"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40" w:history="1">
            <w:r w:rsidR="007D2C9F" w:rsidRPr="007D2C9F">
              <w:rPr>
                <w:rStyle w:val="Hyperlink"/>
                <w:noProof/>
                <w:sz w:val="24"/>
                <w:szCs w:val="24"/>
              </w:rPr>
              <w:t>7.1</w:t>
            </w:r>
            <w:r w:rsidR="007D2C9F" w:rsidRPr="007D2C9F">
              <w:rPr>
                <w:rFonts w:eastAsiaTheme="minorEastAsia"/>
                <w:noProof/>
                <w:sz w:val="24"/>
                <w:szCs w:val="24"/>
                <w:lang w:eastAsia="en-GB"/>
              </w:rPr>
              <w:tab/>
            </w:r>
            <w:r w:rsidR="007D2C9F" w:rsidRPr="007D2C9F">
              <w:rPr>
                <w:rStyle w:val="Hyperlink"/>
                <w:noProof/>
                <w:sz w:val="24"/>
                <w:szCs w:val="24"/>
              </w:rPr>
              <w:t>Methods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160</w:t>
            </w:r>
            <w:r w:rsidR="007D2C9F" w:rsidRPr="007D2C9F">
              <w:rPr>
                <w:noProof/>
                <w:webHidden/>
                <w:sz w:val="24"/>
                <w:szCs w:val="24"/>
              </w:rPr>
              <w:fldChar w:fldCharType="end"/>
            </w:r>
          </w:hyperlink>
        </w:p>
        <w:p w14:paraId="1C21826E" w14:textId="0B126BF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1" w:history="1">
            <w:r w:rsidR="007D2C9F" w:rsidRPr="007D2C9F">
              <w:rPr>
                <w:rStyle w:val="Hyperlink"/>
                <w:noProof/>
                <w:sz w:val="24"/>
                <w:szCs w:val="24"/>
                <w:lang w:bidi="en-US"/>
              </w:rPr>
              <w:t>7.1.1</w:t>
            </w:r>
            <w:r w:rsidR="007D2C9F" w:rsidRPr="007D2C9F">
              <w:rPr>
                <w:rFonts w:eastAsiaTheme="minorEastAsia"/>
                <w:noProof/>
                <w:sz w:val="24"/>
                <w:szCs w:val="24"/>
                <w:lang w:eastAsia="en-GB"/>
              </w:rPr>
              <w:tab/>
            </w:r>
            <w:r w:rsidR="007D2C9F" w:rsidRPr="007D2C9F">
              <w:rPr>
                <w:rStyle w:val="Hyperlink"/>
                <w:noProof/>
                <w:sz w:val="24"/>
                <w:szCs w:val="24"/>
                <w:lang w:bidi="en-US"/>
              </w:rPr>
              <w:t>Analysing patient plasma samples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160</w:t>
            </w:r>
            <w:r w:rsidR="007D2C9F" w:rsidRPr="007D2C9F">
              <w:rPr>
                <w:noProof/>
                <w:webHidden/>
                <w:sz w:val="24"/>
                <w:szCs w:val="24"/>
              </w:rPr>
              <w:fldChar w:fldCharType="end"/>
            </w:r>
          </w:hyperlink>
        </w:p>
        <w:p w14:paraId="4C957C65" w14:textId="05A4FAA2"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2" w:history="1">
            <w:r w:rsidR="007D2C9F" w:rsidRPr="007D2C9F">
              <w:rPr>
                <w:rStyle w:val="Hyperlink"/>
                <w:noProof/>
                <w:sz w:val="24"/>
                <w:szCs w:val="24"/>
                <w:lang w:bidi="en-US"/>
              </w:rPr>
              <w:t>7.1.2</w:t>
            </w:r>
            <w:r w:rsidR="007D2C9F" w:rsidRPr="007D2C9F">
              <w:rPr>
                <w:rFonts w:eastAsiaTheme="minorEastAsia"/>
                <w:noProof/>
                <w:sz w:val="24"/>
                <w:szCs w:val="24"/>
                <w:lang w:eastAsia="en-GB"/>
              </w:rPr>
              <w:tab/>
            </w:r>
            <w:r w:rsidR="007D2C9F" w:rsidRPr="007D2C9F">
              <w:rPr>
                <w:rStyle w:val="Hyperlink"/>
                <w:noProof/>
                <w:sz w:val="24"/>
                <w:szCs w:val="24"/>
                <w:lang w:bidi="en-US"/>
              </w:rPr>
              <w:t>Analysing patient cfDNA samples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161</w:t>
            </w:r>
            <w:r w:rsidR="007D2C9F" w:rsidRPr="007D2C9F">
              <w:rPr>
                <w:noProof/>
                <w:webHidden/>
                <w:sz w:val="24"/>
                <w:szCs w:val="24"/>
              </w:rPr>
              <w:fldChar w:fldCharType="end"/>
            </w:r>
          </w:hyperlink>
        </w:p>
        <w:p w14:paraId="1DD1FEA4" w14:textId="35D86306"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3" w:history="1">
            <w:r w:rsidR="007D2C9F" w:rsidRPr="007D2C9F">
              <w:rPr>
                <w:rStyle w:val="Hyperlink"/>
                <w:noProof/>
                <w:sz w:val="24"/>
                <w:szCs w:val="24"/>
                <w:lang w:bidi="en-US"/>
              </w:rPr>
              <w:t>7.1.3</w:t>
            </w:r>
            <w:r w:rsidR="007D2C9F" w:rsidRPr="007D2C9F">
              <w:rPr>
                <w:rFonts w:eastAsiaTheme="minorEastAsia"/>
                <w:noProof/>
                <w:sz w:val="24"/>
                <w:szCs w:val="24"/>
                <w:lang w:eastAsia="en-GB"/>
              </w:rPr>
              <w:tab/>
            </w:r>
            <w:r w:rsidR="007D2C9F" w:rsidRPr="007D2C9F">
              <w:rPr>
                <w:rStyle w:val="Hyperlink"/>
                <w:noProof/>
                <w:sz w:val="24"/>
                <w:szCs w:val="24"/>
                <w:lang w:bidi="en-US"/>
              </w:rPr>
              <w:t>Patient samples sub-study using cfDNA</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162</w:t>
            </w:r>
            <w:r w:rsidR="007D2C9F" w:rsidRPr="007D2C9F">
              <w:rPr>
                <w:noProof/>
                <w:webHidden/>
                <w:sz w:val="24"/>
                <w:szCs w:val="24"/>
              </w:rPr>
              <w:fldChar w:fldCharType="end"/>
            </w:r>
          </w:hyperlink>
        </w:p>
        <w:p w14:paraId="1C22AC27" w14:textId="5EA8AB1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4" w:history="1">
            <w:r w:rsidR="007D2C9F" w:rsidRPr="007D2C9F">
              <w:rPr>
                <w:rStyle w:val="Hyperlink"/>
                <w:noProof/>
                <w:sz w:val="24"/>
                <w:szCs w:val="24"/>
                <w:lang w:bidi="en-US"/>
              </w:rPr>
              <w:t>7.1.4</w:t>
            </w:r>
            <w:r w:rsidR="007D2C9F" w:rsidRPr="007D2C9F">
              <w:rPr>
                <w:rFonts w:eastAsiaTheme="minorEastAsia"/>
                <w:noProof/>
                <w:sz w:val="24"/>
                <w:szCs w:val="24"/>
                <w:lang w:eastAsia="en-GB"/>
              </w:rPr>
              <w:tab/>
            </w:r>
            <w:r w:rsidR="007D2C9F" w:rsidRPr="007D2C9F">
              <w:rPr>
                <w:rStyle w:val="Hyperlink"/>
                <w:noProof/>
                <w:sz w:val="24"/>
                <w:szCs w:val="24"/>
                <w:lang w:bidi="en-US"/>
              </w:rPr>
              <w:t>Statistical analysis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163</w:t>
            </w:r>
            <w:r w:rsidR="007D2C9F" w:rsidRPr="007D2C9F">
              <w:rPr>
                <w:noProof/>
                <w:webHidden/>
                <w:sz w:val="24"/>
                <w:szCs w:val="24"/>
              </w:rPr>
              <w:fldChar w:fldCharType="end"/>
            </w:r>
          </w:hyperlink>
        </w:p>
        <w:p w14:paraId="79330E16" w14:textId="255A28EE"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45" w:history="1">
            <w:r w:rsidR="007D2C9F" w:rsidRPr="007D2C9F">
              <w:rPr>
                <w:rStyle w:val="Hyperlink"/>
                <w:noProof/>
                <w:sz w:val="24"/>
                <w:szCs w:val="24"/>
              </w:rPr>
              <w:t>7.2</w:t>
            </w:r>
            <w:r w:rsidR="007D2C9F" w:rsidRPr="007D2C9F">
              <w:rPr>
                <w:rFonts w:eastAsiaTheme="minorEastAsia"/>
                <w:noProof/>
                <w:sz w:val="24"/>
                <w:szCs w:val="24"/>
                <w:lang w:eastAsia="en-GB"/>
              </w:rPr>
              <w:tab/>
            </w:r>
            <w:r w:rsidR="007D2C9F" w:rsidRPr="007D2C9F">
              <w:rPr>
                <w:rStyle w:val="Hyperlink"/>
                <w:noProof/>
                <w:sz w:val="24"/>
                <w:szCs w:val="24"/>
              </w:rPr>
              <w:t>Results and discussion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164</w:t>
            </w:r>
            <w:r w:rsidR="007D2C9F" w:rsidRPr="007D2C9F">
              <w:rPr>
                <w:noProof/>
                <w:webHidden/>
                <w:sz w:val="24"/>
                <w:szCs w:val="24"/>
              </w:rPr>
              <w:fldChar w:fldCharType="end"/>
            </w:r>
          </w:hyperlink>
        </w:p>
        <w:p w14:paraId="36B04B7E" w14:textId="6876F09A"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6" w:history="1">
            <w:r w:rsidR="007D2C9F" w:rsidRPr="007D2C9F">
              <w:rPr>
                <w:rStyle w:val="Hyperlink"/>
                <w:noProof/>
                <w:sz w:val="24"/>
                <w:szCs w:val="24"/>
                <w:lang w:bidi="en-US"/>
              </w:rPr>
              <w:t>7.2.1</w:t>
            </w:r>
            <w:r w:rsidR="007D2C9F" w:rsidRPr="007D2C9F">
              <w:rPr>
                <w:rFonts w:eastAsiaTheme="minorEastAsia"/>
                <w:noProof/>
                <w:sz w:val="24"/>
                <w:szCs w:val="24"/>
                <w:lang w:eastAsia="en-GB"/>
              </w:rPr>
              <w:tab/>
            </w:r>
            <w:r w:rsidR="007D2C9F" w:rsidRPr="007D2C9F">
              <w:rPr>
                <w:rStyle w:val="Hyperlink"/>
                <w:noProof/>
                <w:sz w:val="24"/>
                <w:szCs w:val="24"/>
                <w:lang w:bidi="en-US"/>
              </w:rPr>
              <w:t>Amplification of wild-type KRAS DNA fragment from plasma</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164</w:t>
            </w:r>
            <w:r w:rsidR="007D2C9F" w:rsidRPr="007D2C9F">
              <w:rPr>
                <w:noProof/>
                <w:webHidden/>
                <w:sz w:val="24"/>
                <w:szCs w:val="24"/>
              </w:rPr>
              <w:fldChar w:fldCharType="end"/>
            </w:r>
          </w:hyperlink>
        </w:p>
        <w:p w14:paraId="244CF106" w14:textId="351D29F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7" w:history="1">
            <w:r w:rsidR="007D2C9F" w:rsidRPr="007D2C9F">
              <w:rPr>
                <w:rStyle w:val="Hyperlink"/>
                <w:noProof/>
                <w:sz w:val="24"/>
                <w:szCs w:val="24"/>
                <w:lang w:bidi="en-US"/>
              </w:rPr>
              <w:t>7.2.2</w:t>
            </w:r>
            <w:r w:rsidR="007D2C9F" w:rsidRPr="007D2C9F">
              <w:rPr>
                <w:rFonts w:eastAsiaTheme="minorEastAsia"/>
                <w:noProof/>
                <w:sz w:val="24"/>
                <w:szCs w:val="24"/>
                <w:lang w:eastAsia="en-GB"/>
              </w:rPr>
              <w:tab/>
            </w:r>
            <w:r w:rsidR="007D2C9F" w:rsidRPr="007D2C9F">
              <w:rPr>
                <w:rStyle w:val="Hyperlink"/>
                <w:noProof/>
                <w:sz w:val="24"/>
                <w:szCs w:val="24"/>
                <w:lang w:bidi="en-US"/>
              </w:rPr>
              <w:t>Non-complementary wild-type DNA hybridisation using CNT-modified SPCE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164</w:t>
            </w:r>
            <w:r w:rsidR="007D2C9F" w:rsidRPr="007D2C9F">
              <w:rPr>
                <w:noProof/>
                <w:webHidden/>
                <w:sz w:val="24"/>
                <w:szCs w:val="24"/>
              </w:rPr>
              <w:fldChar w:fldCharType="end"/>
            </w:r>
          </w:hyperlink>
        </w:p>
        <w:p w14:paraId="36C73B43" w14:textId="3CFA7359"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8" w:history="1">
            <w:r w:rsidR="007D2C9F" w:rsidRPr="007D2C9F">
              <w:rPr>
                <w:rStyle w:val="Hyperlink"/>
                <w:noProof/>
                <w:sz w:val="24"/>
                <w:szCs w:val="24"/>
                <w:lang w:bidi="en-US"/>
              </w:rPr>
              <w:t>7.2.3</w:t>
            </w:r>
            <w:r w:rsidR="007D2C9F" w:rsidRPr="007D2C9F">
              <w:rPr>
                <w:rFonts w:eastAsiaTheme="minorEastAsia"/>
                <w:noProof/>
                <w:sz w:val="24"/>
                <w:szCs w:val="24"/>
                <w:lang w:eastAsia="en-GB"/>
              </w:rPr>
              <w:tab/>
            </w:r>
            <w:r w:rsidR="007D2C9F" w:rsidRPr="007D2C9F">
              <w:rPr>
                <w:rStyle w:val="Hyperlink"/>
                <w:noProof/>
                <w:sz w:val="24"/>
                <w:szCs w:val="24"/>
                <w:lang w:bidi="en-US"/>
              </w:rPr>
              <w:t>Complementary wild-type DNA hybridisation using CNT-modified SPCE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166</w:t>
            </w:r>
            <w:r w:rsidR="007D2C9F" w:rsidRPr="007D2C9F">
              <w:rPr>
                <w:noProof/>
                <w:webHidden/>
                <w:sz w:val="24"/>
                <w:szCs w:val="24"/>
              </w:rPr>
              <w:fldChar w:fldCharType="end"/>
            </w:r>
          </w:hyperlink>
        </w:p>
        <w:p w14:paraId="14394924" w14:textId="69E0949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49" w:history="1">
            <w:r w:rsidR="007D2C9F" w:rsidRPr="007D2C9F">
              <w:rPr>
                <w:rStyle w:val="Hyperlink"/>
                <w:noProof/>
                <w:sz w:val="24"/>
                <w:szCs w:val="24"/>
                <w:lang w:bidi="en-US"/>
              </w:rPr>
              <w:t>7.2.4</w:t>
            </w:r>
            <w:r w:rsidR="007D2C9F" w:rsidRPr="007D2C9F">
              <w:rPr>
                <w:rFonts w:eastAsiaTheme="minorEastAsia"/>
                <w:noProof/>
                <w:sz w:val="24"/>
                <w:szCs w:val="24"/>
                <w:lang w:eastAsia="en-GB"/>
              </w:rPr>
              <w:tab/>
            </w:r>
            <w:r w:rsidR="007D2C9F" w:rsidRPr="007D2C9F">
              <w:rPr>
                <w:rStyle w:val="Hyperlink"/>
                <w:noProof/>
                <w:sz w:val="24"/>
                <w:szCs w:val="24"/>
                <w:lang w:bidi="en-US"/>
              </w:rPr>
              <w:t>Amplification of mutant KRAS DNA fragment from plasma</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_Toc84528149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166</w:t>
            </w:r>
            <w:r w:rsidR="007D2C9F" w:rsidRPr="007D2C9F">
              <w:rPr>
                <w:noProof/>
                <w:webHidden/>
                <w:sz w:val="24"/>
                <w:szCs w:val="24"/>
              </w:rPr>
              <w:fldChar w:fldCharType="end"/>
            </w:r>
          </w:hyperlink>
        </w:p>
        <w:p w14:paraId="74B7AEB6" w14:textId="6EABC663"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0" w:history="1">
            <w:r w:rsidR="007D2C9F" w:rsidRPr="007D2C9F">
              <w:rPr>
                <w:rStyle w:val="Hyperlink"/>
                <w:noProof/>
                <w:sz w:val="24"/>
                <w:szCs w:val="24"/>
                <w:lang w:bidi="en-US"/>
              </w:rPr>
              <w:t>7.2.5</w:t>
            </w:r>
            <w:r w:rsidR="007D2C9F" w:rsidRPr="007D2C9F">
              <w:rPr>
                <w:rFonts w:eastAsiaTheme="minorEastAsia"/>
                <w:noProof/>
                <w:sz w:val="24"/>
                <w:szCs w:val="24"/>
                <w:lang w:eastAsia="en-GB"/>
              </w:rPr>
              <w:tab/>
            </w:r>
            <w:r w:rsidR="007D2C9F" w:rsidRPr="007D2C9F">
              <w:rPr>
                <w:rStyle w:val="Hyperlink"/>
                <w:noProof/>
                <w:sz w:val="24"/>
                <w:szCs w:val="24"/>
                <w:lang w:bidi="en-US"/>
              </w:rPr>
              <w:t>Complementary mutant DNA hybridisation using regular SPCE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167</w:t>
            </w:r>
            <w:r w:rsidR="007D2C9F" w:rsidRPr="007D2C9F">
              <w:rPr>
                <w:noProof/>
                <w:webHidden/>
                <w:sz w:val="24"/>
                <w:szCs w:val="24"/>
              </w:rPr>
              <w:fldChar w:fldCharType="end"/>
            </w:r>
          </w:hyperlink>
        </w:p>
        <w:p w14:paraId="45B664A4" w14:textId="04F24387"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1" w:history="1">
            <w:r w:rsidR="007D2C9F" w:rsidRPr="007D2C9F">
              <w:rPr>
                <w:rStyle w:val="Hyperlink"/>
                <w:noProof/>
                <w:sz w:val="24"/>
                <w:szCs w:val="24"/>
                <w:lang w:bidi="en-US"/>
              </w:rPr>
              <w:t>7.2.6</w:t>
            </w:r>
            <w:r w:rsidR="007D2C9F" w:rsidRPr="007D2C9F">
              <w:rPr>
                <w:rFonts w:eastAsiaTheme="minorEastAsia"/>
                <w:noProof/>
                <w:sz w:val="24"/>
                <w:szCs w:val="24"/>
                <w:lang w:eastAsia="en-GB"/>
              </w:rPr>
              <w:tab/>
            </w:r>
            <w:r w:rsidR="007D2C9F" w:rsidRPr="007D2C9F">
              <w:rPr>
                <w:rStyle w:val="Hyperlink"/>
                <w:noProof/>
                <w:sz w:val="24"/>
                <w:szCs w:val="24"/>
                <w:lang w:bidi="en-US"/>
              </w:rPr>
              <w:t>Amplification-free detection using SPCE</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168</w:t>
            </w:r>
            <w:r w:rsidR="007D2C9F" w:rsidRPr="007D2C9F">
              <w:rPr>
                <w:noProof/>
                <w:webHidden/>
                <w:sz w:val="24"/>
                <w:szCs w:val="24"/>
              </w:rPr>
              <w:fldChar w:fldCharType="end"/>
            </w:r>
          </w:hyperlink>
        </w:p>
        <w:p w14:paraId="013FD068" w14:textId="15A29F46"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2" w:history="1">
            <w:r w:rsidR="007D2C9F" w:rsidRPr="007D2C9F">
              <w:rPr>
                <w:rStyle w:val="Hyperlink"/>
                <w:noProof/>
                <w:sz w:val="24"/>
                <w:szCs w:val="24"/>
                <w:lang w:bidi="en-US"/>
              </w:rPr>
              <w:t>7.2.7</w:t>
            </w:r>
            <w:r w:rsidR="007D2C9F" w:rsidRPr="007D2C9F">
              <w:rPr>
                <w:rFonts w:eastAsiaTheme="minorEastAsia"/>
                <w:noProof/>
                <w:sz w:val="24"/>
                <w:szCs w:val="24"/>
                <w:lang w:eastAsia="en-GB"/>
              </w:rPr>
              <w:tab/>
            </w:r>
            <w:r w:rsidR="007D2C9F" w:rsidRPr="007D2C9F">
              <w:rPr>
                <w:rStyle w:val="Hyperlink"/>
                <w:noProof/>
                <w:sz w:val="24"/>
                <w:szCs w:val="24"/>
                <w:lang w:bidi="en-US"/>
              </w:rPr>
              <w:t>ddPCR results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169</w:t>
            </w:r>
            <w:r w:rsidR="007D2C9F" w:rsidRPr="007D2C9F">
              <w:rPr>
                <w:noProof/>
                <w:webHidden/>
                <w:sz w:val="24"/>
                <w:szCs w:val="24"/>
              </w:rPr>
              <w:fldChar w:fldCharType="end"/>
            </w:r>
          </w:hyperlink>
        </w:p>
        <w:p w14:paraId="082ADDAE" w14:textId="125D6AFB"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3" w:history="1">
            <w:r w:rsidR="007D2C9F" w:rsidRPr="007D2C9F">
              <w:rPr>
                <w:rStyle w:val="Hyperlink"/>
                <w:noProof/>
                <w:sz w:val="24"/>
                <w:szCs w:val="24"/>
                <w:lang w:bidi="en-US"/>
              </w:rPr>
              <w:t>7.2.8</w:t>
            </w:r>
            <w:r w:rsidR="007D2C9F" w:rsidRPr="007D2C9F">
              <w:rPr>
                <w:rFonts w:eastAsiaTheme="minorEastAsia"/>
                <w:noProof/>
                <w:sz w:val="24"/>
                <w:szCs w:val="24"/>
                <w:lang w:eastAsia="en-GB"/>
              </w:rPr>
              <w:tab/>
            </w:r>
            <w:r w:rsidR="007D2C9F" w:rsidRPr="007D2C9F">
              <w:rPr>
                <w:rStyle w:val="Hyperlink"/>
                <w:noProof/>
                <w:sz w:val="24"/>
                <w:szCs w:val="24"/>
                <w:lang w:bidi="en-US"/>
              </w:rPr>
              <w:t>False positive and negative investigation (Four patient sample sub-study)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172</w:t>
            </w:r>
            <w:r w:rsidR="007D2C9F" w:rsidRPr="007D2C9F">
              <w:rPr>
                <w:noProof/>
                <w:webHidden/>
                <w:sz w:val="24"/>
                <w:szCs w:val="24"/>
              </w:rPr>
              <w:fldChar w:fldCharType="end"/>
            </w:r>
          </w:hyperlink>
        </w:p>
        <w:p w14:paraId="6F872304" w14:textId="6D3ACB50"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4" w:history="1">
            <w:r w:rsidR="007D2C9F" w:rsidRPr="007D2C9F">
              <w:rPr>
                <w:rStyle w:val="Hyperlink"/>
                <w:noProof/>
                <w:sz w:val="24"/>
                <w:szCs w:val="24"/>
                <w:lang w:bidi="en-US"/>
              </w:rPr>
              <w:t>7.2.9</w:t>
            </w:r>
            <w:r w:rsidR="007D2C9F" w:rsidRPr="007D2C9F">
              <w:rPr>
                <w:rFonts w:eastAsiaTheme="minorEastAsia"/>
                <w:noProof/>
                <w:sz w:val="24"/>
                <w:szCs w:val="24"/>
                <w:lang w:eastAsia="en-GB"/>
              </w:rPr>
              <w:tab/>
            </w:r>
            <w:r w:rsidR="007D2C9F" w:rsidRPr="007D2C9F">
              <w:rPr>
                <w:rStyle w:val="Hyperlink"/>
                <w:noProof/>
                <w:sz w:val="24"/>
                <w:szCs w:val="24"/>
                <w:lang w:bidi="en-US"/>
              </w:rPr>
              <w:t>ANOVA one-way tests on non-amplified cfDNA samples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_Toc84528154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174</w:t>
            </w:r>
            <w:r w:rsidR="007D2C9F" w:rsidRPr="007D2C9F">
              <w:rPr>
                <w:noProof/>
                <w:webHidden/>
                <w:sz w:val="24"/>
                <w:szCs w:val="24"/>
              </w:rPr>
              <w:fldChar w:fldCharType="end"/>
            </w:r>
          </w:hyperlink>
        </w:p>
        <w:p w14:paraId="2E574EBF" w14:textId="480676EE"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5" w:history="1">
            <w:r w:rsidR="007D2C9F" w:rsidRPr="007D2C9F">
              <w:rPr>
                <w:rStyle w:val="Hyperlink"/>
                <w:noProof/>
                <w:sz w:val="24"/>
                <w:szCs w:val="24"/>
                <w:lang w:bidi="en-US"/>
              </w:rPr>
              <w:t>7.2.10</w:t>
            </w:r>
            <w:r w:rsidR="007D2C9F" w:rsidRPr="007D2C9F">
              <w:rPr>
                <w:rFonts w:eastAsiaTheme="minorEastAsia"/>
                <w:noProof/>
                <w:sz w:val="24"/>
                <w:szCs w:val="24"/>
                <w:lang w:eastAsia="en-GB"/>
              </w:rPr>
              <w:tab/>
            </w:r>
            <w:r w:rsidR="007D2C9F" w:rsidRPr="007D2C9F">
              <w:rPr>
                <w:rStyle w:val="Hyperlink"/>
                <w:noProof/>
                <w:sz w:val="24"/>
                <w:szCs w:val="24"/>
                <w:lang w:bidi="en-US"/>
              </w:rPr>
              <w:t>ANOVA one-way tests on amplified cfDNA samples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_Toc84528155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176</w:t>
            </w:r>
            <w:r w:rsidR="007D2C9F" w:rsidRPr="007D2C9F">
              <w:rPr>
                <w:noProof/>
                <w:webHidden/>
                <w:sz w:val="24"/>
                <w:szCs w:val="24"/>
              </w:rPr>
              <w:fldChar w:fldCharType="end"/>
            </w:r>
          </w:hyperlink>
        </w:p>
        <w:p w14:paraId="6674C209" w14:textId="0D6C7F88"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6" w:history="1">
            <w:r w:rsidR="007D2C9F" w:rsidRPr="007D2C9F">
              <w:rPr>
                <w:rStyle w:val="Hyperlink"/>
                <w:noProof/>
                <w:sz w:val="24"/>
                <w:szCs w:val="24"/>
                <w:lang w:bidi="en-US"/>
              </w:rPr>
              <w:t>7.2.11</w:t>
            </w:r>
            <w:r w:rsidR="007D2C9F" w:rsidRPr="007D2C9F">
              <w:rPr>
                <w:rFonts w:eastAsiaTheme="minorEastAsia"/>
                <w:noProof/>
                <w:sz w:val="24"/>
                <w:szCs w:val="24"/>
                <w:lang w:eastAsia="en-GB"/>
              </w:rPr>
              <w:tab/>
            </w:r>
            <w:r w:rsidR="007D2C9F" w:rsidRPr="007D2C9F">
              <w:rPr>
                <w:rStyle w:val="Hyperlink"/>
                <w:noProof/>
                <w:sz w:val="24"/>
                <w:szCs w:val="24"/>
                <w:lang w:bidi="en-US"/>
              </w:rPr>
              <w:t>ANOVA two-way tests on unamplified and amplified samples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_Toc84528156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178</w:t>
            </w:r>
            <w:r w:rsidR="007D2C9F" w:rsidRPr="007D2C9F">
              <w:rPr>
                <w:noProof/>
                <w:webHidden/>
                <w:sz w:val="24"/>
                <w:szCs w:val="24"/>
              </w:rPr>
              <w:fldChar w:fldCharType="end"/>
            </w:r>
          </w:hyperlink>
        </w:p>
        <w:p w14:paraId="2844CC81" w14:textId="47ACE1C7" w:rsidR="007D2C9F" w:rsidRPr="007D2C9F" w:rsidRDefault="00DD4134" w:rsidP="007D2C9F">
          <w:pPr>
            <w:pStyle w:val="TOC3"/>
            <w:tabs>
              <w:tab w:val="left" w:pos="1320"/>
              <w:tab w:val="right" w:leader="dot" w:pos="8494"/>
            </w:tabs>
            <w:spacing w:line="276" w:lineRule="auto"/>
            <w:rPr>
              <w:rFonts w:eastAsiaTheme="minorEastAsia"/>
              <w:noProof/>
              <w:sz w:val="24"/>
              <w:szCs w:val="24"/>
              <w:lang w:eastAsia="en-GB"/>
            </w:rPr>
          </w:pPr>
          <w:hyperlink w:anchor="_Toc84528157" w:history="1">
            <w:r w:rsidR="007D2C9F" w:rsidRPr="007D2C9F">
              <w:rPr>
                <w:rStyle w:val="Hyperlink"/>
                <w:noProof/>
                <w:sz w:val="24"/>
                <w:szCs w:val="24"/>
                <w:lang w:bidi="en-US"/>
              </w:rPr>
              <w:t>7.2.12</w:t>
            </w:r>
            <w:r w:rsidR="007D2C9F" w:rsidRPr="007D2C9F">
              <w:rPr>
                <w:rFonts w:eastAsiaTheme="minorEastAsia"/>
                <w:noProof/>
                <w:sz w:val="24"/>
                <w:szCs w:val="24"/>
                <w:lang w:eastAsia="en-GB"/>
              </w:rPr>
              <w:tab/>
            </w:r>
            <w:r w:rsidR="007D2C9F" w:rsidRPr="007D2C9F">
              <w:rPr>
                <w:rStyle w:val="Hyperlink"/>
                <w:noProof/>
                <w:sz w:val="24"/>
                <w:szCs w:val="24"/>
                <w:lang w:bidi="en-US"/>
              </w:rPr>
              <w:t>Conclusion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_Toc84528157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182</w:t>
            </w:r>
            <w:r w:rsidR="007D2C9F" w:rsidRPr="007D2C9F">
              <w:rPr>
                <w:noProof/>
                <w:webHidden/>
                <w:sz w:val="24"/>
                <w:szCs w:val="24"/>
              </w:rPr>
              <w:fldChar w:fldCharType="end"/>
            </w:r>
          </w:hyperlink>
        </w:p>
        <w:p w14:paraId="726646A7" w14:textId="1695334B" w:rsidR="007D2C9F" w:rsidRPr="007D2C9F" w:rsidRDefault="00DD4134" w:rsidP="007D2C9F">
          <w:pPr>
            <w:pStyle w:val="TOC1"/>
            <w:tabs>
              <w:tab w:val="left" w:pos="440"/>
              <w:tab w:val="right" w:leader="dot" w:pos="8494"/>
            </w:tabs>
            <w:spacing w:line="276" w:lineRule="auto"/>
            <w:rPr>
              <w:rFonts w:eastAsiaTheme="minorEastAsia"/>
              <w:noProof/>
              <w:sz w:val="24"/>
              <w:szCs w:val="24"/>
              <w:lang w:eastAsia="en-GB"/>
            </w:rPr>
          </w:pPr>
          <w:hyperlink w:anchor="_Toc84528158" w:history="1">
            <w:r w:rsidR="007D2C9F" w:rsidRPr="007D2C9F">
              <w:rPr>
                <w:rStyle w:val="Hyperlink"/>
                <w:noProof/>
                <w:sz w:val="24"/>
                <w:szCs w:val="24"/>
                <w:lang w:val="en-US"/>
              </w:rPr>
              <w:t>8</w:t>
            </w:r>
            <w:r w:rsidR="007D2C9F" w:rsidRPr="007D2C9F">
              <w:rPr>
                <w:rFonts w:eastAsiaTheme="minorEastAsia"/>
                <w:noProof/>
                <w:sz w:val="24"/>
                <w:szCs w:val="24"/>
                <w:lang w:eastAsia="en-GB"/>
              </w:rPr>
              <w:tab/>
            </w:r>
            <w:r w:rsidR="007D2C9F" w:rsidRPr="007D2C9F">
              <w:rPr>
                <w:rStyle w:val="Hyperlink"/>
                <w:noProof/>
                <w:sz w:val="24"/>
                <w:szCs w:val="24"/>
                <w:lang w:val="en-US"/>
              </w:rPr>
              <w:t>- OVERALL CONCLUSIONS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_Toc84528158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184</w:t>
            </w:r>
            <w:r w:rsidR="007D2C9F" w:rsidRPr="007D2C9F">
              <w:rPr>
                <w:noProof/>
                <w:webHidden/>
                <w:sz w:val="24"/>
                <w:szCs w:val="24"/>
              </w:rPr>
              <w:fldChar w:fldCharType="end"/>
            </w:r>
          </w:hyperlink>
        </w:p>
        <w:p w14:paraId="58B1740B" w14:textId="72578292"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59" w:history="1">
            <w:r w:rsidR="007D2C9F" w:rsidRPr="007D2C9F">
              <w:rPr>
                <w:rStyle w:val="Hyperlink"/>
                <w:noProof/>
                <w:sz w:val="24"/>
                <w:szCs w:val="24"/>
                <w:lang w:val="en-US"/>
              </w:rPr>
              <w:t>8.1</w:t>
            </w:r>
            <w:r w:rsidR="007D2C9F" w:rsidRPr="007D2C9F">
              <w:rPr>
                <w:rFonts w:eastAsiaTheme="minorEastAsia"/>
                <w:noProof/>
                <w:sz w:val="24"/>
                <w:szCs w:val="24"/>
                <w:lang w:eastAsia="en-GB"/>
              </w:rPr>
              <w:tab/>
            </w:r>
            <w:r w:rsidR="007D2C9F" w:rsidRPr="007D2C9F">
              <w:rPr>
                <w:rStyle w:val="Hyperlink"/>
                <w:noProof/>
                <w:sz w:val="24"/>
                <w:szCs w:val="24"/>
                <w:lang w:val="en-US"/>
              </w:rPr>
              <w:t>Limitations with this study</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_Toc84528159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186</w:t>
            </w:r>
            <w:r w:rsidR="007D2C9F" w:rsidRPr="007D2C9F">
              <w:rPr>
                <w:noProof/>
                <w:webHidden/>
                <w:sz w:val="24"/>
                <w:szCs w:val="24"/>
              </w:rPr>
              <w:fldChar w:fldCharType="end"/>
            </w:r>
          </w:hyperlink>
        </w:p>
        <w:p w14:paraId="2ABDC21C" w14:textId="01E88185"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60" w:history="1">
            <w:r w:rsidR="007D2C9F" w:rsidRPr="007D2C9F">
              <w:rPr>
                <w:rStyle w:val="Hyperlink"/>
                <w:noProof/>
                <w:sz w:val="24"/>
                <w:szCs w:val="24"/>
                <w:lang w:val="en-US"/>
              </w:rPr>
              <w:t>8.2</w:t>
            </w:r>
            <w:r w:rsidR="007D2C9F" w:rsidRPr="007D2C9F">
              <w:rPr>
                <w:rFonts w:eastAsiaTheme="minorEastAsia"/>
                <w:noProof/>
                <w:sz w:val="24"/>
                <w:szCs w:val="24"/>
                <w:lang w:eastAsia="en-GB"/>
              </w:rPr>
              <w:tab/>
            </w:r>
            <w:r w:rsidR="007D2C9F" w:rsidRPr="007D2C9F">
              <w:rPr>
                <w:rStyle w:val="Hyperlink"/>
                <w:noProof/>
                <w:sz w:val="24"/>
                <w:szCs w:val="24"/>
                <w:lang w:val="en-US"/>
              </w:rPr>
              <w:t>The ideal diagnostic solution</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_Toc84528160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188</w:t>
            </w:r>
            <w:r w:rsidR="007D2C9F" w:rsidRPr="007D2C9F">
              <w:rPr>
                <w:noProof/>
                <w:webHidden/>
                <w:sz w:val="24"/>
                <w:szCs w:val="24"/>
              </w:rPr>
              <w:fldChar w:fldCharType="end"/>
            </w:r>
          </w:hyperlink>
        </w:p>
        <w:p w14:paraId="4CCC662A" w14:textId="31ADBAD4" w:rsidR="007D2C9F" w:rsidRPr="007D2C9F" w:rsidRDefault="00DD4134" w:rsidP="007D2C9F">
          <w:pPr>
            <w:pStyle w:val="TOC2"/>
            <w:tabs>
              <w:tab w:val="left" w:pos="880"/>
              <w:tab w:val="right" w:leader="dot" w:pos="8494"/>
            </w:tabs>
            <w:spacing w:line="276" w:lineRule="auto"/>
            <w:rPr>
              <w:rFonts w:eastAsiaTheme="minorEastAsia"/>
              <w:noProof/>
              <w:sz w:val="24"/>
              <w:szCs w:val="24"/>
              <w:lang w:eastAsia="en-GB"/>
            </w:rPr>
          </w:pPr>
          <w:hyperlink w:anchor="_Toc84528161" w:history="1">
            <w:r w:rsidR="007D2C9F" w:rsidRPr="007D2C9F">
              <w:rPr>
                <w:rStyle w:val="Hyperlink"/>
                <w:noProof/>
                <w:sz w:val="24"/>
                <w:szCs w:val="24"/>
              </w:rPr>
              <w:t>8.3</w:t>
            </w:r>
            <w:r w:rsidR="007D2C9F" w:rsidRPr="007D2C9F">
              <w:rPr>
                <w:rFonts w:eastAsiaTheme="minorEastAsia"/>
                <w:noProof/>
                <w:sz w:val="24"/>
                <w:szCs w:val="24"/>
                <w:lang w:eastAsia="en-GB"/>
              </w:rPr>
              <w:tab/>
            </w:r>
            <w:r w:rsidR="007D2C9F" w:rsidRPr="007D2C9F">
              <w:rPr>
                <w:rStyle w:val="Hyperlink"/>
                <w:noProof/>
                <w:sz w:val="24"/>
                <w:szCs w:val="24"/>
              </w:rPr>
              <w:t>Recommendations for further work</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_Toc84528161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188</w:t>
            </w:r>
            <w:r w:rsidR="007D2C9F" w:rsidRPr="007D2C9F">
              <w:rPr>
                <w:noProof/>
                <w:webHidden/>
                <w:sz w:val="24"/>
                <w:szCs w:val="24"/>
              </w:rPr>
              <w:fldChar w:fldCharType="end"/>
            </w:r>
          </w:hyperlink>
        </w:p>
        <w:p w14:paraId="587849B9" w14:textId="23BE112A"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162" w:history="1">
            <w:r w:rsidR="007D2C9F" w:rsidRPr="007D2C9F">
              <w:rPr>
                <w:rStyle w:val="Hyperlink"/>
                <w:noProof/>
                <w:sz w:val="24"/>
                <w:szCs w:val="24"/>
              </w:rPr>
              <w:t>REFERENCES</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_Toc84528162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190</w:t>
            </w:r>
            <w:r w:rsidR="007D2C9F" w:rsidRPr="007D2C9F">
              <w:rPr>
                <w:noProof/>
                <w:webHidden/>
                <w:sz w:val="24"/>
                <w:szCs w:val="24"/>
              </w:rPr>
              <w:fldChar w:fldCharType="end"/>
            </w:r>
          </w:hyperlink>
        </w:p>
        <w:p w14:paraId="19B130B3" w14:textId="561E0ADD" w:rsidR="007D2C9F" w:rsidRPr="007D2C9F" w:rsidRDefault="00DD4134" w:rsidP="007D2C9F">
          <w:pPr>
            <w:pStyle w:val="TOC1"/>
            <w:tabs>
              <w:tab w:val="right" w:leader="dot" w:pos="8494"/>
            </w:tabs>
            <w:spacing w:line="276" w:lineRule="auto"/>
            <w:rPr>
              <w:rFonts w:eastAsiaTheme="minorEastAsia"/>
              <w:noProof/>
              <w:sz w:val="24"/>
              <w:szCs w:val="24"/>
              <w:lang w:eastAsia="en-GB"/>
            </w:rPr>
          </w:pPr>
          <w:hyperlink w:anchor="_Toc84528163" w:history="1">
            <w:r w:rsidR="007D2C9F" w:rsidRPr="007D2C9F">
              <w:rPr>
                <w:rStyle w:val="Hyperlink"/>
                <w:noProof/>
                <w:sz w:val="24"/>
                <w:szCs w:val="24"/>
              </w:rPr>
              <w:t>APPENDIX</w:t>
            </w:r>
            <w:r w:rsidR="007D2C9F" w:rsidRPr="007D2C9F">
              <w:rPr>
                <w:noProof/>
                <w:webHidden/>
                <w:sz w:val="24"/>
                <w:szCs w:val="24"/>
              </w:rPr>
              <w:tab/>
            </w:r>
            <w:r w:rsidR="007D2C9F" w:rsidRPr="007D2C9F">
              <w:rPr>
                <w:noProof/>
                <w:webHidden/>
                <w:sz w:val="24"/>
                <w:szCs w:val="24"/>
              </w:rPr>
              <w:fldChar w:fldCharType="begin"/>
            </w:r>
            <w:r w:rsidR="007D2C9F" w:rsidRPr="007D2C9F">
              <w:rPr>
                <w:noProof/>
                <w:webHidden/>
                <w:sz w:val="24"/>
                <w:szCs w:val="24"/>
              </w:rPr>
              <w:instrText xml:space="preserve"> PAGEREF _Toc84528163 \h </w:instrText>
            </w:r>
            <w:r w:rsidR="007D2C9F" w:rsidRPr="007D2C9F">
              <w:rPr>
                <w:noProof/>
                <w:webHidden/>
                <w:sz w:val="24"/>
                <w:szCs w:val="24"/>
              </w:rPr>
            </w:r>
            <w:r w:rsidR="007D2C9F" w:rsidRPr="007D2C9F">
              <w:rPr>
                <w:noProof/>
                <w:webHidden/>
                <w:sz w:val="24"/>
                <w:szCs w:val="24"/>
              </w:rPr>
              <w:fldChar w:fldCharType="separate"/>
            </w:r>
            <w:r w:rsidR="007D2C9F">
              <w:rPr>
                <w:noProof/>
                <w:webHidden/>
                <w:sz w:val="24"/>
                <w:szCs w:val="24"/>
              </w:rPr>
              <w:t>218</w:t>
            </w:r>
            <w:r w:rsidR="007D2C9F" w:rsidRPr="007D2C9F">
              <w:rPr>
                <w:noProof/>
                <w:webHidden/>
                <w:sz w:val="24"/>
                <w:szCs w:val="24"/>
              </w:rPr>
              <w:fldChar w:fldCharType="end"/>
            </w:r>
          </w:hyperlink>
        </w:p>
        <w:p w14:paraId="0A05E39E" w14:textId="6329AF50" w:rsidR="00781A68" w:rsidRPr="005B1CCB" w:rsidRDefault="00BA1180" w:rsidP="007D2C9F">
          <w:pPr>
            <w:spacing w:line="276" w:lineRule="auto"/>
            <w:rPr>
              <w:rFonts w:ascii="Palatino Linotype" w:hAnsi="Palatino Linotype" w:cs="Times New Roman"/>
              <w:b/>
              <w:bCs/>
              <w:noProof/>
              <w:sz w:val="24"/>
              <w:szCs w:val="24"/>
            </w:rPr>
          </w:pPr>
          <w:r w:rsidRPr="007D2C9F">
            <w:rPr>
              <w:rFonts w:ascii="Palatino Linotype" w:hAnsi="Palatino Linotype" w:cs="Times New Roman"/>
              <w:b/>
              <w:bCs/>
              <w:noProof/>
              <w:sz w:val="24"/>
              <w:szCs w:val="24"/>
            </w:rPr>
            <w:fldChar w:fldCharType="end"/>
          </w:r>
        </w:p>
      </w:sdtContent>
    </w:sdt>
    <w:p w14:paraId="1EF9D1A8" w14:textId="77777777" w:rsidR="00781A68" w:rsidRPr="005B1CCB" w:rsidRDefault="00781A68" w:rsidP="001768BE">
      <w:pPr>
        <w:spacing w:line="276" w:lineRule="auto"/>
        <w:rPr>
          <w:rFonts w:ascii="Palatino Linotype" w:hAnsi="Palatino Linotype"/>
        </w:rPr>
      </w:pPr>
    </w:p>
    <w:p w14:paraId="70ECE8C7" w14:textId="77777777" w:rsidR="006612F4" w:rsidRPr="005B1CCB" w:rsidRDefault="006612F4" w:rsidP="006612F4"/>
    <w:p w14:paraId="4BAB16D3" w14:textId="77777777" w:rsidR="000824D6" w:rsidRDefault="000824D6" w:rsidP="008B592C"/>
    <w:p w14:paraId="1012FA2B" w14:textId="77777777" w:rsidR="003C6257" w:rsidRPr="005B1CCB" w:rsidRDefault="003C6257" w:rsidP="008B592C"/>
    <w:p w14:paraId="1C74C45D" w14:textId="77D9E8C3" w:rsidR="00DE712F" w:rsidRPr="005B1CCB" w:rsidRDefault="00E06DAF" w:rsidP="00C955F5">
      <w:pPr>
        <w:pStyle w:val="Heading1"/>
        <w:jc w:val="center"/>
      </w:pPr>
      <w:bookmarkStart w:id="13" w:name="_Toc84528029"/>
      <w:r w:rsidRPr="005B1CCB">
        <w:lastRenderedPageBreak/>
        <w:t>- INTRODUCTION AND LITERATURE</w:t>
      </w:r>
      <w:bookmarkEnd w:id="13"/>
    </w:p>
    <w:p w14:paraId="469DE858" w14:textId="1EC84442" w:rsidR="00DE712F" w:rsidRPr="005B1CCB" w:rsidRDefault="00DE712F" w:rsidP="00BF381B">
      <w:pPr>
        <w:pStyle w:val="Heading2"/>
      </w:pPr>
      <w:bookmarkStart w:id="14" w:name="_Toc84528030"/>
      <w:r w:rsidRPr="005B1CCB">
        <w:t>Cancer</w:t>
      </w:r>
      <w:bookmarkEnd w:id="14"/>
    </w:p>
    <w:p w14:paraId="32E75987" w14:textId="77777777" w:rsidR="007B2778" w:rsidRPr="005B1CCB" w:rsidRDefault="007B2778" w:rsidP="007B2778"/>
    <w:p w14:paraId="7062568C" w14:textId="77777777" w:rsidR="00DE712F" w:rsidRPr="005B1CCB" w:rsidRDefault="00DE712F" w:rsidP="00D71969">
      <w:pPr>
        <w:pStyle w:val="Heading3"/>
      </w:pPr>
      <w:bookmarkStart w:id="15" w:name="_Toc84528031"/>
      <w:r w:rsidRPr="005B1CCB">
        <w:t>Cancer incidence</w:t>
      </w:r>
      <w:bookmarkEnd w:id="15"/>
    </w:p>
    <w:p w14:paraId="079F3625" w14:textId="77777777" w:rsidR="00C7611D" w:rsidRPr="005B1CCB" w:rsidRDefault="00C87063" w:rsidP="009874D6">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1C2515" w:rsidRPr="005B1CCB">
        <w:rPr>
          <w:rFonts w:ascii="Palatino Linotype" w:hAnsi="Palatino Linotype" w:cs="Times New Roman"/>
          <w:sz w:val="24"/>
          <w:szCs w:val="24"/>
        </w:rPr>
        <w:t>There are around 450 cancer deaths in the UK every day and t</w:t>
      </w:r>
      <w:r w:rsidR="00DE712F" w:rsidRPr="005B1CCB">
        <w:rPr>
          <w:rFonts w:ascii="Palatino Linotype" w:hAnsi="Palatino Linotype" w:cs="Times New Roman"/>
          <w:sz w:val="24"/>
          <w:szCs w:val="24"/>
        </w:rPr>
        <w:t xml:space="preserve">he incidence for cancer in the UK is ranked higher than 90% of the world </w:t>
      </w:r>
      <w:r w:rsidR="001C2515" w:rsidRPr="005B1CCB">
        <w:rPr>
          <w:rFonts w:ascii="Palatino Linotype" w:hAnsi="Palatino Linotype" w:cs="Times New Roman"/>
          <w:sz w:val="24"/>
          <w:szCs w:val="24"/>
        </w:rPr>
        <w:t>with</w:t>
      </w:r>
      <w:r w:rsidR="00DE712F" w:rsidRPr="005B1CCB">
        <w:rPr>
          <w:rFonts w:ascii="Palatino Linotype" w:hAnsi="Palatino Linotype" w:cs="Times New Roman"/>
          <w:sz w:val="24"/>
          <w:szCs w:val="24"/>
        </w:rPr>
        <w:t xml:space="preserve"> almost ha</w:t>
      </w:r>
      <w:r w:rsidR="001C2515" w:rsidRPr="005B1CCB">
        <w:rPr>
          <w:rFonts w:ascii="Palatino Linotype" w:hAnsi="Palatino Linotype" w:cs="Times New Roman"/>
          <w:sz w:val="24"/>
          <w:szCs w:val="24"/>
        </w:rPr>
        <w:t xml:space="preserve">lf of these cancers </w:t>
      </w:r>
      <w:r w:rsidR="00DE712F" w:rsidRPr="005B1CCB">
        <w:rPr>
          <w:rFonts w:ascii="Palatino Linotype" w:hAnsi="Palatino Linotype" w:cs="Times New Roman"/>
          <w:sz w:val="24"/>
          <w:szCs w:val="24"/>
        </w:rPr>
        <w:t>diagnosed at a late</w:t>
      </w:r>
      <w:r w:rsidR="003E1040" w:rsidRPr="005B1CCB">
        <w:rPr>
          <w:rFonts w:ascii="Palatino Linotype" w:hAnsi="Palatino Linotype" w:cs="Times New Roman"/>
          <w:sz w:val="24"/>
          <w:szCs w:val="24"/>
        </w:rPr>
        <w:t xml:space="preserve"> stage </w:t>
      </w:r>
      <w:r w:rsidR="00F64F93" w:rsidRPr="005B1CCB">
        <w:rPr>
          <w:rFonts w:ascii="Palatino Linotype" w:hAnsi="Palatino Linotype" w:cs="Times New Roman"/>
          <w:sz w:val="24"/>
          <w:szCs w:val="24"/>
        </w:rPr>
        <w:fldChar w:fldCharType="begin" w:fldLock="1"/>
      </w:r>
      <w:r w:rsidR="00F9581B" w:rsidRPr="005B1CCB">
        <w:rPr>
          <w:rFonts w:ascii="Palatino Linotype" w:hAnsi="Palatino Linotype" w:cs="Times New Roman"/>
          <w:sz w:val="24"/>
          <w:szCs w:val="24"/>
        </w:rPr>
        <w:instrText>ADDIN CSL_CITATION {"citationItems":[{"id":"ITEM-1","itemData":{"URL":"https://www.cancerresearchuk.org/health-professional/cancer-statistics/incidence#heading-Zero","accessed":{"date-parts":[["2020","3","25"]]},"author":[{"dropping-particle":"","family":"Cancer Research UK","given":"","non-dropping-particle":"","parse-names":false,"suffix":""}],"container-title":"Cancer incidence for all cancers combined","id":"ITEM-1","issued":{"date-parts":[["2020"]]},"title":"No Title","type":"webpage"},"uris":["http://www.mendeley.com/documents/?uuid=0dfc32c9-766d-4c19-aeab-c77776179519"]}],"mendeley":{"formattedCitation":"[1]","plainTextFormattedCitation":"[1]","previouslyFormattedCitation":"[1]"},"properties":{"noteIndex":0},"schema":"https://github.com/citation-style-language/schema/raw/master/csl-citation.json"}</w:instrText>
      </w:r>
      <w:r w:rsidR="00F64F93" w:rsidRPr="005B1CCB">
        <w:rPr>
          <w:rFonts w:ascii="Palatino Linotype" w:hAnsi="Palatino Linotype" w:cs="Times New Roman"/>
          <w:sz w:val="24"/>
          <w:szCs w:val="24"/>
        </w:rPr>
        <w:fldChar w:fldCharType="separate"/>
      </w:r>
      <w:r w:rsidR="00A14F72" w:rsidRPr="005B1CCB">
        <w:rPr>
          <w:rFonts w:ascii="Palatino Linotype" w:hAnsi="Palatino Linotype" w:cs="Times New Roman"/>
          <w:noProof/>
          <w:sz w:val="24"/>
          <w:szCs w:val="24"/>
        </w:rPr>
        <w:t>[1]</w:t>
      </w:r>
      <w:r w:rsidR="00F64F93" w:rsidRPr="005B1CCB">
        <w:rPr>
          <w:rFonts w:ascii="Palatino Linotype" w:hAnsi="Palatino Linotype" w:cs="Times New Roman"/>
          <w:sz w:val="24"/>
          <w:szCs w:val="24"/>
        </w:rPr>
        <w:fldChar w:fldCharType="end"/>
      </w:r>
      <w:r w:rsidR="003E1040" w:rsidRPr="005B1CCB">
        <w:rPr>
          <w:rFonts w:ascii="Palatino Linotype" w:hAnsi="Palatino Linotype" w:cs="Times New Roman"/>
          <w:sz w:val="24"/>
          <w:szCs w:val="24"/>
        </w:rPr>
        <w:t>.</w:t>
      </w:r>
      <w:r w:rsidR="00DE712F" w:rsidRPr="005B1CCB">
        <w:rPr>
          <w:rFonts w:ascii="Palatino Linotype" w:hAnsi="Palatino Linotype" w:cs="Times New Roman"/>
          <w:sz w:val="24"/>
          <w:szCs w:val="24"/>
        </w:rPr>
        <w:t xml:space="preserve"> </w:t>
      </w:r>
      <w:r w:rsidR="00C7611D" w:rsidRPr="005B1CCB">
        <w:rPr>
          <w:rFonts w:ascii="Palatino Linotype" w:hAnsi="Palatino Linotype" w:cs="Times New Roman"/>
          <w:sz w:val="24"/>
          <w:szCs w:val="24"/>
        </w:rPr>
        <w:t xml:space="preserve">About 2.5 million people in the UK live with, or have a history of cancer </w:t>
      </w:r>
      <w:r w:rsidR="00C7611D" w:rsidRPr="005B1CCB">
        <w:rPr>
          <w:rFonts w:ascii="Palatino Linotype" w:hAnsi="Palatino Linotype" w:cs="Times New Roman"/>
          <w:sz w:val="24"/>
          <w:szCs w:val="24"/>
        </w:rPr>
        <w:fldChar w:fldCharType="begin" w:fldLock="1"/>
      </w:r>
      <w:r w:rsidR="00F9581B" w:rsidRPr="005B1CCB">
        <w:rPr>
          <w:rFonts w:ascii="Palatino Linotype" w:hAnsi="Palatino Linotype" w:cs="Times New Roman"/>
          <w:sz w:val="24"/>
          <w:szCs w:val="24"/>
        </w:rPr>
        <w:instrText>ADDIN CSL_CITATION {"citationItems":[{"id":"ITEM-1","itemData":{"URL":"https://www.macmillan.org.uk/about-us/media-centre/facts-and-figures/cancer-in-numbers.html","accessed":{"date-parts":[["2020","6","12"]]},"author":[{"dropping-particle":"","family":"Support","given":"Macmillan cancer","non-dropping-particle":"","parse-names":false,"suffix":""}],"container-title":"Cancer in numbers","id":"ITEM-1","issued":{"date-parts":[["2020"]]},"title":"Cancer in numbers","type":"webpage"},"uris":["http://www.mendeley.com/documents/?uuid=bf87ab0a-e8b2-41e7-a83f-5fa0a3cf0ce3"]}],"mendeley":{"formattedCitation":"[2]","plainTextFormattedCitation":"[2]","previouslyFormattedCitation":"[2]"},"properties":{"noteIndex":0},"schema":"https://github.com/citation-style-language/schema/raw/master/csl-citation.json"}</w:instrText>
      </w:r>
      <w:r w:rsidR="00C7611D" w:rsidRPr="005B1CCB">
        <w:rPr>
          <w:rFonts w:ascii="Palatino Linotype" w:hAnsi="Palatino Linotype" w:cs="Times New Roman"/>
          <w:sz w:val="24"/>
          <w:szCs w:val="24"/>
        </w:rPr>
        <w:fldChar w:fldCharType="separate"/>
      </w:r>
      <w:r w:rsidR="00A14F72" w:rsidRPr="005B1CCB">
        <w:rPr>
          <w:rFonts w:ascii="Palatino Linotype" w:hAnsi="Palatino Linotype" w:cs="Times New Roman"/>
          <w:noProof/>
          <w:sz w:val="24"/>
          <w:szCs w:val="24"/>
        </w:rPr>
        <w:t>[2]</w:t>
      </w:r>
      <w:r w:rsidR="00C7611D" w:rsidRPr="005B1CCB">
        <w:rPr>
          <w:rFonts w:ascii="Palatino Linotype" w:hAnsi="Palatino Linotype" w:cs="Times New Roman"/>
          <w:sz w:val="24"/>
          <w:szCs w:val="24"/>
        </w:rPr>
        <w:fldChar w:fldCharType="end"/>
      </w:r>
      <w:r w:rsidR="00C7611D" w:rsidRPr="005B1CCB">
        <w:rPr>
          <w:rFonts w:ascii="Palatino Linotype" w:hAnsi="Palatino Linotype" w:cs="Times New Roman"/>
          <w:sz w:val="24"/>
          <w:szCs w:val="24"/>
        </w:rPr>
        <w:t xml:space="preserve">. A large part of these individuals are undergoing, recovering from or require surgery or complex treatments. </w:t>
      </w:r>
      <w:r w:rsidR="0059452D" w:rsidRPr="005B1CCB">
        <w:rPr>
          <w:rFonts w:ascii="Palatino Linotype" w:hAnsi="Palatino Linotype" w:cs="Times New Roman"/>
          <w:sz w:val="24"/>
          <w:szCs w:val="24"/>
        </w:rPr>
        <w:t xml:space="preserve">The four most common types of cancer worldwide are lung, female breast, bowel and prostate cancers </w:t>
      </w:r>
      <w:r w:rsidR="00CE6B14" w:rsidRPr="005B1CCB">
        <w:rPr>
          <w:rFonts w:ascii="Palatino Linotype" w:hAnsi="Palatino Linotype" w:cs="Times New Roman"/>
          <w:sz w:val="24"/>
          <w:szCs w:val="24"/>
        </w:rPr>
        <w:t>while c</w:t>
      </w:r>
      <w:r w:rsidR="00C7611D" w:rsidRPr="005B1CCB">
        <w:rPr>
          <w:rFonts w:ascii="Palatino Linotype" w:hAnsi="Palatino Linotype" w:cs="Times New Roman"/>
          <w:sz w:val="24"/>
          <w:szCs w:val="24"/>
        </w:rPr>
        <w:t xml:space="preserve">olorectal cancer is the </w:t>
      </w:r>
      <w:r w:rsidR="00CE6B14" w:rsidRPr="005B1CCB">
        <w:rPr>
          <w:rFonts w:ascii="Palatino Linotype" w:hAnsi="Palatino Linotype" w:cs="Times New Roman"/>
          <w:sz w:val="24"/>
          <w:szCs w:val="24"/>
        </w:rPr>
        <w:t>fourth leading cause of cancer-related death</w:t>
      </w:r>
      <w:r w:rsidR="00607B82">
        <w:rPr>
          <w:rFonts w:ascii="Palatino Linotype" w:hAnsi="Palatino Linotype" w:cs="Times New Roman"/>
          <w:sz w:val="24"/>
          <w:szCs w:val="24"/>
        </w:rPr>
        <w:t>s</w:t>
      </w:r>
      <w:r w:rsidR="00CE6B14" w:rsidRPr="005B1CCB">
        <w:rPr>
          <w:rFonts w:ascii="Palatino Linotype" w:hAnsi="Palatino Linotype" w:cs="Times New Roman"/>
          <w:sz w:val="24"/>
          <w:szCs w:val="24"/>
        </w:rPr>
        <w:t xml:space="preserve"> in the world</w:t>
      </w:r>
      <w:r w:rsidR="00C7611D" w:rsidRPr="005B1CCB">
        <w:rPr>
          <w:rFonts w:ascii="Palatino Linotype" w:hAnsi="Palatino Linotype" w:cs="Times New Roman"/>
          <w:sz w:val="24"/>
          <w:szCs w:val="24"/>
        </w:rPr>
        <w:t xml:space="preserve"> with a five-year survival rate of a</w:t>
      </w:r>
      <w:r w:rsidR="003739D1" w:rsidRPr="005B1CCB">
        <w:rPr>
          <w:rFonts w:ascii="Palatino Linotype" w:hAnsi="Palatino Linotype" w:cs="Times New Roman"/>
          <w:sz w:val="24"/>
          <w:szCs w:val="24"/>
        </w:rPr>
        <w:t>pproximately</w:t>
      </w:r>
      <w:r w:rsidR="00C7611D" w:rsidRPr="005B1CCB">
        <w:rPr>
          <w:rFonts w:ascii="Palatino Linotype" w:hAnsi="Palatino Linotype" w:cs="Times New Roman"/>
          <w:sz w:val="24"/>
          <w:szCs w:val="24"/>
        </w:rPr>
        <w:t xml:space="preserve"> 64% depending on the stage of diagnosis </w:t>
      </w:r>
      <w:r w:rsidR="00C7611D" w:rsidRPr="005B1CCB">
        <w:rPr>
          <w:rFonts w:ascii="Palatino Linotype" w:hAnsi="Palatino Linotype" w:cs="Times New Roman"/>
          <w:sz w:val="24"/>
          <w:szCs w:val="24"/>
        </w:rPr>
        <w:fldChar w:fldCharType="begin" w:fldLock="1"/>
      </w:r>
      <w:r w:rsidR="00F9581B" w:rsidRPr="005B1CCB">
        <w:rPr>
          <w:rFonts w:ascii="Palatino Linotype" w:hAnsi="Palatino Linotype" w:cs="Times New Roman"/>
          <w:sz w:val="24"/>
          <w:szCs w:val="24"/>
        </w:rPr>
        <w:instrText>ADDIN CSL_CITATION {"citationItems":[{"id":"ITEM-1","itemData":{"DOI":"10.3389/fgene.2019.01118","ISSN":"16648021","abstract":"Background: Colorectal cancer is one of the most common cancers worldwide and has a high mortality rate following disease recurrence. Treatment efficacy is maximized by providing tailored cancer treatment, ideally involving surgical resection and personalized neoadjuvant and adjuvant therapies, including chemotherapy, radiotherapy and increasingly, targeted therapy. Early detection of recurrence or disease progression results in more treatable disease and is essential to improving survival outcomes. Recent advances in the understanding of tumor genetics have resulted in the discovery of circulating tumor DNA (ctDNA). A growing body of evidence supports the use of these sensitive biomarkers in detecting residual disease and diagnosing recurrence as well as enabling targeted and tumor-specific adjuvant therapies. Methods: A literature search in Pubmed was performed to identify all original articles preceding April 2019 that utilize ctDNA for the purpose of monitoring response to colorectal cancer treatment. Results: Ninety-two clinical studies were included. These studies demonstrate that ctDNA is a reliable measure of tumor burden. Studies show the utility of ctDNA in assessing the adequacy of surgical tumor clearance and changes in ctDNA levels reflect response to systemic treatments. ctDNA can be used in the selection of targeted treatments. The reappearance or increase in ctDNA, as well as the emergence of new mutations, correlates with disease recurrence, progression, and resistance to therapy, with ctDNA measurement allowing more sensitive monitoring than currently used clinical tools. Conclusions: ctDNA shows enormous promise as a sensitive biomarker for monitoring response to many treatment modalities and for targeting therapy. Thus, it is emerging as a new way for guiding treatment decisions—initiating, altering, and ceasing treatments, or prompting investigation into the potential for residual disease. However, many potentially useful ctDNA markers are available and more work is needed to determine which are best suited for specific purposes and for improving specific outcomes.","author":[{"dropping-particle":"","family":"Reece","given":"Mifanwy","non-dropping-particle":"","parse-names":false,"suffix":""},{"dropping-particle":"","family":"Saluja","given":"Hariti","non-dropping-particle":"","parse-names":false,"suffix":""},{"dropping-particle":"","family":"Hollington","given":"Paul","non-dropping-particle":"","parse-names":false,"suffix":""},{"dropping-particle":"","family":"Karapetis","given":"Christos S.","non-dropping-particle":"","parse-names":false,"suffix":""},{"dropping-particle":"","family":"Vatandoust","given":"Sina","non-dropping-particle":"","parse-names":false,"suffix":""},{"dropping-particle":"","family":"Young","given":"Graeme P.","non-dropping-particle":"","parse-names":false,"suffix":""},{"dropping-particle":"","family":"Symonds","given":"Erin L.","non-dropping-particle":"","parse-names":false,"suffix":""}],"container-title":"Frontiers in Genetics","id":"ITEM-1","issue":"November","issued":{"date-parts":[["2019"]]},"title":"The Use of Circulating Tumor DNA to Monitor and Predict Response to Treatment in Colorectal Cancer","type":"article-journal","volume":"10"},"uris":["http://www.mendeley.com/documents/?uuid=3aa095af-ca8c-470e-8817-0de71540dfa4"]}],"mendeley":{"formattedCitation":"[3]","plainTextFormattedCitation":"[3]","previouslyFormattedCitation":"[3]"},"properties":{"noteIndex":0},"schema":"https://github.com/citation-style-language/schema/raw/master/csl-citation.json"}</w:instrText>
      </w:r>
      <w:r w:rsidR="00C7611D" w:rsidRPr="005B1CCB">
        <w:rPr>
          <w:rFonts w:ascii="Palatino Linotype" w:hAnsi="Palatino Linotype" w:cs="Times New Roman"/>
          <w:sz w:val="24"/>
          <w:szCs w:val="24"/>
        </w:rPr>
        <w:fldChar w:fldCharType="separate"/>
      </w:r>
      <w:r w:rsidR="00A14F72" w:rsidRPr="005B1CCB">
        <w:rPr>
          <w:rFonts w:ascii="Palatino Linotype" w:hAnsi="Palatino Linotype" w:cs="Times New Roman"/>
          <w:noProof/>
          <w:sz w:val="24"/>
          <w:szCs w:val="24"/>
        </w:rPr>
        <w:t>[3]</w:t>
      </w:r>
      <w:r w:rsidR="00C7611D" w:rsidRPr="005B1CCB">
        <w:rPr>
          <w:rFonts w:ascii="Palatino Linotype" w:hAnsi="Palatino Linotype" w:cs="Times New Roman"/>
          <w:sz w:val="24"/>
          <w:szCs w:val="24"/>
        </w:rPr>
        <w:fldChar w:fldCharType="end"/>
      </w:r>
      <w:r w:rsidR="00C7611D" w:rsidRPr="005B1CCB">
        <w:rPr>
          <w:rFonts w:ascii="Palatino Linotype" w:hAnsi="Palatino Linotype" w:cs="Times New Roman"/>
          <w:sz w:val="24"/>
          <w:szCs w:val="24"/>
        </w:rPr>
        <w:t>. After undergoing cancer treatment</w:t>
      </w:r>
      <w:r w:rsidR="00C15A2A" w:rsidRPr="005B1CCB">
        <w:rPr>
          <w:rFonts w:ascii="Palatino Linotype" w:hAnsi="Palatino Linotype" w:cs="Times New Roman"/>
          <w:sz w:val="24"/>
          <w:szCs w:val="24"/>
        </w:rPr>
        <w:t>,</w:t>
      </w:r>
      <w:r w:rsidR="00C7611D" w:rsidRPr="005B1CCB">
        <w:rPr>
          <w:rFonts w:ascii="Palatino Linotype" w:hAnsi="Palatino Linotype" w:cs="Times New Roman"/>
          <w:sz w:val="24"/>
          <w:szCs w:val="24"/>
        </w:rPr>
        <w:t xml:space="preserve"> which can be intense, a quick and non-invasive method will be desirable for monitoring the patient’s response to treatment. </w:t>
      </w:r>
    </w:p>
    <w:p w14:paraId="01ECD188" w14:textId="77777777" w:rsidR="00DE712F" w:rsidRPr="005B1CCB" w:rsidRDefault="00DE712F" w:rsidP="0052183A">
      <w:pPr>
        <w:spacing w:line="360" w:lineRule="auto"/>
        <w:jc w:val="both"/>
        <w:rPr>
          <w:rFonts w:ascii="Palatino Linotype" w:hAnsi="Palatino Linotype" w:cs="Times New Roman"/>
        </w:rPr>
      </w:pPr>
    </w:p>
    <w:p w14:paraId="752F08B3" w14:textId="77777777" w:rsidR="00956C61" w:rsidRPr="005B1CCB" w:rsidRDefault="00956C61" w:rsidP="00956C61">
      <w:pPr>
        <w:pStyle w:val="Heading3"/>
      </w:pPr>
      <w:bookmarkStart w:id="16" w:name="_Toc84528032"/>
      <w:r w:rsidRPr="005B1CCB">
        <w:t>Cancer pathophysiology and stages</w:t>
      </w:r>
      <w:bookmarkEnd w:id="16"/>
    </w:p>
    <w:p w14:paraId="286DA102" w14:textId="0633849A" w:rsidR="00956C61" w:rsidRPr="005B1CCB" w:rsidRDefault="00956C61" w:rsidP="00956C61">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Cancer results from the continuous, unregulated proliferation of any of the different kinds of cells in the body. Cancer defines a group of over 150 disease processes and variable tissue responses that causes cancer cells to </w:t>
      </w:r>
      <w:r w:rsidR="002439F6">
        <w:rPr>
          <w:rFonts w:ascii="Palatino Linotype" w:hAnsi="Palatino Linotype" w:cs="Times New Roman"/>
          <w:sz w:val="24"/>
          <w:szCs w:val="24"/>
        </w:rPr>
        <w:t xml:space="preserve">invade </w:t>
      </w:r>
      <w:r w:rsidRPr="005B1CCB">
        <w:rPr>
          <w:rFonts w:ascii="Palatino Linotype" w:hAnsi="Palatino Linotype" w:cs="Times New Roman"/>
          <w:sz w:val="24"/>
          <w:szCs w:val="24"/>
        </w:rPr>
        <w:t xml:space="preserve">adjacent structures, destroy surrounding tissues and organs and migrate to different sites in the body via a process called ‘metastasis’. The main sites of cancer metastases are the bone, lymph nodes, the brain, liver, and lungs. Cancer is an uncontrollable somatic cell proliferation which stems from the progressive accumulation of random mutations in genes that regulate cell growth and differentiation </w:t>
      </w:r>
      <w:r w:rsidRPr="005B1CCB">
        <w:rPr>
          <w:rFonts w:ascii="Palatino Linotype" w:hAnsi="Palatino Linotype" w:cs="Times New Roman"/>
          <w:sz w:val="24"/>
          <w:szCs w:val="24"/>
        </w:rPr>
        <w:fldChar w:fldCharType="begin" w:fldLock="1"/>
      </w:r>
      <w:r w:rsidR="005C57DA" w:rsidRPr="005B1CCB">
        <w:rPr>
          <w:rFonts w:ascii="Palatino Linotype" w:hAnsi="Palatino Linotype" w:cs="Times New Roman"/>
          <w:sz w:val="24"/>
          <w:szCs w:val="24"/>
        </w:rPr>
        <w:instrText>ADDIN CSL_CITATION {"citationItems":[{"id":"ITEM-1","itemData":{"DOI":"10.1007/s10555-011-9342-8","PMID":"22179983","abstract":"Several observations have led us to a new hypothesis for cancer mechanism. First, that cancer appears only on those multicellular organisms with complicated wound-healing capacities. Second, that wounds considered as risk factors can be identified in all cancers in clinics. And finally, that oncogene activation appears not only in cancer, but also in normal physiology and noncancer pathology processes. Our proposed hypothesis is that cancer is a natural wound healing-related process, which includes oncogene activations, cytokine secretions, stem cell recruitment differentiation, and tissue remodeling. Wounds activate oncogenes of some cells and the latter secrete cytokines to recruit stem cells to heal the wounds. However, if the cause of the wound or if the wound persists, such as under the persistent UV and carcinogen exposures, the continuous wound healing process will lead to a clinical cancer mass. There is no system in nature to stop or reverse the wound healing process in the middle stage when the wound exists. The outcome of the cancer mechanism is either healing the wound or exhausting the whole system (death). The logic of this cancer mechanism is consistent with the rationales of the other physiological metabolisms in the body-for survival. This hypothesis helps to understand many cancer mysteries derived from the mutation theory, such as why cancer only exists in a small proportion of multicellular organisms, although they are all under potential mutation risks during DNA replications. The hypothesis can be used to interpret and guide cancer prevention, recurrence, metastasis, in vitro and in vivo studies, and personalized treatments.","author":[{"dropping-particle":"","family":"Meng","given":"Xiaolong","non-dropping-particle":"","parse-names":false,"suffix":""},{"dropping-particle":"","family":"Zhong","given":"Jie","non-dropping-particle":"","parse-names":false,"suffix":""},{"dropping-particle":"","family":"Liu","given":"Shuying","non-dropping-particle":"","parse-names":false,"suffix":""},{"dropping-particle":"","family":"Murray","given":"Mollianne","non-dropping-particle":"","parse-names":false,"suffix":""},{"dropping-particle":"","family":"Gonzalez-Angulo","given":"Ana M","non-dropping-particle":"","parse-names":false,"suffix":""}],"container-title":"Cancer metastasis reviews","id":"ITEM-1","issue":"1-2","issued":{"date-parts":[["2012","6"]]},"page":"247-68","publisher":"Springer","title":"A new hypothesis for the cancer mechanism.","type":"article-journal","volume":"31"},"uris":["http://www.mendeley.com/documents/?uuid=6c241f47-6a97-3cd1-883e-12f45abad75b"]}],"mendeley":{"formattedCitation":"[4]","plainTextFormattedCitation":"[4]","previouslyFormattedCitation":"[4]"},"properties":{"noteIndex":0},"schema":"https://github.com/citation-style-language/schema/raw/master/csl-citation.json"}</w:instrText>
      </w:r>
      <w:r w:rsidRPr="005B1CCB">
        <w:rPr>
          <w:rFonts w:ascii="Palatino Linotype" w:hAnsi="Palatino Linotype" w:cs="Times New Roman"/>
          <w:sz w:val="24"/>
          <w:szCs w:val="24"/>
        </w:rPr>
        <w:fldChar w:fldCharType="separate"/>
      </w:r>
      <w:r w:rsidR="005C57DA" w:rsidRPr="005B1CCB">
        <w:rPr>
          <w:rFonts w:ascii="Palatino Linotype" w:hAnsi="Palatino Linotype" w:cs="Times New Roman"/>
          <w:noProof/>
          <w:sz w:val="24"/>
          <w:szCs w:val="24"/>
        </w:rPr>
        <w:t>[4]</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p>
    <w:p w14:paraId="10C69C60" w14:textId="77777777" w:rsidR="00956C61" w:rsidRPr="005B1CCB" w:rsidRDefault="00956C61" w:rsidP="00956C61">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Early detection of cancers at a point when the disease is easily treatable helps reduce the rate of morbidity. Cancer staging describes the size of a cancer and how far it has grown. The 2 main types of staging systems for cancer are TNM (Tumour, Node and Metastasis) and the number system  </w:t>
      </w:r>
      <w:r w:rsidRPr="005B1CCB">
        <w:rPr>
          <w:rFonts w:ascii="Palatino Linotype" w:hAnsi="Palatino Linotype" w:cs="Times New Roman"/>
          <w:sz w:val="24"/>
          <w:szCs w:val="24"/>
        </w:rPr>
        <w:fldChar w:fldCharType="begin" w:fldLock="1"/>
      </w:r>
      <w:r w:rsidR="005C57DA" w:rsidRPr="005B1CCB">
        <w:rPr>
          <w:rFonts w:ascii="Palatino Linotype" w:hAnsi="Palatino Linotype" w:cs="Times New Roman"/>
          <w:sz w:val="24"/>
          <w:szCs w:val="24"/>
        </w:rPr>
        <w:instrText>ADDIN CSL_CITATION {"citationItems":[{"id":"ITEM-1","itemData":{"URL":"https://www.cancerresearchuk.org/about-cancer/what-is-cancer/stages-of-cancer","author":[{"dropping-particle":"","family":"Cancer Research UK","given":"","non-dropping-particle":"","parse-names":false,"suffix":""}],"id":"ITEM-1","issued":{"date-parts":[["2020"]]},"title":"Stages of cancer","type":"webpage"},"uris":["http://www.mendeley.com/documents/?uuid=18ce459b-73b3-4a54-8499-0b0e3846090f"]}],"mendeley":{"formattedCitation":"[5]","plainTextFormattedCitation":"[5]","previouslyFormattedCitation":"[5]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C57DA" w:rsidRPr="005B1CCB">
        <w:rPr>
          <w:rFonts w:ascii="Palatino Linotype" w:hAnsi="Palatino Linotype" w:cs="Times New Roman"/>
          <w:noProof/>
          <w:sz w:val="24"/>
          <w:szCs w:val="24"/>
        </w:rPr>
        <w:t>[5]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The number system which is routinely used ranges from stage 1-4 and can be further divided into categories using letters. </w:t>
      </w:r>
    </w:p>
    <w:p w14:paraId="2E69CFC4" w14:textId="77777777" w:rsidR="00956C61" w:rsidRPr="005B1CCB" w:rsidRDefault="00956C61" w:rsidP="00956C61">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Stage 1 means the cancer is quite small and held within the organ it started in</w:t>
      </w:r>
    </w:p>
    <w:p w14:paraId="2C545138" w14:textId="77777777" w:rsidR="00956C61" w:rsidRPr="005B1CCB" w:rsidRDefault="00956C61" w:rsidP="00956C61">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Stage 2 means the tumour is larger than stage 1 but has not spread to surrounding tissues but might be found in lymph nodes depending on the type of cancer. </w:t>
      </w:r>
    </w:p>
    <w:p w14:paraId="39BCA1F8" w14:textId="77777777" w:rsidR="00956C61" w:rsidRPr="005B1CCB" w:rsidRDefault="00956C61" w:rsidP="00956C61">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Stage 3 means the cancer is larger and has spread to both surrounding tissues and the lymph nodes</w:t>
      </w:r>
    </w:p>
    <w:p w14:paraId="149E6BA8" w14:textId="77777777" w:rsidR="00956C61" w:rsidRPr="005B1CCB" w:rsidRDefault="00956C61" w:rsidP="00956C61">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Stage 4 which is also referred to as metastatic cancer means the cancer has spread from where it began to another organ of the body </w:t>
      </w:r>
      <w:r w:rsidRPr="005B1CCB">
        <w:rPr>
          <w:rFonts w:ascii="Palatino Linotype" w:hAnsi="Palatino Linotype" w:cs="Times New Roman"/>
          <w:sz w:val="24"/>
          <w:szCs w:val="24"/>
        </w:rPr>
        <w:fldChar w:fldCharType="begin" w:fldLock="1"/>
      </w:r>
      <w:r w:rsidR="005C57DA" w:rsidRPr="005B1CCB">
        <w:rPr>
          <w:rFonts w:ascii="Palatino Linotype" w:hAnsi="Palatino Linotype" w:cs="Times New Roman"/>
          <w:sz w:val="24"/>
          <w:szCs w:val="24"/>
        </w:rPr>
        <w:instrText>ADDIN CSL_CITATION {"citationItems":[{"id":"ITEM-1","itemData":{"URL":"https://www.cancerresearchuk.org/about-cancer/what-is-cancer/stages-of-cancer","author":[{"dropping-particle":"","family":"Cancer Research UK","given":"","non-dropping-particle":"","parse-names":false,"suffix":""}],"id":"ITEM-1","issued":{"date-parts":[["2020"]]},"title":"Stages of cancer","type":"webpage"},"uris":["http://www.mendeley.com/documents/?uuid=18ce459b-73b3-4a54-8499-0b0e3846090f"]}],"mendeley":{"formattedCitation":"[5]","plainTextFormattedCitation":"[5]","previouslyFormattedCitation":"[5]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C57DA" w:rsidRPr="005B1CCB">
        <w:rPr>
          <w:rFonts w:ascii="Palatino Linotype" w:hAnsi="Palatino Linotype" w:cs="Times New Roman"/>
          <w:noProof/>
          <w:sz w:val="24"/>
          <w:szCs w:val="24"/>
        </w:rPr>
        <w:t>[5]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p>
    <w:p w14:paraId="1C94C73A" w14:textId="77777777" w:rsidR="00D345BA" w:rsidRPr="005B1CCB" w:rsidRDefault="00D345BA" w:rsidP="00956C61">
      <w:pPr>
        <w:spacing w:line="360" w:lineRule="auto"/>
        <w:jc w:val="both"/>
        <w:rPr>
          <w:rFonts w:ascii="Palatino Linotype" w:hAnsi="Palatino Linotype" w:cs="Times New Roman"/>
          <w:sz w:val="24"/>
          <w:szCs w:val="24"/>
        </w:rPr>
      </w:pPr>
    </w:p>
    <w:p w14:paraId="12ABC295" w14:textId="77777777" w:rsidR="0092678B" w:rsidRPr="005B1CCB" w:rsidRDefault="0092678B" w:rsidP="00D71969">
      <w:pPr>
        <w:pStyle w:val="Heading3"/>
      </w:pPr>
      <w:bookmarkStart w:id="17" w:name="_Toc84528033"/>
      <w:r w:rsidRPr="005B1CCB">
        <w:t>Gene</w:t>
      </w:r>
      <w:r w:rsidR="000C6D3F" w:rsidRPr="005B1CCB">
        <w:t>tic</w:t>
      </w:r>
      <w:r w:rsidRPr="005B1CCB">
        <w:t xml:space="preserve"> topography of cancer</w:t>
      </w:r>
      <w:bookmarkEnd w:id="17"/>
    </w:p>
    <w:p w14:paraId="62547EAE" w14:textId="77777777" w:rsidR="000361ED" w:rsidRPr="005B1CCB" w:rsidRDefault="00C87063" w:rsidP="000361ED">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956C61" w:rsidRPr="005B1CCB">
        <w:rPr>
          <w:rFonts w:ascii="Palatino Linotype" w:hAnsi="Palatino Linotype" w:cs="Times New Roman"/>
          <w:sz w:val="24"/>
          <w:szCs w:val="24"/>
        </w:rPr>
        <w:t xml:space="preserve">Cancer is a genetic disease by nature, caused by mutations in certain genes thereby resulting in cellular malfunction </w:t>
      </w:r>
      <w:r w:rsidR="00956C61" w:rsidRPr="005B1CCB">
        <w:rPr>
          <w:rFonts w:ascii="Palatino Linotype" w:hAnsi="Palatino Linotype" w:cs="Times New Roman"/>
          <w:sz w:val="24"/>
          <w:szCs w:val="24"/>
        </w:rPr>
        <w:fldChar w:fldCharType="begin" w:fldLock="1"/>
      </w:r>
      <w:r w:rsidR="005C57DA" w:rsidRPr="005B1CCB">
        <w:rPr>
          <w:rFonts w:ascii="Palatino Linotype" w:hAnsi="Palatino Linotype" w:cs="Times New Roman"/>
          <w:sz w:val="24"/>
          <w:szCs w:val="24"/>
        </w:rPr>
        <w:instrText>ADDIN CSL_CITATION {"citationItems":[{"id":"ITEM-1","itemData":{"URL":"https://www.cancer.gov/about-cancer/causes-prevention/genetics","author":[{"dropping-particle":"","family":"National Cancer Institute","given":"","non-dropping-particle":"","parse-names":false,"suffix":""}],"container-title":"Genetic Changes and Cancer","id":"ITEM-1","issued":{"date-parts":[["2019"]]},"title":"Genetic Changes and Cancer","type":"webpage"},"uris":["http://www.mendeley.com/documents/?uuid=f487e97d-1d32-4f79-bd01-c80d7daa3e9b"]}],"mendeley":{"formattedCitation":"[6]","plainTextFormattedCitation":"[6]","previouslyFormattedCitation":"[6]"},"properties":{"noteIndex":0},"schema":"https://github.com/citation-style-language/schema/raw/master/csl-citation.json"}</w:instrText>
      </w:r>
      <w:r w:rsidR="00956C61" w:rsidRPr="005B1CCB">
        <w:rPr>
          <w:rFonts w:ascii="Palatino Linotype" w:hAnsi="Palatino Linotype" w:cs="Times New Roman"/>
          <w:sz w:val="24"/>
          <w:szCs w:val="24"/>
        </w:rPr>
        <w:fldChar w:fldCharType="separate"/>
      </w:r>
      <w:r w:rsidR="005C57DA" w:rsidRPr="005B1CCB">
        <w:rPr>
          <w:rFonts w:ascii="Palatino Linotype" w:hAnsi="Palatino Linotype" w:cs="Times New Roman"/>
          <w:noProof/>
          <w:sz w:val="24"/>
          <w:szCs w:val="24"/>
        </w:rPr>
        <w:t>[6]</w:t>
      </w:r>
      <w:r w:rsidR="00956C61" w:rsidRPr="005B1CCB">
        <w:rPr>
          <w:rFonts w:ascii="Palatino Linotype" w:hAnsi="Palatino Linotype" w:cs="Times New Roman"/>
          <w:sz w:val="24"/>
          <w:szCs w:val="24"/>
        </w:rPr>
        <w:fldChar w:fldCharType="end"/>
      </w:r>
      <w:r w:rsidR="00956C61" w:rsidRPr="005B1CCB">
        <w:rPr>
          <w:rFonts w:ascii="Palatino Linotype" w:hAnsi="Palatino Linotype" w:cs="Times New Roman"/>
          <w:sz w:val="24"/>
          <w:szCs w:val="24"/>
        </w:rPr>
        <w:t xml:space="preserve">. Insertions or deletions of nucleotides are usual polymorphic alterations in the human genome and mutation-originated sequence variations have been shown to play important precursor role in the development of cancer </w:t>
      </w:r>
      <w:r w:rsidR="00956C61" w:rsidRPr="005B1CCB">
        <w:rPr>
          <w:rFonts w:ascii="Palatino Linotype" w:hAnsi="Palatino Linotype" w:cs="Times New Roman"/>
          <w:sz w:val="24"/>
          <w:szCs w:val="24"/>
        </w:rPr>
        <w:fldChar w:fldCharType="begin" w:fldLock="1"/>
      </w:r>
      <w:r w:rsidR="005C57DA" w:rsidRPr="005B1CCB">
        <w:rPr>
          <w:rFonts w:ascii="Palatino Linotype" w:hAnsi="Palatino Linotype" w:cs="Times New Roman"/>
          <w:sz w:val="24"/>
          <w:szCs w:val="24"/>
        </w:rPr>
        <w:instrText>ADDIN CSL_CITATION {"citationItems":[{"id":"ITEM-1","itemData":{"DOI":"10.1007/978-1-4020-6040-3_9","ISBN":"978-1-4020-6040-3","abstract":"This group of methods is aimed at the identification of single nucleotide-scale differences between the comparing DNA samples. Mutation and polymorphism detection is of increasing importance in the field of molecular genetics because the study of mutations reveals the normal functions of genes, proteins, noncoding RNAs, the causes of many malignancies, and the variability of responses among individuals. A plethora of single nucleotide polymorphisms (SNPs) are not deleterious by themselves, but are linked to phenotypes associated with diseases and drug responses, thus providing a great opportunity for their use in large-scale association and population studies. Millions of SNPs have been identified in recent years. However, this figure seems negligible compared to the real number of SNPs and other mutations presented in the genomes. Many mutation discovery methods quickly and effectively indicate the presence of a mutation in a sample region, but fail to resolve its characterization and localization; another family of methods permits precise mutation mapping, but in a greatly more laborious and expensive way. The group of novel approaches for mutation detection, which combines high performance, cost-efficiency, reliability, and detailed mutation characterization, will be reviewed in this chapter.","author":[{"dropping-particle":"","family":"Buzdin","given":"Anton A","non-dropping-particle":"","parse-names":false,"suffix":""}],"editor":[{"dropping-particle":"","family":"Buzdin","given":"Anton A","non-dropping-particle":"","parse-names":false,"suffix":""},{"dropping-particle":"","family":"Lukyanov","given":"Sergey A","non-dropping-particle":"","parse-names":false,"suffix":""}],"id":"ITEM-1","issued":{"date-parts":[["2007"]]},"page":"211-239","publisher":"Springer Netherlands","publisher-place":"Dordrecht","title":"DNA Hybridization in Solution for Mutation Detection BT  - Nucleic Acids Hybridization Modern Applications","type":"chapter"},"uris":["http://www.mendeley.com/documents/?uuid=95c18279-8fc3-4a39-b78e-d7f92a3d2430"]}],"mendeley":{"formattedCitation":"[7]","plainTextFormattedCitation":"[7]","previouslyFormattedCitation":"[7]"},"properties":{"noteIndex":0},"schema":"https://github.com/citation-style-language/schema/raw/master/csl-citation.json"}</w:instrText>
      </w:r>
      <w:r w:rsidR="00956C61" w:rsidRPr="005B1CCB">
        <w:rPr>
          <w:rFonts w:ascii="Palatino Linotype" w:hAnsi="Palatino Linotype" w:cs="Times New Roman"/>
          <w:sz w:val="24"/>
          <w:szCs w:val="24"/>
        </w:rPr>
        <w:fldChar w:fldCharType="separate"/>
      </w:r>
      <w:r w:rsidR="005C57DA" w:rsidRPr="005B1CCB">
        <w:rPr>
          <w:rFonts w:ascii="Palatino Linotype" w:hAnsi="Palatino Linotype" w:cs="Times New Roman"/>
          <w:noProof/>
          <w:sz w:val="24"/>
          <w:szCs w:val="24"/>
        </w:rPr>
        <w:t>[7]</w:t>
      </w:r>
      <w:r w:rsidR="00956C61" w:rsidRPr="005B1CCB">
        <w:rPr>
          <w:rFonts w:ascii="Palatino Linotype" w:hAnsi="Palatino Linotype" w:cs="Times New Roman"/>
          <w:sz w:val="24"/>
          <w:szCs w:val="24"/>
        </w:rPr>
        <w:fldChar w:fldCharType="end"/>
      </w:r>
      <w:r w:rsidR="00956C61" w:rsidRPr="005B1CCB">
        <w:rPr>
          <w:rFonts w:ascii="Palatino Linotype" w:hAnsi="Palatino Linotype" w:cs="Times New Roman"/>
          <w:sz w:val="24"/>
          <w:szCs w:val="24"/>
        </w:rPr>
        <w:t xml:space="preserve">. </w:t>
      </w:r>
      <w:r w:rsidR="00956C61" w:rsidRPr="004F538A">
        <w:rPr>
          <w:rFonts w:ascii="Palatino Linotype" w:hAnsi="Palatino Linotype" w:cs="Times New Roman"/>
          <w:sz w:val="24"/>
          <w:szCs w:val="24"/>
        </w:rPr>
        <w:t>G</w:t>
      </w:r>
      <w:r w:rsidR="000361ED" w:rsidRPr="004F538A">
        <w:rPr>
          <w:rFonts w:ascii="Palatino Linotype" w:hAnsi="Palatino Linotype" w:cs="Times New Roman"/>
          <w:sz w:val="24"/>
          <w:szCs w:val="24"/>
        </w:rPr>
        <w:t xml:space="preserve">enetic mutations can be ‘acquired’ from damage to genes in a particular cell in the course of one’s life (‘Somatic’) or passed from one generation to the next through a sperm or egg cell (‘Germline’). Mutations in a DNA can take the form of insertions, deletions or substitutions. </w:t>
      </w:r>
      <w:r w:rsidR="00D63BAA" w:rsidRPr="004F538A">
        <w:rPr>
          <w:rFonts w:ascii="Palatino Linotype" w:hAnsi="Palatino Linotype" w:cs="Times New Roman"/>
          <w:sz w:val="24"/>
          <w:szCs w:val="24"/>
        </w:rPr>
        <w:t>With the complete sequence of nucleotide bases in normal human DNA, a ‘missense’ refers to a substitution mutation that alters the amino acid at a particular position, resulting in an alternate codon</w:t>
      </w:r>
      <w:r w:rsidR="002918D3" w:rsidRPr="005B1CCB">
        <w:rPr>
          <w:rFonts w:ascii="Palatino Linotype" w:hAnsi="Palatino Linotype" w:cs="Times New Roman"/>
          <w:sz w:val="24"/>
          <w:szCs w:val="24"/>
        </w:rPr>
        <w:t xml:space="preserve"> </w:t>
      </w:r>
      <w:r w:rsidR="002918D3" w:rsidRPr="005B1CCB">
        <w:rPr>
          <w:rFonts w:ascii="Palatino Linotype" w:hAnsi="Palatino Linotype" w:cs="Times New Roman"/>
          <w:sz w:val="24"/>
          <w:szCs w:val="24"/>
        </w:rPr>
        <w:fldChar w:fldCharType="begin" w:fldLock="1"/>
      </w:r>
      <w:r w:rsidR="002918D3" w:rsidRPr="005B1CCB">
        <w:rPr>
          <w:rFonts w:ascii="Palatino Linotype" w:hAnsi="Palatino Linotype" w:cs="Times New Roman"/>
          <w:sz w:val="24"/>
          <w:szCs w:val="24"/>
        </w:rPr>
        <w:instrText>ADDIN CSL_CITATION {"citationItems":[{"id":"ITEM-1","itemData":{"abstract":"Author summary An individual genome contains around ten thousand missense variants, hundreds of insertion/deletion variants, and dozens of protein truncating variants. Among them, non-frameshifting insertion and deletion variants exhibit diverse impact on protein sequence, encompassing alterations from a single residue to the deletion of entire functional domains. Although the majority of revealed insertion/deletions have unknown phenotypic consequences, computational variant effect prediction methods are less well-described for such variation. To this end, we develop MutPred-Indel, a machine learning method to predict the pathogenicity of non-frameshifting insertion/deletion variation and, in addition, highlight structural and functional mechanisms potentially impacted by a given variant. We identify several functionally important molecular mechanisms that are impacted differently among germline, de novo, and somatic variation in contrast to putatively neutral variation. MutPred-Indel is shown to have strong performance in pathogenicity prediction and potential to identify impacted molecular features, which collectively facilitates a deeper understanding of non-frameshifting insertion/deletion variation.","author":[{"dropping-particle":"","family":"Pagel","given":"Kymberleigh A","non-dropping-particle":"","parse-names":false,"suffix":""},{"dropping-particle":"","family":"Antaki","given":"Danny","non-dropping-particle":"","parse-names":false,"suffix":""},{"dropping-particle":"","family":"Lian","given":"AoJie","non-dropping-particle":"","parse-names":false,"suffix":""},{"dropping-particle":"","family":"Mort","given":"Matthew","non-dropping-particle":"","parse-names":false,"suffix":""},{"dropping-particle":"","family":"Cooper","given":"David N","non-dropping-particle":"","parse-names":false,"suffix":""},{"dropping-particle":"","family":"Sebat","given":"Jonathan","non-dropping-particle":"","parse-names":false,"suffix":""},{"dropping-particle":"","family":"Iakoucheva","given":"Lilia M","non-dropping-particle":"","parse-names":false,"suffix":""},{"dropping-particle":"","family":"Mooney","given":"Sean D","non-dropping-particle":"","parse-names":false,"suffix":""},{"dropping-particle":"","family":"Radivojac","given":"Predrag","non-dropping-particle":"","parse-names":false,"suffix":""}],"container-title":"PLOS Computational Biology","id":"ITEM-1","issue":"6","issued":{"date-parts":[["2019","6","14"]]},"page":"e1007112","publisher":"Public Library of Science","title":"Pathogenicity and functional impact of non-frameshifting insertion/deletion variation in the human genome","type":"article-journal","volume":"15"},"uris":["http://www.mendeley.com/documents/?uuid=39be1d8b-8d6c-46c0-abec-8f7b313aea52"]}],"mendeley":{"formattedCitation":"[8]","plainTextFormattedCitation":"[8]","previouslyFormattedCitation":"[8]"},"properties":{"noteIndex":0},"schema":"https://github.com/citation-style-language/schema/raw/master/csl-citation.json"}</w:instrText>
      </w:r>
      <w:r w:rsidR="002918D3" w:rsidRPr="005B1CCB">
        <w:rPr>
          <w:rFonts w:ascii="Palatino Linotype" w:hAnsi="Palatino Linotype" w:cs="Times New Roman"/>
          <w:sz w:val="24"/>
          <w:szCs w:val="24"/>
        </w:rPr>
        <w:fldChar w:fldCharType="separate"/>
      </w:r>
      <w:r w:rsidR="002918D3" w:rsidRPr="005B1CCB">
        <w:rPr>
          <w:rFonts w:ascii="Palatino Linotype" w:hAnsi="Palatino Linotype" w:cs="Times New Roman"/>
          <w:noProof/>
          <w:sz w:val="24"/>
          <w:szCs w:val="24"/>
        </w:rPr>
        <w:t>[8]</w:t>
      </w:r>
      <w:r w:rsidR="002918D3" w:rsidRPr="005B1CCB">
        <w:rPr>
          <w:rFonts w:ascii="Palatino Linotype" w:hAnsi="Palatino Linotype" w:cs="Times New Roman"/>
          <w:sz w:val="24"/>
          <w:szCs w:val="24"/>
        </w:rPr>
        <w:fldChar w:fldCharType="end"/>
      </w:r>
      <w:r w:rsidR="002918D3" w:rsidRPr="005B1CCB">
        <w:rPr>
          <w:rFonts w:ascii="Palatino Linotype" w:hAnsi="Palatino Linotype" w:cs="Times New Roman"/>
          <w:sz w:val="24"/>
          <w:szCs w:val="24"/>
        </w:rPr>
        <w:t xml:space="preserve"> </w:t>
      </w:r>
      <w:r w:rsidR="002918D3" w:rsidRPr="005B1CCB">
        <w:rPr>
          <w:rFonts w:ascii="Palatino Linotype" w:hAnsi="Palatino Linotype" w:cs="Times New Roman"/>
          <w:sz w:val="24"/>
          <w:szCs w:val="24"/>
        </w:rPr>
        <w:fldChar w:fldCharType="begin" w:fldLock="1"/>
      </w:r>
      <w:r w:rsidR="00252D58" w:rsidRPr="005B1CCB">
        <w:rPr>
          <w:rFonts w:ascii="Palatino Linotype" w:hAnsi="Palatino Linotype" w:cs="Times New Roman"/>
          <w:sz w:val="24"/>
          <w:szCs w:val="24"/>
        </w:rPr>
        <w:instrText>ADDIN CSL_CITATION {"citationItems":[{"id":"ITEM-1","itemData":{"DOI":"10.1186/s13062-016-0125-6","ISSN":"1745-6150","abstract":"BACKGROUND: Recent advances in sequencing technologies enable the large-scale identification of genes that are affected by various genetic alterations in cancer. However, understanding tumor development requires insights into how these changes cause altered protein function and impaired network regulation in general and/or in specific cancer types. RESULTS: In this work we present a novel method called iSiMPRe that identifies regions that are significantly enriched in somatic mutations and short in-frame insertions or deletions (indels). Applying this unbiased method to the complete human proteome, by using data enriched through various cancer genome projects, we identified around 500 protein regions which could be linked to one or more of 27 distinct cancer types. These regions covered the majority of known cancer genes, surprisingly even tumor suppressors. Additionally, iSiMPRe also identified novel genes and regions that have not yet been associated with cancer. CONCLUSIONS: While local somatic mutations correspond to only a subset of genetic variations that can lead to cancer, our systematic analyses revealed that they represent an accompanying feature of most cancer driver genes regardless of the primary mechanism by which they are perturbed during tumorigenesis. These results indicate that the accumulation of local somatic mutations can be used to pinpoint genes responsible for cancer formation and can also help to understand the effect of cancer mutations at the level of functional modules in a broad range of cancer driver genes. REVIEWERS: This article was reviewed by Sándor Pongor, Michael Gromiha and Zoltán Gáspári.","author":[{"dropping-particle":"","family":"Mészáros","given":"Bálint","non-dropping-particle":"","parse-names":false,"suffix":""},{"dropping-particle":"","family":"Zeke","given":"András","non-dropping-particle":"","parse-names":false,"suffix":""},{"dropping-particle":"","family":"Reményi","given":"Attila","non-dropping-particle":"","parse-names":false,"suffix":""},{"dropping-particle":"","family":"Simon","given":"István","non-dropping-particle":"","parse-names":false,"suffix":""},{"dropping-particle":"","family":"Dosztányi","given":"Zsuzsanna","non-dropping-particle":"","parse-names":false,"suffix":""}],"container-title":"Biology direct","id":"ITEM-1","issued":{"date-parts":[["2016","5","5"]]},"language":"eng","page":"23","publisher":"BioMed Central","title":"Systematic analysis of somatic mutations driving cancer: uncovering functional protein regions in disease development","type":"article-journal","volume":"11"},"uris":["http://www.mendeley.com/documents/?uuid=512585bd-6b56-41b2-a0e8-fa3c8eacf861"]}],"mendeley":{"formattedCitation":"[9]","plainTextFormattedCitation":"[9]","previouslyFormattedCitation":"[9]"},"properties":{"noteIndex":0},"schema":"https://github.com/citation-style-language/schema/raw/master/csl-citation.json"}</w:instrText>
      </w:r>
      <w:r w:rsidR="002918D3" w:rsidRPr="005B1CCB">
        <w:rPr>
          <w:rFonts w:ascii="Palatino Linotype" w:hAnsi="Palatino Linotype" w:cs="Times New Roman"/>
          <w:sz w:val="24"/>
          <w:szCs w:val="24"/>
        </w:rPr>
        <w:fldChar w:fldCharType="separate"/>
      </w:r>
      <w:r w:rsidR="002918D3" w:rsidRPr="005B1CCB">
        <w:rPr>
          <w:rFonts w:ascii="Palatino Linotype" w:hAnsi="Palatino Linotype" w:cs="Times New Roman"/>
          <w:noProof/>
          <w:sz w:val="24"/>
          <w:szCs w:val="24"/>
        </w:rPr>
        <w:t>[9]</w:t>
      </w:r>
      <w:r w:rsidR="002918D3" w:rsidRPr="005B1CCB">
        <w:rPr>
          <w:rFonts w:ascii="Palatino Linotype" w:hAnsi="Palatino Linotype" w:cs="Times New Roman"/>
          <w:sz w:val="24"/>
          <w:szCs w:val="24"/>
        </w:rPr>
        <w:fldChar w:fldCharType="end"/>
      </w:r>
      <w:r w:rsidR="002918D3" w:rsidRPr="005B1CCB">
        <w:rPr>
          <w:rFonts w:ascii="Palatino Linotype" w:hAnsi="Palatino Linotype" w:cs="Times New Roman"/>
          <w:sz w:val="24"/>
          <w:szCs w:val="24"/>
        </w:rPr>
        <w:t xml:space="preserve">. </w:t>
      </w:r>
    </w:p>
    <w:p w14:paraId="5E8CCE06" w14:textId="0172B548" w:rsidR="0092678B" w:rsidRPr="005B1CCB" w:rsidRDefault="000361ED" w:rsidP="0092678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92678B" w:rsidRPr="005B1CCB">
        <w:rPr>
          <w:rFonts w:ascii="Palatino Linotype" w:hAnsi="Palatino Linotype" w:cs="Times New Roman"/>
          <w:sz w:val="24"/>
          <w:szCs w:val="24"/>
        </w:rPr>
        <w:t>DNA contains four different nucleotide bases: Guanine (G), Cy</w:t>
      </w:r>
      <w:r w:rsidR="00EF289B" w:rsidRPr="005B1CCB">
        <w:rPr>
          <w:rFonts w:ascii="Palatino Linotype" w:hAnsi="Palatino Linotype" w:cs="Times New Roman"/>
          <w:sz w:val="24"/>
          <w:szCs w:val="24"/>
        </w:rPr>
        <w:t>tosine</w:t>
      </w:r>
      <w:r w:rsidR="0092678B" w:rsidRPr="005B1CCB">
        <w:rPr>
          <w:rFonts w:ascii="Palatino Linotype" w:hAnsi="Palatino Linotype" w:cs="Times New Roman"/>
          <w:sz w:val="24"/>
          <w:szCs w:val="24"/>
        </w:rPr>
        <w:t xml:space="preserve"> (C), Adenine (A), and Thymine (T) which gives rise to genetic sequences. The genetic code is found in the nucleus of every cell in the human body and individual genes control how cells work by making and regulating proteins which fulfil a number of specific functions within the cells </w:t>
      </w:r>
      <w:r w:rsidR="0092678B" w:rsidRPr="005B1CCB">
        <w:rPr>
          <w:rFonts w:ascii="Palatino Linotype" w:hAnsi="Palatino Linotype" w:cs="Times New Roman"/>
          <w:sz w:val="24"/>
          <w:szCs w:val="24"/>
        </w:rPr>
        <w:fldChar w:fldCharType="begin" w:fldLock="1"/>
      </w:r>
      <w:r w:rsidR="00252D58" w:rsidRPr="005B1CCB">
        <w:rPr>
          <w:rFonts w:ascii="Palatino Linotype" w:hAnsi="Palatino Linotype" w:cs="Times New Roman"/>
          <w:sz w:val="24"/>
          <w:szCs w:val="24"/>
        </w:rPr>
        <w:instrText>ADDIN CSL_CITATION {"citationItems":[{"id":"ITEM-1","itemData":{"author":[{"dropping-particle":"","family":"Bruce Alberts, Alexander Johnson, Martin Raff, Julian Lewis, Keith Roberts, Peter Walter, Dennis Bray","given":"James Watson","non-dropping-particle":"","parse-names":false,"suffix":""}],"container-title":"The Structure and Function of DNA.","id":"ITEM-1","issued":{"date-parts":[["2002"]]},"publisher":"Garland Science","publisher-place":"New York","title":"Molecular Biology of the Cell","type":"chapter"},"uris":["http://www.mendeley.com/documents/?uuid=9d541d3f-e6d5-460e-b216-e7270ca5c15d"]}],"mendeley":{"formattedCitation":"[10]","plainTextFormattedCitation":"[10]","previouslyFormattedCitation":"[10]"},"properties":{"noteIndex":0},"schema":"https://github.com/citation-style-language/schema/raw/master/csl-citation.json"}</w:instrText>
      </w:r>
      <w:r w:rsidR="0092678B" w:rsidRPr="005B1CCB">
        <w:rPr>
          <w:rFonts w:ascii="Palatino Linotype" w:hAnsi="Palatino Linotype" w:cs="Times New Roman"/>
          <w:sz w:val="24"/>
          <w:szCs w:val="24"/>
        </w:rPr>
        <w:fldChar w:fldCharType="separate"/>
      </w:r>
      <w:r w:rsidR="002918D3" w:rsidRPr="005B1CCB">
        <w:rPr>
          <w:rFonts w:ascii="Palatino Linotype" w:hAnsi="Palatino Linotype" w:cs="Times New Roman"/>
          <w:noProof/>
          <w:sz w:val="24"/>
          <w:szCs w:val="24"/>
        </w:rPr>
        <w:t>[10]</w:t>
      </w:r>
      <w:r w:rsidR="0092678B" w:rsidRPr="005B1CCB">
        <w:rPr>
          <w:rFonts w:ascii="Palatino Linotype" w:hAnsi="Palatino Linotype" w:cs="Times New Roman"/>
          <w:sz w:val="24"/>
          <w:szCs w:val="24"/>
        </w:rPr>
        <w:fldChar w:fldCharType="end"/>
      </w:r>
      <w:r w:rsidR="0092678B" w:rsidRPr="005B1CCB">
        <w:rPr>
          <w:rFonts w:ascii="Palatino Linotype" w:hAnsi="Palatino Linotype" w:cs="Times New Roman"/>
          <w:sz w:val="24"/>
          <w:szCs w:val="24"/>
        </w:rPr>
        <w:fldChar w:fldCharType="begin" w:fldLock="1"/>
      </w:r>
      <w:r w:rsidR="00252D58" w:rsidRPr="005B1CCB">
        <w:rPr>
          <w:rFonts w:ascii="Palatino Linotype" w:hAnsi="Palatino Linotype" w:cs="Times New Roman"/>
          <w:sz w:val="24"/>
          <w:szCs w:val="24"/>
        </w:rPr>
        <w:instrText>ADDIN CSL_CITATION {"citationItems":[{"id":"ITEM-1","itemData":{"DOI":"10.1042/EBC20180038","ISSN":"1744-1358","abstract":"Nucleic acids, deoxyribonucleic acid (DNA) and ribonucleic acid (RNA), carry genetic information which is read in cells to make the RNA and proteins by which living things function. The well-known structure of the DNA double helix allows this information to be copied and passed on to the next generation. In this article we summarise the structure and function of nucleic acids. The article includes a historical perspective and summarises some of the early work which led to our understanding of this important molecule and how it functions; many of these pioneering scientists were awarded Nobel Prizes for their work. We explain the structure of the DNA molecule, how it is packaged into chromosomes and how it is replicated prior to cell division. We look at how the concept of the gene has developed since the term was first coined and how DNA is copied into RNA (transcription) and translated into protein (translation).","author":[{"dropping-particle":"","family":"Minchin","given":"Steve","non-dropping-particle":"","parse-names":false,"suffix":""},{"dropping-particle":"","family":"Lodge","given":"Julia","non-dropping-particle":"","parse-names":false,"suffix":""}],"container-title":"Essays in biochemistry","id":"ITEM-1","issue":"4","issued":{"date-parts":[["2019","10","16"]]},"language":"eng","page":"433-456","publisher":"Portland Press Ltd.","title":"Understanding biochemistry: structure and function of nucleic acids","type":"article-journal","volume":"63"},"uris":["http://www.mendeley.com/documents/?uuid=8ba2c77a-0eda-4d1a-9838-917bb92d8014"]}],"mendeley":{"formattedCitation":"[11]","plainTextFormattedCitation":"[11]","previouslyFormattedCitation":"[11]"},"properties":{"noteIndex":0},"schema":"https://github.com/citation-style-language/schema/raw/master/csl-citation.json"}</w:instrText>
      </w:r>
      <w:r w:rsidR="0092678B" w:rsidRPr="005B1CCB">
        <w:rPr>
          <w:rFonts w:ascii="Palatino Linotype" w:hAnsi="Palatino Linotype" w:cs="Times New Roman"/>
          <w:sz w:val="24"/>
          <w:szCs w:val="24"/>
        </w:rPr>
        <w:fldChar w:fldCharType="separate"/>
      </w:r>
      <w:r w:rsidR="002918D3" w:rsidRPr="005B1CCB">
        <w:rPr>
          <w:rFonts w:ascii="Palatino Linotype" w:hAnsi="Palatino Linotype" w:cs="Times New Roman"/>
          <w:noProof/>
          <w:sz w:val="24"/>
          <w:szCs w:val="24"/>
        </w:rPr>
        <w:t>[11]</w:t>
      </w:r>
      <w:r w:rsidR="0092678B" w:rsidRPr="005B1CCB">
        <w:rPr>
          <w:rFonts w:ascii="Palatino Linotype" w:hAnsi="Palatino Linotype" w:cs="Times New Roman"/>
          <w:sz w:val="24"/>
          <w:szCs w:val="24"/>
        </w:rPr>
        <w:fldChar w:fldCharType="end"/>
      </w:r>
      <w:r w:rsidR="0092678B" w:rsidRPr="005B1CCB">
        <w:rPr>
          <w:rFonts w:ascii="Palatino Linotype" w:hAnsi="Palatino Linotype" w:cs="Times New Roman"/>
          <w:sz w:val="24"/>
          <w:szCs w:val="24"/>
        </w:rPr>
        <w:t>. Each gene has specific DNA base sequences which codes for particular proteins or functional RNA. The bases and their orders are unique to each gene. When genes are transcribed and translated, nucleotides are read by ribosomes in groups of 3, called ‘codons’. Each codon contains information mapping a single amino acid and a change in an organism’s DNA can result to a change in the amino acid composition. Each cell contain</w:t>
      </w:r>
      <w:r w:rsidR="00893425" w:rsidRPr="005B1CCB">
        <w:rPr>
          <w:rFonts w:ascii="Palatino Linotype" w:hAnsi="Palatino Linotype" w:cs="Times New Roman"/>
          <w:sz w:val="24"/>
          <w:szCs w:val="24"/>
        </w:rPr>
        <w:t>s</w:t>
      </w:r>
      <w:r w:rsidR="0092678B" w:rsidRPr="005B1CCB">
        <w:rPr>
          <w:rFonts w:ascii="Palatino Linotype" w:hAnsi="Palatino Linotype" w:cs="Times New Roman"/>
          <w:sz w:val="24"/>
          <w:szCs w:val="24"/>
        </w:rPr>
        <w:t xml:space="preserve"> roughly 30,000 different genes. These genes are contained in chromosomes which </w:t>
      </w:r>
      <w:r w:rsidR="00933BED" w:rsidRPr="005B1CCB">
        <w:rPr>
          <w:rFonts w:ascii="Palatino Linotype" w:hAnsi="Palatino Linotype" w:cs="Times New Roman"/>
          <w:sz w:val="24"/>
          <w:szCs w:val="24"/>
        </w:rPr>
        <w:t>are</w:t>
      </w:r>
      <w:r w:rsidR="0092678B" w:rsidRPr="005B1CCB">
        <w:rPr>
          <w:rFonts w:ascii="Palatino Linotype" w:hAnsi="Palatino Linotype" w:cs="Times New Roman"/>
          <w:sz w:val="24"/>
          <w:szCs w:val="24"/>
        </w:rPr>
        <w:t xml:space="preserve"> present as 2 sets of 23 </w:t>
      </w:r>
      <w:r w:rsidR="0092678B" w:rsidRPr="005B1CCB">
        <w:rPr>
          <w:rFonts w:ascii="Palatino Linotype" w:hAnsi="Palatino Linotype" w:cs="Times New Roman"/>
          <w:sz w:val="24"/>
          <w:szCs w:val="24"/>
        </w:rPr>
        <w:fldChar w:fldCharType="begin" w:fldLock="1"/>
      </w:r>
      <w:r w:rsidR="00252D58" w:rsidRPr="005B1CCB">
        <w:rPr>
          <w:rFonts w:ascii="Palatino Linotype" w:hAnsi="Palatino Linotype" w:cs="Times New Roman"/>
          <w:sz w:val="24"/>
          <w:szCs w:val="24"/>
        </w:rPr>
        <w:instrText>ADDIN CSL_CITATION {"citationItems":[{"id":"ITEM-1","itemData":{"author":[{"dropping-particle":"","family":"Bruce Alberts, Alexander Johnson, Martin Raff, Julian Lewis, Keith Roberts, Peter Walter, Dennis Bray","given":"James Watson","non-dropping-particle":"","parse-names":false,"suffix":""}],"container-title":"The Structure and Function of DNA.","id":"ITEM-1","issued":{"date-parts":[["2002"]]},"publisher":"Garland Science","publisher-place":"New York","title":"Molecular Biology of the Cell","type":"chapter"},"uris":["http://www.mendeley.com/documents/?uuid=9d541d3f-e6d5-460e-b216-e7270ca5c15d"]}],"mendeley":{"formattedCitation":"[10]","plainTextFormattedCitation":"[10]","previouslyFormattedCitation":"[10]"},"properties":{"noteIndex":0},"schema":"https://github.com/citation-style-language/schema/raw/master/csl-citation.json"}</w:instrText>
      </w:r>
      <w:r w:rsidR="0092678B" w:rsidRPr="005B1CCB">
        <w:rPr>
          <w:rFonts w:ascii="Palatino Linotype" w:hAnsi="Palatino Linotype" w:cs="Times New Roman"/>
          <w:sz w:val="24"/>
          <w:szCs w:val="24"/>
        </w:rPr>
        <w:fldChar w:fldCharType="separate"/>
      </w:r>
      <w:r w:rsidR="002918D3" w:rsidRPr="005B1CCB">
        <w:rPr>
          <w:rFonts w:ascii="Palatino Linotype" w:hAnsi="Palatino Linotype" w:cs="Times New Roman"/>
          <w:noProof/>
          <w:sz w:val="24"/>
          <w:szCs w:val="24"/>
        </w:rPr>
        <w:t>[10]</w:t>
      </w:r>
      <w:r w:rsidR="0092678B" w:rsidRPr="005B1CCB">
        <w:rPr>
          <w:rFonts w:ascii="Palatino Linotype" w:hAnsi="Palatino Linotype" w:cs="Times New Roman"/>
          <w:sz w:val="24"/>
          <w:szCs w:val="24"/>
        </w:rPr>
        <w:fldChar w:fldCharType="end"/>
      </w:r>
      <w:r w:rsidR="0092678B" w:rsidRPr="005B1CCB">
        <w:rPr>
          <w:rFonts w:ascii="Palatino Linotype" w:hAnsi="Palatino Linotype" w:cs="Times New Roman"/>
          <w:sz w:val="24"/>
          <w:szCs w:val="24"/>
        </w:rPr>
        <w:t>. All cancers originate when one or more genes in a cell mutates, creating an abnormal protein or hindering a protein’s formation. When this occurs, different signals and information are relayed, causing cells to multiply uncontrollably and ultimately</w:t>
      </w:r>
      <w:r w:rsidR="00D63BAA" w:rsidRPr="005B1CCB">
        <w:rPr>
          <w:rFonts w:ascii="Palatino Linotype" w:hAnsi="Palatino Linotype" w:cs="Times New Roman"/>
          <w:sz w:val="24"/>
          <w:szCs w:val="24"/>
        </w:rPr>
        <w:t xml:space="preserve"> become cancerous.</w:t>
      </w:r>
    </w:p>
    <w:p w14:paraId="5AC89CD6" w14:textId="77777777" w:rsidR="0092678B" w:rsidRPr="005B1CCB" w:rsidRDefault="0092678B" w:rsidP="0092678B">
      <w:pPr>
        <w:rPr>
          <w:lang w:bidi="en-US"/>
        </w:rPr>
      </w:pPr>
    </w:p>
    <w:p w14:paraId="5D35A3B8" w14:textId="77777777" w:rsidR="00B11A53" w:rsidRPr="005B1CCB" w:rsidRDefault="00B11A53" w:rsidP="00D71969">
      <w:pPr>
        <w:pStyle w:val="Heading3"/>
      </w:pPr>
      <w:bookmarkStart w:id="18" w:name="_Toc84528034"/>
      <w:r w:rsidRPr="005B1CCB">
        <w:t>Current cancer screening technologies</w:t>
      </w:r>
      <w:bookmarkEnd w:id="18"/>
    </w:p>
    <w:p w14:paraId="6DD6ABD9" w14:textId="77777777" w:rsidR="00B11A53" w:rsidRPr="005B1CCB" w:rsidRDefault="00C87063" w:rsidP="00B11A53">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B11A53" w:rsidRPr="005B1CCB">
        <w:rPr>
          <w:rFonts w:ascii="Palatino Linotype" w:hAnsi="Palatino Linotype" w:cs="Times New Roman"/>
          <w:sz w:val="24"/>
          <w:szCs w:val="24"/>
        </w:rPr>
        <w:t xml:space="preserve">The aim of cancer screening tests is to detect cancer early and if possible, before symptoms appear and when it is easier to successfully treat. For a screening test to be effective, it has to </w:t>
      </w:r>
      <w:r w:rsidR="00B44C1A" w:rsidRPr="005B1CCB">
        <w:rPr>
          <w:rFonts w:ascii="Palatino Linotype" w:hAnsi="Palatino Linotype" w:cs="Times New Roman"/>
          <w:sz w:val="24"/>
          <w:szCs w:val="24"/>
        </w:rPr>
        <w:t>detect</w:t>
      </w:r>
      <w:r w:rsidR="00B11A53" w:rsidRPr="005B1CCB">
        <w:rPr>
          <w:rFonts w:ascii="Palatino Linotype" w:hAnsi="Palatino Linotype" w:cs="Times New Roman"/>
          <w:sz w:val="24"/>
          <w:szCs w:val="24"/>
        </w:rPr>
        <w:t xml:space="preserve"> cancer early, have more potential benefit than harm </w:t>
      </w:r>
      <w:r w:rsidR="00B44C1A" w:rsidRPr="005B1CCB">
        <w:rPr>
          <w:rFonts w:ascii="Palatino Linotype" w:hAnsi="Palatino Linotype" w:cs="Times New Roman"/>
          <w:sz w:val="24"/>
          <w:szCs w:val="24"/>
        </w:rPr>
        <w:t xml:space="preserve">such as not </w:t>
      </w:r>
      <w:r w:rsidR="00B11A53" w:rsidRPr="005B1CCB">
        <w:rPr>
          <w:rFonts w:ascii="Palatino Linotype" w:hAnsi="Palatino Linotype" w:cs="Times New Roman"/>
          <w:sz w:val="24"/>
          <w:szCs w:val="24"/>
        </w:rPr>
        <w:t xml:space="preserve">presenting false positives or inaccurate results and decrease the likelihood that someone who is regularly screened will die from cancer. </w:t>
      </w:r>
      <w:r w:rsidR="00B11A53" w:rsidRPr="007023CC">
        <w:rPr>
          <w:rFonts w:ascii="Palatino Linotype" w:hAnsi="Palatino Linotype" w:cs="Times New Roman"/>
          <w:sz w:val="24"/>
          <w:szCs w:val="24"/>
        </w:rPr>
        <w:t xml:space="preserve">Tests like colonoscopy and sigmoidoscopy have successfully been used to detect and prevent colorectal cancer. For heavy smokers between the ages of 55 to 74, low-dose helical computed tomography </w:t>
      </w:r>
      <w:r w:rsidR="00607B82" w:rsidRPr="007023CC">
        <w:rPr>
          <w:rFonts w:ascii="Palatino Linotype" w:hAnsi="Palatino Linotype" w:cs="Times New Roman"/>
          <w:sz w:val="24"/>
          <w:szCs w:val="24"/>
        </w:rPr>
        <w:t>has</w:t>
      </w:r>
      <w:r w:rsidR="00B11A53" w:rsidRPr="007023CC">
        <w:rPr>
          <w:rFonts w:ascii="Palatino Linotype" w:hAnsi="Palatino Linotype" w:cs="Times New Roman"/>
          <w:sz w:val="24"/>
          <w:szCs w:val="24"/>
        </w:rPr>
        <w:t xml:space="preserve"> been used to screen for lung cancer. Other screening tests include mammography and breast MRI for breast cancer, pap and human papillomavirus</w:t>
      </w:r>
      <w:r w:rsidR="00610C72" w:rsidRPr="007023CC">
        <w:rPr>
          <w:rFonts w:ascii="Palatino Linotype" w:hAnsi="Palatino Linotype" w:cs="Times New Roman"/>
          <w:sz w:val="24"/>
          <w:szCs w:val="24"/>
        </w:rPr>
        <w:t xml:space="preserve"> </w:t>
      </w:r>
      <w:r w:rsidR="00B11A53" w:rsidRPr="007023CC">
        <w:rPr>
          <w:rFonts w:ascii="Palatino Linotype" w:hAnsi="Palatino Linotype" w:cs="Times New Roman"/>
          <w:sz w:val="24"/>
          <w:szCs w:val="24"/>
        </w:rPr>
        <w:t xml:space="preserve">(HPV) test for cervical cancer, alpha-fetoprotein blood test for liver cancer, transvaginal ultrasound and </w:t>
      </w:r>
      <w:r w:rsidR="005262EB" w:rsidRPr="007023CC">
        <w:rPr>
          <w:rFonts w:ascii="Palatino Linotype" w:hAnsi="Palatino Linotype" w:cs="Times New Roman"/>
          <w:sz w:val="24"/>
          <w:szCs w:val="24"/>
        </w:rPr>
        <w:t>CA-125 test for ovarian cancer</w:t>
      </w:r>
      <w:r w:rsidR="005262EB" w:rsidRPr="005B1CCB">
        <w:rPr>
          <w:rFonts w:ascii="Palatino Linotype" w:hAnsi="Palatino Linotype" w:cs="Times New Roman"/>
          <w:sz w:val="24"/>
          <w:szCs w:val="24"/>
        </w:rPr>
        <w:t xml:space="preserve"> </w:t>
      </w:r>
      <w:r w:rsidR="00C70359" w:rsidRPr="005B1CCB">
        <w:rPr>
          <w:rFonts w:ascii="Palatino Linotype" w:hAnsi="Palatino Linotype" w:cs="Times New Roman"/>
          <w:sz w:val="24"/>
          <w:szCs w:val="24"/>
        </w:rPr>
        <w:fldChar w:fldCharType="begin" w:fldLock="1"/>
      </w:r>
      <w:r w:rsidR="00252D58" w:rsidRPr="005B1CCB">
        <w:rPr>
          <w:rFonts w:ascii="Palatino Linotype" w:hAnsi="Palatino Linotype" w:cs="Times New Roman"/>
          <w:sz w:val="24"/>
          <w:szCs w:val="24"/>
        </w:rPr>
        <w:instrText>ADDIN CSL_CITATION {"citationItems":[{"id":"ITEM-1","itemData":{"URL":"https://www.cancer.gov/about-cancer/screening/screening-tests","author":[{"dropping-particle":"","family":"NIH","given":"","non-dropping-particle":"","parse-names":false,"suffix":""}],"id":"ITEM-1","issued":{"date-parts":[["2021"]]},"title":"Screening Tests","type":"webpage"},"uris":["http://www.mendeley.com/documents/?uuid=df32e232-019d-4c97-8c2a-188aaf4f6023"]}],"mendeley":{"formattedCitation":"[12]","plainTextFormattedCitation":"[12]","previouslyFormattedCitation":"[12]"},"properties":{"noteIndex":0},"schema":"https://github.com/citation-style-language/schema/raw/master/csl-citation.json"}</w:instrText>
      </w:r>
      <w:r w:rsidR="00C70359" w:rsidRPr="005B1CCB">
        <w:rPr>
          <w:rFonts w:ascii="Palatino Linotype" w:hAnsi="Palatino Linotype" w:cs="Times New Roman"/>
          <w:sz w:val="24"/>
          <w:szCs w:val="24"/>
        </w:rPr>
        <w:fldChar w:fldCharType="separate"/>
      </w:r>
      <w:r w:rsidR="002918D3" w:rsidRPr="005B1CCB">
        <w:rPr>
          <w:rFonts w:ascii="Palatino Linotype" w:hAnsi="Palatino Linotype" w:cs="Times New Roman"/>
          <w:noProof/>
          <w:sz w:val="24"/>
          <w:szCs w:val="24"/>
        </w:rPr>
        <w:t>[12]</w:t>
      </w:r>
      <w:r w:rsidR="00C70359" w:rsidRPr="005B1CCB">
        <w:rPr>
          <w:rFonts w:ascii="Palatino Linotype" w:hAnsi="Palatino Linotype" w:cs="Times New Roman"/>
          <w:sz w:val="24"/>
          <w:szCs w:val="24"/>
        </w:rPr>
        <w:fldChar w:fldCharType="end"/>
      </w:r>
      <w:r w:rsidR="00C70359" w:rsidRPr="005B1CCB">
        <w:rPr>
          <w:rFonts w:ascii="Palatino Linotype" w:hAnsi="Palatino Linotype" w:cs="Times New Roman"/>
          <w:sz w:val="24"/>
          <w:szCs w:val="24"/>
        </w:rPr>
        <w:t>.</w:t>
      </w:r>
      <w:r w:rsidR="00B11A53" w:rsidRPr="005B1CCB">
        <w:rPr>
          <w:rFonts w:ascii="Palatino Linotype" w:hAnsi="Palatino Linotype" w:cs="Times New Roman"/>
          <w:sz w:val="24"/>
          <w:szCs w:val="24"/>
        </w:rPr>
        <w:t xml:space="preserve"> There is currently no screening programme for prostate cancer in the UK as tests like digital rectal exam, prostate-specific antigen (PSA) and prostate cancer gene 3 (PCA3) RNA test have not proven that the benefits outweighs the risks </w:t>
      </w:r>
      <w:r w:rsidR="003649B0" w:rsidRPr="005B1CCB">
        <w:rPr>
          <w:rFonts w:ascii="Palatino Linotype" w:hAnsi="Palatino Linotype" w:cs="Times New Roman"/>
          <w:sz w:val="24"/>
          <w:szCs w:val="24"/>
        </w:rPr>
        <w:fldChar w:fldCharType="begin" w:fldLock="1"/>
      </w:r>
      <w:r w:rsidR="00252D58" w:rsidRPr="005B1CCB">
        <w:rPr>
          <w:rFonts w:ascii="Palatino Linotype" w:hAnsi="Palatino Linotype" w:cs="Times New Roman"/>
          <w:sz w:val="24"/>
          <w:szCs w:val="24"/>
        </w:rPr>
        <w:instrText>ADDIN CSL_CITATION {"citationItems":[{"id":"ITEM-1","itemData":{"URL":"https://www.cancer.gov/types/prostate/psa-fact-sheet","author":[{"dropping-particle":"","family":"NIH","given":"","non-dropping-particle":"","parse-names":false,"suffix":""}],"id":"ITEM-1","issued":{"date-parts":[["2021"]]},"title":"Prostate-Specific Antigen (PSA) Test","type":"webpage"},"uris":["http://www.mendeley.com/documents/?uuid=c935fea5-11e4-4d58-8110-5b64cdd941de"]}],"mendeley":{"formattedCitation":"[13]","plainTextFormattedCitation":"[13]","previouslyFormattedCitation":"[13]"},"properties":{"noteIndex":0},"schema":"https://github.com/citation-style-language/schema/raw/master/csl-citation.json"}</w:instrText>
      </w:r>
      <w:r w:rsidR="003649B0" w:rsidRPr="005B1CCB">
        <w:rPr>
          <w:rFonts w:ascii="Palatino Linotype" w:hAnsi="Palatino Linotype" w:cs="Times New Roman"/>
          <w:sz w:val="24"/>
          <w:szCs w:val="24"/>
        </w:rPr>
        <w:fldChar w:fldCharType="separate"/>
      </w:r>
      <w:r w:rsidR="002918D3" w:rsidRPr="005B1CCB">
        <w:rPr>
          <w:rFonts w:ascii="Palatino Linotype" w:hAnsi="Palatino Linotype" w:cs="Times New Roman"/>
          <w:noProof/>
          <w:sz w:val="24"/>
          <w:szCs w:val="24"/>
        </w:rPr>
        <w:t>[13]</w:t>
      </w:r>
      <w:r w:rsidR="003649B0" w:rsidRPr="005B1CCB">
        <w:rPr>
          <w:rFonts w:ascii="Palatino Linotype" w:hAnsi="Palatino Linotype" w:cs="Times New Roman"/>
          <w:sz w:val="24"/>
          <w:szCs w:val="24"/>
        </w:rPr>
        <w:fldChar w:fldCharType="end"/>
      </w:r>
      <w:r w:rsidR="003649B0" w:rsidRPr="005B1CCB">
        <w:rPr>
          <w:rFonts w:ascii="Palatino Linotype" w:hAnsi="Palatino Linotype" w:cs="Times New Roman"/>
          <w:sz w:val="24"/>
          <w:szCs w:val="24"/>
        </w:rPr>
        <w:t>.</w:t>
      </w:r>
    </w:p>
    <w:p w14:paraId="5F8B9426" w14:textId="77777777" w:rsidR="000824D6" w:rsidRPr="005B1CCB" w:rsidRDefault="000824D6" w:rsidP="00B11A53">
      <w:pPr>
        <w:spacing w:line="360" w:lineRule="auto"/>
        <w:jc w:val="both"/>
        <w:rPr>
          <w:rFonts w:ascii="Palatino Linotype" w:hAnsi="Palatino Linotype" w:cs="Times New Roman"/>
          <w:sz w:val="24"/>
          <w:szCs w:val="24"/>
        </w:rPr>
      </w:pPr>
    </w:p>
    <w:p w14:paraId="08BF5A70" w14:textId="77777777" w:rsidR="00D80AF2" w:rsidRPr="005B1CCB" w:rsidRDefault="00D80AF2" w:rsidP="00D71969">
      <w:pPr>
        <w:pStyle w:val="Heading3"/>
      </w:pPr>
      <w:bookmarkStart w:id="19" w:name="_Toc84528035"/>
      <w:r w:rsidRPr="005B1CCB">
        <w:t xml:space="preserve">Current </w:t>
      </w:r>
      <w:r w:rsidR="00AC7A19" w:rsidRPr="005B1CCB">
        <w:t xml:space="preserve">cancer </w:t>
      </w:r>
      <w:r w:rsidRPr="005B1CCB">
        <w:t>diagnostic techniques</w:t>
      </w:r>
      <w:bookmarkEnd w:id="19"/>
    </w:p>
    <w:p w14:paraId="2FFD2BFE" w14:textId="77777777" w:rsidR="00D80AF2" w:rsidRPr="005B1CCB" w:rsidRDefault="00C87063" w:rsidP="001B1D84">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AC7A19" w:rsidRPr="005B1CCB">
        <w:rPr>
          <w:rFonts w:ascii="Palatino Linotype" w:hAnsi="Palatino Linotype" w:cs="Times New Roman"/>
          <w:sz w:val="24"/>
          <w:szCs w:val="24"/>
        </w:rPr>
        <w:t xml:space="preserve">The current time to result for cancer detection in a clinical setting is 2-3 days (including sample transportation) for a non-complicated biopsy analysis and 7-10 days for a complicated biopsy analysis </w:t>
      </w:r>
      <w:r w:rsidR="00AC7A19"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10.1016/j.ejcts.2008.02.008","author":[{"dropping-particle":"","family":"Coutinho","given":"F","non-dropping-particle":"","parse-names":false,"suffix":""},{"dropping-particle":"","family":"Pancas","given":"Rita","non-dropping-particle":"","parse-names":false,"suffix":""},{"dropping-particle":"","family":"Magalha","given":"Eunice","non-dropping-particle":"","parse-names":false,"suffix":""},{"dropping-particle":"","family":"Bernardo","given":"E","non-dropping-particle":"","parse-names":false,"suffix":""},{"dropping-particle":"","family":"Antunes","given":"Manuel J","non-dropping-particle":"","parse-names":false,"suffix":""}],"id":"ITEM-1","issue":"January 2000","issued":{"date-parts":[["2008"]]},"title":"Diagnostic value of surgical lung biopsy : comparison with clinical and radiological diagnosis § Gonc","type":"article-journal","volume":"33"},"uris":["http://www.mendeley.com/documents/?uuid=192bcdeb-34a7-40e8-ae0c-44a2f8a2348c"]}],"mendeley":{"formattedCitation":"[14]","plainTextFormattedCitation":"[14]","previouslyFormattedCitation":"[14]"},"properties":{"noteIndex":0},"schema":"https://github.com/citation-style-language/schema/raw/master/csl-citation.json"}</w:instrText>
      </w:r>
      <w:r w:rsidR="00AC7A19"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[14]</w:t>
      </w:r>
      <w:r w:rsidR="00AC7A19" w:rsidRPr="005B1CCB">
        <w:rPr>
          <w:rFonts w:ascii="Palatino Linotype" w:hAnsi="Palatino Linotype" w:cs="Times New Roman"/>
          <w:sz w:val="24"/>
          <w:szCs w:val="24"/>
        </w:rPr>
        <w:fldChar w:fldCharType="end"/>
      </w:r>
      <w:r w:rsidR="00AC7A19" w:rsidRPr="005B1CCB">
        <w:rPr>
          <w:rFonts w:ascii="Palatino Linotype" w:hAnsi="Palatino Linotype" w:cs="Times New Roman"/>
          <w:sz w:val="24"/>
          <w:szCs w:val="24"/>
        </w:rPr>
        <w:t xml:space="preserve">. In the UK, National Health Service mutation typing following biopsy can take up to 9 weeks </w:t>
      </w:r>
      <w:r w:rsidR="00AC7A19"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URL":"https://www.nhs.uk/conditions/biopsy/","accessed":{"date-parts":[["2019","7","18"]]},"author":[{"dropping-particle":"","family":"NHS","given":"","non-dropping-particle":"","parse-names":false,"suffix":""}],"container-title":"01.06.2018","id":"ITEM-1","issued":{"date-parts":[["2018"]]},"title":"Biopsy","type":"webpage"},"uris":["http://www.mendeley.com/documents/?uuid=30d755dd-77f2-47cf-9d75-5458e7ca1b0c"]}],"mendeley":{"formattedCitation":"[15]","plainTextFormattedCitation":"[15]","previouslyFormattedCitation":"[15]"},"properties":{"noteIndex":0},"schema":"https://github.com/citation-style-language/schema/raw/master/csl-citation.json"}</w:instrText>
      </w:r>
      <w:r w:rsidR="00AC7A19"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[15]</w:t>
      </w:r>
      <w:r w:rsidR="00AC7A19" w:rsidRPr="005B1CCB">
        <w:rPr>
          <w:rFonts w:ascii="Palatino Linotype" w:hAnsi="Palatino Linotype" w:cs="Times New Roman"/>
          <w:sz w:val="24"/>
          <w:szCs w:val="24"/>
        </w:rPr>
        <w:fldChar w:fldCharType="end"/>
      </w:r>
      <w:r w:rsidR="00AC7A19"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 </w:t>
      </w:r>
      <w:r w:rsidR="00352B38" w:rsidRPr="005B1CCB">
        <w:rPr>
          <w:rFonts w:ascii="Palatino Linotype" w:hAnsi="Palatino Linotype" w:cs="Times New Roman"/>
          <w:sz w:val="24"/>
          <w:szCs w:val="24"/>
        </w:rPr>
        <w:t>Common approaches to diagnosing cancer includes physical exam</w:t>
      </w:r>
      <w:r w:rsidR="003F1191" w:rsidRPr="005B1CCB">
        <w:rPr>
          <w:rFonts w:ascii="Palatino Linotype" w:hAnsi="Palatino Linotype" w:cs="Times New Roman"/>
          <w:sz w:val="24"/>
          <w:szCs w:val="24"/>
        </w:rPr>
        <w:t>ination</w:t>
      </w:r>
      <w:r w:rsidR="00352B38" w:rsidRPr="005B1CCB">
        <w:rPr>
          <w:rFonts w:ascii="Palatino Linotype" w:hAnsi="Palatino Linotype" w:cs="Times New Roman"/>
          <w:sz w:val="24"/>
          <w:szCs w:val="24"/>
        </w:rPr>
        <w:t xml:space="preserve">s, laboratory tests, imaging tests, </w:t>
      </w:r>
      <w:r w:rsidR="0092678B" w:rsidRPr="005B1CCB">
        <w:rPr>
          <w:rFonts w:ascii="Palatino Linotype" w:hAnsi="Palatino Linotype" w:cs="Times New Roman"/>
          <w:sz w:val="24"/>
          <w:szCs w:val="24"/>
        </w:rPr>
        <w:t xml:space="preserve">and biopsy. </w:t>
      </w:r>
      <w:r w:rsidR="003107BA" w:rsidRPr="005B1CCB">
        <w:rPr>
          <w:rFonts w:ascii="Palatino Linotype" w:hAnsi="Palatino Linotype" w:cs="Times New Roman"/>
          <w:sz w:val="24"/>
          <w:szCs w:val="24"/>
        </w:rPr>
        <w:t xml:space="preserve">Imaging tests can sometimes be inconclusive and generally do not provide information on the stage or type of cancer, so further biopsy will be needed </w:t>
      </w:r>
      <w:r w:rsidR="003107BA"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{"citationItems":[{"id":"ITEM-1","itemData":{"DOI":"10.1186/s40064-015-0793-1","ISBN":"4006401507","ISSN":"21931801","PMID":"25741458","abstract":"PURPOSE Breast MRI added to mammography increases screening sensitivity for high-risk women but false-positive (FP) rates are higher and the optimal screening schedule for coordination with mammography is unclear. We compare rates of FP MRI when studies were performed on two different schedules. PATIENTS AND METHODS High-risk women at the University of Vermont who had at least 1 MRI and 1 mammogram performed within one year between 2004-2012 were eligible for inclusion in this study. Screening was considered stacked if both studies were performed within 90 days and alternating if studies were 4-8 months apart. False positive was defined in one of three ways. RESULTS 137 women had screening which met inclusion criteria and 371 MRIs were reviewed. The FP rates were similar for the two schedules when considering BI-RAD 4, 5, 0 or biopsy as a positive test. FP rates were significantly higher for the stacked schedule (18.2 vs. 10.2%, p = 0.026) when considering BI-RADS 3-4-5-0 as positive test, due to the elevated rate of BI-RADS 3 assessments among stacked exams. CONCLUSION False positive rates differ based on the type of exam (baseline or subsequent) and definition of positive but do not differ based on imaging schedule (stacked or alternating); suggesting that women and their providers may choose the imaging schedule they prefer. This is significant as a randomized clinical trial comparing the two schedules is not likely to be performed, given the high cost and large number of women needed for such a study.","author":[{"dropping-particle":"","family":"Othman","given":"Edress","non-dropping-particle":"","parse-names":false,"suffix":""},{"dropping-particle":"","family":"Wang","given":"Jue","non-dropping-particle":"","parse-names":false,"suffix":""},{"dropping-particle":"","family":"Sprague","given":"Brian L.","non-dropping-particle":"","parse-names":false,"suffix":""},{"dropping-particle":"","family":"Rounds","given":"Tiffany","non-dropping-particle":"","parse-names":false,"suffix":""},{"dropping-particle":"","family":"Ji","given":"Yong Li","non-dropping-particle":"","parse-names":false,"suffix":""},{"dropping-particle":"","family":"Herschorn","given":"Sally D.","non-dropping-particle":"","parse-names":false,"suffix":""},{"dropping-particle":"","family":"Wood","given":"Marie E.","non-dropping-particle":"","parse-names":false,"suffix":""}],"container-title":"SpringerPlus","id":"ITEM-1","issue":"1","issued":{"date-parts":[["2015"]]},"page":"4-9","title":"Comparison of false positive rates for screening breast magnetic resonance imaging (MRI) in high risk women performed on stacked versus alternating schedules","type":"article-journal","volume":"4"},"uris":["http://www.mendeley.com/documents/?uuid=eb546a56-ac24-4653-b3fa-98d3e48bfe6b"]}],"mendeley":{"formattedCitation":"[16]","plainTextFormattedCitation":"[16]","previouslyFormattedCitation":"[16]"},"properties":{"noteIndex":0},"schema":"https://github.com/citation-style-language/schema/raw/master/csl-citation.json"}</w:instrText>
      </w:r>
      <w:r w:rsidR="003107BA"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[16]</w:t>
      </w:r>
      <w:r w:rsidR="003107BA" w:rsidRPr="005B1CCB">
        <w:rPr>
          <w:rFonts w:ascii="Palatino Linotype" w:hAnsi="Palatino Linotype" w:cs="Times New Roman"/>
          <w:sz w:val="24"/>
          <w:szCs w:val="24"/>
        </w:rPr>
        <w:fldChar w:fldCharType="end"/>
      </w:r>
      <w:r w:rsidR="003107BA" w:rsidRPr="005B1CCB">
        <w:rPr>
          <w:rFonts w:ascii="Palatino Linotype" w:hAnsi="Palatino Linotype" w:cs="Times New Roman"/>
          <w:sz w:val="24"/>
          <w:szCs w:val="24"/>
        </w:rPr>
        <w:t xml:space="preserve">. </w:t>
      </w:r>
      <w:r w:rsidR="001155A1" w:rsidRPr="005B1CCB">
        <w:rPr>
          <w:rFonts w:ascii="Palatino Linotype" w:hAnsi="Palatino Linotype" w:cs="Times New Roman"/>
          <w:sz w:val="24"/>
          <w:szCs w:val="24"/>
        </w:rPr>
        <w:t xml:space="preserve">Biopsy is a diagnostic procedure customarily used for diagnosing cancers as they involve removing and examining a small portion of human tissue under the microscope. Several factors help a doctor decide what type of biopsy to recommend based on the appearance, size, and location of the suspicious area. </w:t>
      </w:r>
      <w:r w:rsidR="003107BA" w:rsidRPr="005B1CCB">
        <w:rPr>
          <w:rFonts w:ascii="Palatino Linotype" w:hAnsi="Palatino Linotype" w:cs="Times New Roman"/>
          <w:sz w:val="24"/>
          <w:szCs w:val="24"/>
        </w:rPr>
        <w:t xml:space="preserve">Collecting multiple biopsies from different regions of a primary tumour and associated metastases is invasive and may pose serious medical risks </w:t>
      </w:r>
      <w:r w:rsidR="003107BA"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{"citationItems":[{"id":"ITEM-1","itemData":{"DOI":"10.4103/2231-0762.129446","ISSN":"2231-0762","abstract":"Cancer cells, besides reproducing uncontrollably, lose cohesiveness and orderliness of normal tissue, invade and get detached from the primary tumor to travel and set up colonies elsewhere. Dislodging neoplastically altered cells from a tumor during biopsy or surgical intervention or during simple procedure like needle aspiration is a possibility because they lack cohesiveness, and they attain the capacity to migrate and colonize. Considering the fact that, every tumor cell, is bathed in interstitial fluid, which drains into the lymphatic system and has an individualized arterial blood supply and venous drainage like any other normal cell in our body, inserting a needle or a knife into a tumor, there is a jeopardy of dislodging a loose tumor cell into either the circulation or into the tissue fluid. Tumor cells are easier to dislodge due to lower cell-to-cell adhesion. This theory with the possibility of seeding of tumor cells is supported by several case studies that have shown that after diagnostic biopsy of a tumor, many patients developed cancer at multiple sites and showed the presence of circulating cancer cells in the blood stream on examination. In this review, we evaluate the risk of exposure to seeding of tumor cells by biopsy and aspiration cytology and provide some suggested practices to prevent tumor cell seeding. ","author":[{"dropping-particle":"","family":"Shyamala","given":"K","non-dropping-particle":"","parse-names":false,"suffix":""},{"dropping-particle":"","family":"Girish","given":"H C","non-dropping-particle":"","parse-names":false,"suffix":""},{"dropping-particle":"","family":"Murgod","given":"Sanjay","non-dropping-particle":"","parse-names":false,"suffix":""}],"container-title":"Journal of International Society of Preventive &amp; Community Dentistry","id":"ITEM-1","issue":"1","issued":{"date-parts":[["2014"]]},"page":"5-11","publisher":"Medknow Publications &amp; Media Pvt Ltd","publisher-place":"India","title":"Risk of tumor cell seeding through biopsy and aspiration cytology","type":"article-journal","volume":"4"},"uris":["http://www.mendeley.com/documents/?uuid=b340e88c-2dd8-496f-b53a-630cc1cc1d34"]}],"mendeley":{"formattedCitation":"[17]","plainTextFormattedCitation":"[17]","previouslyFormattedCitation":"[17]"},"properties":{"noteIndex":0},"schema":"https://github.com/citation-style-language/schema/raw/master/csl-citation.json"}</w:instrText>
      </w:r>
      <w:r w:rsidR="003107BA"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[17]</w:t>
      </w:r>
      <w:r w:rsidR="003107BA" w:rsidRPr="005B1CCB">
        <w:rPr>
          <w:rFonts w:ascii="Palatino Linotype" w:hAnsi="Palatino Linotype" w:cs="Times New Roman"/>
          <w:sz w:val="24"/>
          <w:szCs w:val="24"/>
        </w:rPr>
        <w:fldChar w:fldCharType="end"/>
      </w:r>
      <w:r w:rsidR="003107BA" w:rsidRPr="005B1CCB">
        <w:rPr>
          <w:rFonts w:ascii="Palatino Linotype" w:hAnsi="Palatino Linotype" w:cs="Times New Roman"/>
          <w:sz w:val="24"/>
          <w:szCs w:val="24"/>
        </w:rPr>
        <w:t xml:space="preserve">. Furthermore, for some patients, surgical biopsy procedures are not possible therefore liquid biopsies which </w:t>
      </w:r>
      <w:r w:rsidR="00EF5BA0" w:rsidRPr="005B1CCB">
        <w:rPr>
          <w:rFonts w:ascii="Palatino Linotype" w:hAnsi="Palatino Linotype" w:cs="Times New Roman"/>
          <w:sz w:val="24"/>
          <w:szCs w:val="24"/>
        </w:rPr>
        <w:t xml:space="preserve">can </w:t>
      </w:r>
      <w:r w:rsidR="003107BA" w:rsidRPr="005B1CCB">
        <w:rPr>
          <w:rFonts w:ascii="Palatino Linotype" w:hAnsi="Palatino Linotype" w:cs="Times New Roman"/>
          <w:sz w:val="24"/>
          <w:szCs w:val="24"/>
        </w:rPr>
        <w:t>detect the presence of tumour DNA in blood, hold promise as a non-invasive alternative.</w:t>
      </w:r>
      <w:r w:rsidR="0092678B" w:rsidRPr="005B1CCB">
        <w:rPr>
          <w:rFonts w:ascii="Palatino Linotype" w:hAnsi="Palatino Linotype" w:cs="Times New Roman"/>
          <w:sz w:val="24"/>
          <w:szCs w:val="24"/>
        </w:rPr>
        <w:t xml:space="preserve"> </w:t>
      </w:r>
    </w:p>
    <w:p w14:paraId="1E8D76AF" w14:textId="32619C2A" w:rsidR="00D345BA" w:rsidRDefault="00D345BA" w:rsidP="001B1D84">
      <w:pPr>
        <w:spacing w:line="360" w:lineRule="auto"/>
        <w:jc w:val="both"/>
        <w:rPr>
          <w:rFonts w:ascii="Palatino Linotype" w:hAnsi="Palatino Linotype" w:cs="Times New Roman"/>
          <w:sz w:val="24"/>
          <w:szCs w:val="24"/>
        </w:rPr>
      </w:pPr>
    </w:p>
    <w:p w14:paraId="65B0D6CA" w14:textId="0F1175A9" w:rsidR="006479F6" w:rsidRDefault="006479F6" w:rsidP="001B1D84">
      <w:pPr>
        <w:spacing w:line="360" w:lineRule="auto"/>
        <w:jc w:val="both"/>
        <w:rPr>
          <w:rFonts w:ascii="Palatino Linotype" w:hAnsi="Palatino Linotype" w:cs="Times New Roman"/>
          <w:sz w:val="24"/>
          <w:szCs w:val="24"/>
        </w:rPr>
      </w:pPr>
    </w:p>
    <w:p w14:paraId="2BDB9549" w14:textId="77777777" w:rsidR="00C17D56" w:rsidRPr="005B1CCB" w:rsidRDefault="00C17D56" w:rsidP="001B1D84">
      <w:pPr>
        <w:spacing w:line="360" w:lineRule="auto"/>
        <w:jc w:val="both"/>
        <w:rPr>
          <w:rFonts w:ascii="Palatino Linotype" w:hAnsi="Palatino Linotype" w:cs="Times New Roman"/>
          <w:sz w:val="24"/>
          <w:szCs w:val="24"/>
        </w:rPr>
      </w:pPr>
    </w:p>
    <w:p w14:paraId="340ECF06" w14:textId="77777777" w:rsidR="00DE712F" w:rsidRPr="005B1CCB" w:rsidRDefault="00DE712F" w:rsidP="00D71969">
      <w:pPr>
        <w:pStyle w:val="Heading3"/>
      </w:pPr>
      <w:bookmarkStart w:id="20" w:name="_Toc84528036"/>
      <w:r w:rsidRPr="005B1CCB">
        <w:t>Cancer biomarkers</w:t>
      </w:r>
      <w:bookmarkEnd w:id="20"/>
    </w:p>
    <w:p w14:paraId="3728DC8B" w14:textId="77777777" w:rsidR="001C2483" w:rsidRPr="005B1CCB" w:rsidRDefault="00C87063"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7B0F7D" w:rsidRPr="00E27313">
        <w:rPr>
          <w:rFonts w:ascii="Palatino Linotype" w:hAnsi="Palatino Linotype" w:cs="Times New Roman"/>
          <w:sz w:val="24"/>
          <w:szCs w:val="24"/>
        </w:rPr>
        <w:t xml:space="preserve">Biomarkers act as </w:t>
      </w:r>
      <w:r w:rsidR="005D4B8A" w:rsidRPr="00E27313">
        <w:rPr>
          <w:rFonts w:ascii="Palatino Linotype" w:hAnsi="Palatino Linotype" w:cs="Times New Roman"/>
          <w:sz w:val="24"/>
          <w:szCs w:val="24"/>
        </w:rPr>
        <w:t xml:space="preserve">objective </w:t>
      </w:r>
      <w:r w:rsidR="001C2483" w:rsidRPr="00E27313">
        <w:rPr>
          <w:rFonts w:ascii="Palatino Linotype" w:hAnsi="Palatino Linotype" w:cs="Times New Roman"/>
          <w:sz w:val="24"/>
          <w:szCs w:val="24"/>
        </w:rPr>
        <w:t>indicator</w:t>
      </w:r>
      <w:r w:rsidR="007B0F7D" w:rsidRPr="00E27313">
        <w:rPr>
          <w:rFonts w:ascii="Palatino Linotype" w:hAnsi="Palatino Linotype" w:cs="Times New Roman"/>
          <w:sz w:val="24"/>
          <w:szCs w:val="24"/>
        </w:rPr>
        <w:t>s</w:t>
      </w:r>
      <w:r w:rsidR="001C2483" w:rsidRPr="00E27313">
        <w:rPr>
          <w:rFonts w:ascii="Palatino Linotype" w:hAnsi="Palatino Linotype" w:cs="Times New Roman"/>
          <w:sz w:val="24"/>
          <w:szCs w:val="24"/>
        </w:rPr>
        <w:t xml:space="preserve"> of normal biological and pathological processes in the human body. An ideal biomarker will be quantifiable and able to provide a frame of reference, indicating an abnormality.</w:t>
      </w:r>
      <w:r w:rsidR="001C2483" w:rsidRPr="005B1CCB">
        <w:rPr>
          <w:rFonts w:ascii="Palatino Linotype" w:hAnsi="Palatino Linotype" w:cs="Times New Roman"/>
          <w:sz w:val="24"/>
          <w:szCs w:val="24"/>
        </w:rPr>
        <w:t xml:space="preserve"> A biomarker is seen by the National Institute of Health as ‘a characteristic objectively measured and evaluated as a pointer to expected biological/pathogenic processes, or pharmacological responses to therapy</w:t>
      </w:r>
      <w:r w:rsidR="005A651C" w:rsidRPr="005B1CCB">
        <w:rPr>
          <w:rFonts w:ascii="Palatino Linotype" w:hAnsi="Palatino Linotype" w:cs="Times New Roman"/>
          <w:sz w:val="24"/>
          <w:szCs w:val="24"/>
        </w:rPr>
        <w:t>’</w:t>
      </w:r>
      <w:r w:rsidR="001C2483" w:rsidRPr="005B1CCB">
        <w:rPr>
          <w:rFonts w:ascii="Palatino Linotype" w:hAnsi="Palatino Linotype" w:cs="Times New Roman"/>
          <w:sz w:val="24"/>
          <w:szCs w:val="24"/>
        </w:rPr>
        <w:t xml:space="preserve"> </w:t>
      </w:r>
      <w:r w:rsidR="001C2483"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{"citationItems":[{"id":"ITEM-1","itemData":{"abstract":"Community-acquired pneumonia (CAP) is common, and the delivery of optimum care to patients with CAP is important to limit the associated substantial mortality and morbidity. Although severity assessment of patients presenting with CAP using clinical scores such as the CURB65 (Confusion, Urea nitrogen, Respiratory rate, Blood pressure, 65 years of age and older) or Pneumonia Severity Index (PSI) scales aids management, there are many other areas in which the care of patients with CAP could be improved. For example, improved accuracy of identifying patients at risk of death (especially the significant proportion of deaths in patients with low clinical severity scores) or complications such as empyema would improve the stratification of patients for different intensities of management, and there are few data on how to decide the duration of antibiotic treatment for individual patients. Biomarkers may help with some of these questions, and in this month’s Thorax there are two articles (see pages 587 and pages 592 on the use of biomarkers in patients with CAP1 2 that join a series of often seemingly contradictory papers in this area published over the past few years. What are the main overall messages that can be concluded from the published research into biomarkers and CAP, and are their results convincing enough now to influence how patients with CAP are managed?The National Institutes of Health definition of a biomarker is: “a characteristic that is objectively measured and evaluated as an indicator of normal biologic processes, pathogenic processes, or pharmacologic responses to a therapeutic intervention.” However, this definition would include clinical parameters such as temperature or respiratory rate, and in general a biomarker is given a narrower definition of a biochemical feature that can be used to diagnose or assess the progress of disease or the effects of treatment. As such, blood …","author":[{"dropping-particle":"","family":"Brown","given":"Jeremy S","non-dropping-particle":"","parse-names":false,"suffix":""}],"container-title":"Thorax","id":"ITEM-1","issue":"7","issued":{"date-parts":[["2009","7","1"]]},"page":"556 LP  - 558","title":"Biomarkers and community-acquired pneumonia","type":"article-journal","volume":"64"},"uris":["http://www.mendeley.com/documents/?uuid=8b911a05-ea61-42ef-a343-bbf2be7134d4"]}],"mendeley":{"formattedCitation":"[18]","plainTextFormattedCitation":"[18]","previouslyFormattedCitation":"[18]"},"properties":{"noteIndex":0},"schema":"https://github.com/citation-style-language/schema/raw/master/csl-citation.json"}</w:instrText>
      </w:r>
      <w:r w:rsidR="001C2483"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[18]</w:t>
      </w:r>
      <w:r w:rsidR="001C2483" w:rsidRPr="005B1CCB">
        <w:rPr>
          <w:rFonts w:ascii="Palatino Linotype" w:hAnsi="Palatino Linotype" w:cs="Times New Roman"/>
          <w:sz w:val="24"/>
          <w:szCs w:val="24"/>
        </w:rPr>
        <w:fldChar w:fldCharType="end"/>
      </w:r>
      <w:r w:rsidR="00F15C33">
        <w:rPr>
          <w:rFonts w:ascii="Palatino Linotype" w:hAnsi="Palatino Linotype" w:cs="Times New Roman"/>
          <w:sz w:val="24"/>
          <w:szCs w:val="24"/>
        </w:rPr>
        <w:t xml:space="preserve">. </w:t>
      </w:r>
      <w:r w:rsidR="001C2483" w:rsidRPr="005B1CCB">
        <w:rPr>
          <w:rFonts w:ascii="Palatino Linotype" w:hAnsi="Palatino Linotype" w:cs="Times New Roman"/>
          <w:sz w:val="24"/>
          <w:szCs w:val="24"/>
        </w:rPr>
        <w:t xml:space="preserve">Biological markers that can be used for the diagnosis, prognosis and prediction of cancer are known as cancer biomarkers. </w:t>
      </w:r>
      <w:r w:rsidR="00076228" w:rsidRPr="005B1CCB">
        <w:rPr>
          <w:rFonts w:ascii="Palatino Linotype" w:hAnsi="Palatino Linotype" w:cs="Times New Roman"/>
          <w:sz w:val="24"/>
          <w:szCs w:val="24"/>
        </w:rPr>
        <w:t xml:space="preserve"> </w:t>
      </w:r>
      <w:r w:rsidR="001C2483" w:rsidRPr="005B1CCB">
        <w:rPr>
          <w:rFonts w:ascii="Palatino Linotype" w:hAnsi="Palatino Linotype" w:cs="Times New Roman"/>
          <w:sz w:val="24"/>
          <w:szCs w:val="24"/>
        </w:rPr>
        <w:br/>
        <w:t xml:space="preserve">The expression profile of cancer biomarkers change depending on factors like </w:t>
      </w:r>
      <w:r w:rsidR="00335EAB" w:rsidRPr="005B1CCB">
        <w:rPr>
          <w:rFonts w:ascii="Palatino Linotype" w:hAnsi="Palatino Linotype" w:cs="Times New Roman"/>
          <w:sz w:val="24"/>
          <w:szCs w:val="24"/>
        </w:rPr>
        <w:t>whether</w:t>
      </w:r>
      <w:r w:rsidR="001C2483" w:rsidRPr="005B1CCB">
        <w:rPr>
          <w:rFonts w:ascii="Palatino Linotype" w:hAnsi="Palatino Linotype" w:cs="Times New Roman"/>
          <w:sz w:val="24"/>
          <w:szCs w:val="24"/>
        </w:rPr>
        <w:t xml:space="preserve"> the blood was taken from the patient before or after treatment, chemotherapy or surgery and the established risk</w:t>
      </w:r>
      <w:r w:rsidR="006E5B8A" w:rsidRPr="005B1CCB">
        <w:rPr>
          <w:rFonts w:ascii="Palatino Linotype" w:hAnsi="Palatino Linotype" w:cs="Times New Roman"/>
          <w:sz w:val="24"/>
          <w:szCs w:val="24"/>
        </w:rPr>
        <w:t xml:space="preserve"> factors of the cancer patients </w:t>
      </w:r>
      <w:r w:rsidR="001C2483"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{"citationItems":[{"id":"ITEM-1","itemData":{"DOI":"10.1038/nrc3066","ISBN":"1474-1768 (Electronic)\\r1474-175X (Linking)","ISSN":"1474-175X","PMID":"21562580","abstract":"DNA, mRNA and microRNA are released and circulate in the blood of cancer patients. Changes in the levels of circulating nucleic acids have been associated with tumour burden and malignant progression. In the past decade a wealth of information indicating the potential use of circulating nucleic acids for cancer screening, prognosis and monitoring of the efficacy of anticancer therapies has emerged. In this Review, we discuss these findings with a specific focus on the clinical utility of cell-free nucleic acids as blood biomarkers.","author":[{"dropping-particle":"","family":"Schwarzenbach","given":"Heidi","non-dropping-particle":"","parse-names":false,"suffix":""},{"dropping-particle":"","family":"Hoon","given":"Dave S. B.","non-dropping-particle":"","parse-names":false,"suffix":""},{"dropping-particle":"","family":"Pantel","given":"Klaus","non-dropping-particle":"","parse-names":false,"suffix":""}],"container-title":"Nature Reviews Cancer","id":"ITEM-1","issue":"6","issued":{"date-parts":[["2011"]]},"page":"426-437","publisher":"Nature Publishing Group","title":"Cell-free nucleic acids as biomarkers in cancer patients","type":"article-journal","volume":"11"},"uris":["http://www.mendeley.com/documents/?uuid=56d39a10-a865-4e44-b777-41fcc9b181a7"]}],"mendeley":{"formattedCitation":"[19]","plainTextFormattedCitation":"[19]","previouslyFormattedCitation":"[19]"},"properties":{"noteIndex":0},"schema":"https://github.com/citation-style-language/schema/raw/master/csl-citation.json"}</w:instrText>
      </w:r>
      <w:r w:rsidR="001C2483"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[19]</w:t>
      </w:r>
      <w:r w:rsidR="001C2483" w:rsidRPr="005B1CCB">
        <w:rPr>
          <w:rFonts w:ascii="Palatino Linotype" w:hAnsi="Palatino Linotype" w:cs="Times New Roman"/>
          <w:sz w:val="24"/>
          <w:szCs w:val="24"/>
        </w:rPr>
        <w:fldChar w:fldCharType="end"/>
      </w:r>
      <w:r w:rsidR="006E5B8A" w:rsidRPr="005B1CCB">
        <w:rPr>
          <w:rFonts w:ascii="Palatino Linotype" w:hAnsi="Palatino Linotype" w:cs="Times New Roman"/>
          <w:sz w:val="24"/>
          <w:szCs w:val="24"/>
        </w:rPr>
        <w:t>.</w:t>
      </w:r>
    </w:p>
    <w:p w14:paraId="35A17F49" w14:textId="77777777" w:rsidR="001C2483" w:rsidRPr="005B1CCB" w:rsidRDefault="001C2483"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Sensitivity and specificity requirements are greatly dependent on the type of application intended, the relevant sample type and molecular target. For example, DNA and RNA are selected as preferred targets for infectious disease testing as there is a direct correlation to the presence of an active infection, but in the case of cancer, blood might be the relevant clinical specimen as it contains </w:t>
      </w:r>
      <w:r w:rsidR="00BF407F" w:rsidRPr="005B1CCB">
        <w:rPr>
          <w:rFonts w:ascii="Palatino Linotype" w:hAnsi="Palatino Linotype" w:cs="Times New Roman"/>
          <w:sz w:val="24"/>
          <w:szCs w:val="24"/>
        </w:rPr>
        <w:t>both</w:t>
      </w:r>
      <w:r w:rsidRPr="005B1CCB">
        <w:rPr>
          <w:rFonts w:ascii="Palatino Linotype" w:hAnsi="Palatino Linotype" w:cs="Times New Roman"/>
          <w:sz w:val="24"/>
          <w:szCs w:val="24"/>
        </w:rPr>
        <w:t xml:space="preserve"> circulating tumour cells </w:t>
      </w:r>
      <w:r w:rsidR="00076228" w:rsidRPr="005B1CCB">
        <w:rPr>
          <w:rFonts w:ascii="Palatino Linotype" w:hAnsi="Palatino Linotype" w:cs="Times New Roman"/>
          <w:sz w:val="24"/>
          <w:szCs w:val="24"/>
        </w:rPr>
        <w:t xml:space="preserve">(CTCs) and </w:t>
      </w:r>
      <w:r w:rsidR="00BF407F" w:rsidRPr="005B1CCB">
        <w:rPr>
          <w:rFonts w:ascii="Palatino Linotype" w:hAnsi="Palatino Linotype" w:cs="Times New Roman"/>
          <w:sz w:val="24"/>
          <w:szCs w:val="24"/>
        </w:rPr>
        <w:t>Circulating tumour DNA (ctDNA)</w:t>
      </w:r>
      <w:r w:rsidR="00076228" w:rsidRPr="005B1CCB">
        <w:rPr>
          <w:rFonts w:ascii="Palatino Linotype" w:hAnsi="Palatino Linotype" w:cs="Times New Roman"/>
          <w:sz w:val="24"/>
          <w:szCs w:val="24"/>
        </w:rPr>
        <w:t xml:space="preserve"> </w:t>
      </w:r>
      <w:r w:rsidR="006E5B8A" w:rsidRPr="005B1CCB">
        <w:rPr>
          <w:rFonts w:ascii="Palatino Linotype" w:hAnsi="Palatino Linotype" w:cs="Times New Roman"/>
          <w:sz w:val="24"/>
          <w:szCs w:val="24"/>
        </w:rPr>
        <w:t xml:space="preserve">as relevant indications </w:t>
      </w:r>
      <w:r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{"citationItems":[{"id":"ITEM-1","itemData":{"DOI":"10.1021/acssensors.6b00691","ISSN":"23793694","abstract":"The ultimate goal of developing sensors for biomolecular analytes is to offer new tools for the analysis of clinical specimens for biomarkers of disease. It is thus important to understand the types of samples that are routinely used in the clinic for specific indications, and what the typical levels of relevant analytes are in these specimens. This Sensor Issues article summarizes information concerning levels of target molecules and cells that are of interest for the development of new diagnostics for infectious disease and cancer. Having this information in hand helps better define the “needle-in-a-haystack” challenge associated with developing robust sensors with the needed levels of sensitivity and specificity.","author":[{"dropping-particle":"","family":"Kelley","given":"Shana O.","non-dropping-particle":"","parse-names":false,"suffix":""}],"container-title":"ACS Sensors","id":"ITEM-1","issue":"2","issued":{"date-parts":[["2017"]]},"page":"193-197","title":"What Are Clinically Relevant Levels of Cellular and Biomolecular Analytes?","type":"article-journal","volume":"2"},"uris":["http://www.mendeley.com/documents/?uuid=6172c676-c4ff-4773-86e5-cc6263801289"]}],"mendeley":{"formattedCitation":"[20]","plainTextFormattedCitation":"[20]","previouslyFormattedCitation":"[20]"},"properties":{"noteIndex":0},"schema":"https://github.com/citation-style-language/schema/raw/master/csl-citation.json"}</w:instrText>
      </w:r>
      <w:r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[20]</w:t>
      </w:r>
      <w:r w:rsidRPr="005B1CCB">
        <w:rPr>
          <w:rFonts w:ascii="Palatino Linotype" w:hAnsi="Palatino Linotype" w:cs="Times New Roman"/>
          <w:sz w:val="24"/>
          <w:szCs w:val="24"/>
        </w:rPr>
        <w:fldChar w:fldCharType="end"/>
      </w:r>
      <w:r w:rsidR="006E5B8A" w:rsidRPr="005B1CCB">
        <w:rPr>
          <w:rFonts w:ascii="Palatino Linotype" w:hAnsi="Palatino Linotype" w:cs="Times New Roman"/>
          <w:sz w:val="24"/>
          <w:szCs w:val="24"/>
        </w:rPr>
        <w:t>.</w:t>
      </w:r>
    </w:p>
    <w:p w14:paraId="0F9CF59B" w14:textId="77777777" w:rsidR="00944795" w:rsidRPr="005B1CCB" w:rsidRDefault="00944795" w:rsidP="0052183A">
      <w:pPr>
        <w:spacing w:line="360" w:lineRule="auto"/>
        <w:jc w:val="both"/>
        <w:rPr>
          <w:rFonts w:ascii="Palatino Linotype" w:hAnsi="Palatino Linotype" w:cs="Times New Roman"/>
          <w:b/>
          <w:bCs/>
          <w:iCs/>
          <w:sz w:val="24"/>
          <w:szCs w:val="24"/>
          <w:u w:val="single"/>
        </w:rPr>
      </w:pPr>
      <w:bookmarkStart w:id="21" w:name="_Toc431387564"/>
      <w:r w:rsidRPr="005B1CCB">
        <w:rPr>
          <w:rFonts w:ascii="Palatino Linotype" w:hAnsi="Palatino Linotype" w:cs="Times New Roman"/>
          <w:b/>
          <w:bCs/>
          <w:iCs/>
          <w:sz w:val="24"/>
          <w:szCs w:val="24"/>
          <w:u w:val="single"/>
        </w:rPr>
        <w:t>Characteristics of an ideal biomarker</w:t>
      </w:r>
      <w:bookmarkEnd w:id="21"/>
      <w:r w:rsidRPr="005B1CCB">
        <w:rPr>
          <w:rFonts w:ascii="Palatino Linotype" w:hAnsi="Palatino Linotype" w:cs="Times New Roman"/>
          <w:b/>
          <w:bCs/>
          <w:iCs/>
          <w:sz w:val="24"/>
          <w:szCs w:val="24"/>
          <w:u w:val="single"/>
        </w:rPr>
        <w:t xml:space="preserve">  </w:t>
      </w:r>
    </w:p>
    <w:p w14:paraId="1386E5DF"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Should be reproducible and permit repeated measurements over time</w:t>
      </w:r>
    </w:p>
    <w:p w14:paraId="392D5615"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Should be quantifiable in a non-invasive way </w:t>
      </w:r>
    </w:p>
    <w:p w14:paraId="1B4C34B4"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Should bring about no physical injury to the persons being examined</w:t>
      </w:r>
    </w:p>
    <w:p w14:paraId="558EA565"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Tests should be affordable, quick and carried out in an uncomplicated manner</w:t>
      </w:r>
    </w:p>
    <w:p w14:paraId="5C6C02E2"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Samples should be stable to permit an effortless transport</w:t>
      </w:r>
    </w:p>
    <w:p w14:paraId="36B78739"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The retrieval of fluids should be effortless and able to be carried out in settings besides the hospital</w:t>
      </w:r>
    </w:p>
    <w:p w14:paraId="39CB577F"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Modifications should not be more than two-fold to permit control differentiation</w:t>
      </w:r>
    </w:p>
    <w:p w14:paraId="48E8690B" w14:textId="77777777" w:rsidR="00944795" w:rsidRPr="005B1CCB" w:rsidRDefault="00944795" w:rsidP="005218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Good cut-off values that can discern between diseases</w:t>
      </w:r>
    </w:p>
    <w:p w14:paraId="1712B6E5" w14:textId="1B6D3F41" w:rsidR="0031433A" w:rsidRDefault="00944795" w:rsidP="0031433A">
      <w:pPr>
        <w:pStyle w:val="ListParagraph"/>
        <w:numPr>
          <w:ilvl w:val="0"/>
          <w:numId w:val="2"/>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Data on biomarkers should be published in peer-reviewed journals and reproduced by two or more independent researchers</w:t>
      </w:r>
    </w:p>
    <w:p w14:paraId="49205D9B" w14:textId="5A037BA0" w:rsidR="006E7EB1" w:rsidRPr="00492F11" w:rsidRDefault="00700CD8" w:rsidP="006E7EB1">
      <w:pPr>
        <w:spacing w:line="360" w:lineRule="auto"/>
        <w:jc w:val="both"/>
        <w:rPr>
          <w:rFonts w:ascii="Palatino Linotype" w:hAnsi="Palatino Linotype" w:cs="Times New Roman"/>
          <w:b/>
          <w:sz w:val="24"/>
          <w:szCs w:val="24"/>
        </w:rPr>
      </w:pPr>
      <w:r w:rsidRPr="00492F11">
        <w:rPr>
          <w:rFonts w:ascii="Palatino Linotype" w:hAnsi="Palatino Linotype" w:cs="Times New Roman"/>
          <w:b/>
          <w:sz w:val="24"/>
          <w:szCs w:val="24"/>
        </w:rPr>
        <w:t xml:space="preserve">Types of </w:t>
      </w:r>
      <w:r w:rsidR="00D872E4">
        <w:rPr>
          <w:rFonts w:ascii="Palatino Linotype" w:hAnsi="Palatino Linotype" w:cs="Times New Roman"/>
          <w:b/>
          <w:sz w:val="24"/>
          <w:szCs w:val="24"/>
        </w:rPr>
        <w:t xml:space="preserve">cancer </w:t>
      </w:r>
      <w:r w:rsidRPr="00492F11">
        <w:rPr>
          <w:rFonts w:ascii="Palatino Linotype" w:hAnsi="Palatino Linotype" w:cs="Times New Roman"/>
          <w:b/>
          <w:sz w:val="24"/>
          <w:szCs w:val="24"/>
        </w:rPr>
        <w:t>biomarkers</w:t>
      </w:r>
    </w:p>
    <w:p w14:paraId="155624E1" w14:textId="544A7350" w:rsidR="00700CD8" w:rsidRPr="00492F11" w:rsidRDefault="00700CD8" w:rsidP="00492F11">
      <w:pPr>
        <w:pStyle w:val="ListParagraph"/>
        <w:numPr>
          <w:ilvl w:val="0"/>
          <w:numId w:val="39"/>
        </w:numPr>
        <w:spacing w:line="360" w:lineRule="auto"/>
        <w:jc w:val="both"/>
        <w:rPr>
          <w:rFonts w:ascii="Palatino Linotype" w:hAnsi="Palatino Linotype" w:cs="Times New Roman"/>
          <w:sz w:val="24"/>
          <w:szCs w:val="24"/>
        </w:rPr>
      </w:pPr>
      <w:r w:rsidRPr="00492F11">
        <w:rPr>
          <w:rFonts w:ascii="Palatino Linotype" w:hAnsi="Palatino Linotype" w:cs="Times New Roman"/>
          <w:sz w:val="24"/>
          <w:szCs w:val="24"/>
        </w:rPr>
        <w:t>Diagnostic:</w:t>
      </w:r>
      <w:r w:rsidR="00D872E4">
        <w:rPr>
          <w:rFonts w:ascii="Palatino Linotype" w:hAnsi="Palatino Linotype" w:cs="Times New Roman"/>
          <w:sz w:val="24"/>
          <w:szCs w:val="24"/>
        </w:rPr>
        <w:t xml:space="preserve"> This refers to a biological parameter that is used in diagnosing cancer and is useful in determining the disease progression and/or success of treatment.</w:t>
      </w:r>
    </w:p>
    <w:p w14:paraId="3E4510AA" w14:textId="020EDE45" w:rsidR="00700CD8" w:rsidRPr="00492F11" w:rsidRDefault="00700CD8" w:rsidP="00492F11">
      <w:pPr>
        <w:pStyle w:val="ListParagraph"/>
        <w:numPr>
          <w:ilvl w:val="0"/>
          <w:numId w:val="39"/>
        </w:numPr>
        <w:spacing w:line="360" w:lineRule="auto"/>
        <w:jc w:val="both"/>
        <w:rPr>
          <w:rFonts w:ascii="Palatino Linotype" w:hAnsi="Palatino Linotype" w:cs="Times New Roman"/>
          <w:sz w:val="24"/>
          <w:szCs w:val="24"/>
        </w:rPr>
      </w:pPr>
      <w:r w:rsidRPr="00492F11">
        <w:rPr>
          <w:rFonts w:ascii="Palatino Linotype" w:hAnsi="Palatino Linotype" w:cs="Times New Roman"/>
          <w:sz w:val="24"/>
          <w:szCs w:val="24"/>
        </w:rPr>
        <w:t>Prognostic:</w:t>
      </w:r>
      <w:r w:rsidR="00D872E4">
        <w:rPr>
          <w:rFonts w:ascii="Palatino Linotype" w:hAnsi="Palatino Linotype" w:cs="Times New Roman"/>
          <w:sz w:val="24"/>
          <w:szCs w:val="24"/>
        </w:rPr>
        <w:t xml:space="preserve"> This refers to a biomarker that can indicate the likelihood of cancer occurring, recurring or progressing.</w:t>
      </w:r>
    </w:p>
    <w:p w14:paraId="0AE5A7EF" w14:textId="7C7EBB66" w:rsidR="00700CD8" w:rsidRDefault="00700CD8" w:rsidP="00700CD8">
      <w:pPr>
        <w:pStyle w:val="ListParagraph"/>
        <w:numPr>
          <w:ilvl w:val="0"/>
          <w:numId w:val="39"/>
        </w:numPr>
        <w:spacing w:line="360" w:lineRule="auto"/>
        <w:jc w:val="both"/>
        <w:rPr>
          <w:rFonts w:ascii="Palatino Linotype" w:hAnsi="Palatino Linotype" w:cs="Times New Roman"/>
          <w:sz w:val="24"/>
          <w:szCs w:val="24"/>
        </w:rPr>
      </w:pPr>
      <w:r w:rsidRPr="00492F11">
        <w:rPr>
          <w:rFonts w:ascii="Palatino Linotype" w:hAnsi="Palatino Linotype" w:cs="Times New Roman"/>
          <w:sz w:val="24"/>
          <w:szCs w:val="24"/>
        </w:rPr>
        <w:t>Predictive:</w:t>
      </w:r>
      <w:r w:rsidR="00D872E4">
        <w:rPr>
          <w:rFonts w:ascii="Palatino Linotype" w:hAnsi="Palatino Linotype" w:cs="Times New Roman"/>
          <w:sz w:val="24"/>
          <w:szCs w:val="24"/>
        </w:rPr>
        <w:t xml:space="preserve"> This refers to a biological marker that is used to identify individuals who are more likely to respond to a particular intervention or therapy.</w:t>
      </w:r>
    </w:p>
    <w:p w14:paraId="6D6F11A2" w14:textId="08035643" w:rsidR="006479F6" w:rsidRDefault="00700CD8">
      <w:pPr>
        <w:pStyle w:val="ListParagraph"/>
        <w:numPr>
          <w:ilvl w:val="0"/>
          <w:numId w:val="39"/>
        </w:numPr>
        <w:spacing w:line="360" w:lineRule="auto"/>
        <w:jc w:val="both"/>
        <w:rPr>
          <w:rFonts w:ascii="Palatino Linotype" w:hAnsi="Palatino Linotype" w:cs="Times New Roman"/>
          <w:sz w:val="24"/>
          <w:szCs w:val="24"/>
        </w:rPr>
      </w:pPr>
      <w:r w:rsidRPr="00492F11">
        <w:rPr>
          <w:rFonts w:ascii="Palatino Linotype" w:hAnsi="Palatino Linotype" w:cs="Times New Roman"/>
          <w:sz w:val="24"/>
          <w:szCs w:val="24"/>
        </w:rPr>
        <w:t>Biomarkers for monitoring disease status:</w:t>
      </w:r>
      <w:r w:rsidR="00D872E4">
        <w:rPr>
          <w:rFonts w:ascii="Palatino Linotype" w:hAnsi="Palatino Linotype" w:cs="Times New Roman"/>
          <w:sz w:val="24"/>
          <w:szCs w:val="24"/>
        </w:rPr>
        <w:t xml:space="preserve"> This refers to a biomarker that can be used for assessing the status of a cancer disease, and for predicting the likelihood of treatment failure and disease relapse</w:t>
      </w:r>
      <w:r w:rsidR="006479F6">
        <w:rPr>
          <w:rFonts w:ascii="Palatino Linotype" w:hAnsi="Palatino Linotype" w:cs="Times New Roman"/>
          <w:sz w:val="24"/>
          <w:szCs w:val="24"/>
        </w:rPr>
        <w:t>.</w:t>
      </w:r>
    </w:p>
    <w:p w14:paraId="0311081C" w14:textId="78FFEE0F" w:rsidR="00C17D56" w:rsidRDefault="00C17D56" w:rsidP="00C17D56">
      <w:pPr>
        <w:spacing w:line="360" w:lineRule="auto"/>
        <w:jc w:val="both"/>
        <w:rPr>
          <w:rFonts w:ascii="Palatino Linotype" w:hAnsi="Palatino Linotype" w:cs="Times New Roman"/>
          <w:sz w:val="24"/>
          <w:szCs w:val="24"/>
        </w:rPr>
      </w:pPr>
    </w:p>
    <w:p w14:paraId="0D5CAEFD" w14:textId="4A913199" w:rsidR="00C17D56" w:rsidRDefault="00C17D56" w:rsidP="00C17D56">
      <w:pPr>
        <w:spacing w:line="360" w:lineRule="auto"/>
        <w:jc w:val="both"/>
        <w:rPr>
          <w:rFonts w:ascii="Palatino Linotype" w:hAnsi="Palatino Linotype" w:cs="Times New Roman"/>
          <w:sz w:val="24"/>
          <w:szCs w:val="24"/>
        </w:rPr>
      </w:pPr>
    </w:p>
    <w:p w14:paraId="3F288D9A" w14:textId="77777777" w:rsidR="00C17D56" w:rsidRPr="00492F11" w:rsidRDefault="00C17D56" w:rsidP="00492F11">
      <w:pPr>
        <w:spacing w:line="360" w:lineRule="auto"/>
        <w:jc w:val="both"/>
        <w:rPr>
          <w:rFonts w:ascii="Palatino Linotype" w:hAnsi="Palatino Linotype" w:cs="Times New Roman"/>
          <w:sz w:val="24"/>
          <w:szCs w:val="24"/>
        </w:rPr>
      </w:pPr>
    </w:p>
    <w:p w14:paraId="43FF383F" w14:textId="5A04B8F1" w:rsidR="00DE712F" w:rsidRPr="005B1CCB" w:rsidRDefault="00DE712F" w:rsidP="00BF381B">
      <w:pPr>
        <w:pStyle w:val="Heading2"/>
      </w:pPr>
      <w:bookmarkStart w:id="22" w:name="_Toc84528037"/>
      <w:r w:rsidRPr="005B1CCB">
        <w:t>Liquid biopsy</w:t>
      </w:r>
      <w:bookmarkEnd w:id="22"/>
    </w:p>
    <w:p w14:paraId="311DA68C" w14:textId="4EA2FB53" w:rsidR="00CF0640" w:rsidRPr="005B1CCB" w:rsidRDefault="002A0723"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bCs/>
          <w:sz w:val="24"/>
          <w:szCs w:val="24"/>
        </w:rPr>
        <w:t xml:space="preserve">    </w:t>
      </w:r>
      <w:r w:rsidR="001E5121" w:rsidRPr="005B1CCB">
        <w:rPr>
          <w:rFonts w:ascii="Palatino Linotype" w:hAnsi="Palatino Linotype" w:cs="Times New Roman"/>
          <w:bCs/>
          <w:sz w:val="24"/>
          <w:szCs w:val="24"/>
        </w:rPr>
        <w:t>In order to increase the survival rate of cancer patients</w:t>
      </w:r>
      <w:r w:rsidR="004C2ADE" w:rsidRPr="005B1CCB">
        <w:rPr>
          <w:rFonts w:ascii="Palatino Linotype" w:hAnsi="Palatino Linotype" w:cs="Times New Roman"/>
          <w:bCs/>
          <w:sz w:val="24"/>
          <w:szCs w:val="24"/>
        </w:rPr>
        <w:t xml:space="preserve"> by treating early </w:t>
      </w:r>
      <w:r w:rsidR="00A16A93" w:rsidRPr="005B1CCB">
        <w:rPr>
          <w:rFonts w:ascii="Palatino Linotype" w:hAnsi="Palatino Linotype" w:cs="Times New Roman"/>
          <w:bCs/>
          <w:sz w:val="24"/>
          <w:szCs w:val="24"/>
        </w:rPr>
        <w:t xml:space="preserve">and </w:t>
      </w:r>
      <w:r w:rsidR="004C2ADE" w:rsidRPr="005B1CCB">
        <w:rPr>
          <w:rFonts w:ascii="Palatino Linotype" w:hAnsi="Palatino Linotype" w:cs="Times New Roman"/>
          <w:bCs/>
          <w:sz w:val="24"/>
          <w:szCs w:val="24"/>
        </w:rPr>
        <w:t>with the bes</w:t>
      </w:r>
      <w:r w:rsidR="001E5121" w:rsidRPr="005B1CCB">
        <w:rPr>
          <w:rFonts w:ascii="Palatino Linotype" w:hAnsi="Palatino Linotype" w:cs="Times New Roman"/>
          <w:bCs/>
          <w:sz w:val="24"/>
          <w:szCs w:val="24"/>
        </w:rPr>
        <w:t xml:space="preserve">t suited drugs, and only if necessary, highly specific biomarkers (or a combination of biomarkers) and minimally-invasive tests will need to be employed. </w:t>
      </w:r>
      <w:r w:rsidR="00CF0640" w:rsidRPr="00E27313">
        <w:rPr>
          <w:rFonts w:ascii="Palatino Linotype" w:hAnsi="Palatino Linotype" w:cs="Times New Roman"/>
          <w:bCs/>
          <w:sz w:val="24"/>
          <w:szCs w:val="24"/>
        </w:rPr>
        <w:t xml:space="preserve">In cancer diagnostics, </w:t>
      </w:r>
      <w:r w:rsidR="00A16A93" w:rsidRPr="00E27313">
        <w:rPr>
          <w:rFonts w:ascii="Palatino Linotype" w:hAnsi="Palatino Linotype" w:cs="Times New Roman"/>
          <w:bCs/>
          <w:sz w:val="24"/>
          <w:szCs w:val="24"/>
        </w:rPr>
        <w:t xml:space="preserve">two </w:t>
      </w:r>
      <w:r w:rsidR="00CF0640" w:rsidRPr="00E27313">
        <w:rPr>
          <w:rFonts w:ascii="Palatino Linotype" w:hAnsi="Palatino Linotype" w:cs="Times New Roman"/>
          <w:bCs/>
          <w:sz w:val="24"/>
          <w:szCs w:val="24"/>
        </w:rPr>
        <w:t>common</w:t>
      </w:r>
      <w:r w:rsidR="00CF0640" w:rsidRPr="00E27313">
        <w:rPr>
          <w:rFonts w:ascii="Palatino Linotype" w:hAnsi="Palatino Linotype" w:cs="Times New Roman"/>
          <w:b/>
          <w:bCs/>
          <w:sz w:val="24"/>
          <w:szCs w:val="24"/>
        </w:rPr>
        <w:t xml:space="preserve"> </w:t>
      </w:r>
      <w:r w:rsidR="00984630" w:rsidRPr="00E27313">
        <w:rPr>
          <w:rFonts w:ascii="Palatino Linotype" w:hAnsi="Palatino Linotype" w:cs="Times New Roman"/>
          <w:sz w:val="24"/>
          <w:szCs w:val="24"/>
        </w:rPr>
        <w:t>tumour</w:t>
      </w:r>
      <w:r w:rsidR="00CF0640" w:rsidRPr="00E27313">
        <w:rPr>
          <w:rFonts w:ascii="Palatino Linotype" w:hAnsi="Palatino Linotype" w:cs="Times New Roman"/>
          <w:sz w:val="24"/>
          <w:szCs w:val="24"/>
        </w:rPr>
        <w:t xml:space="preserve"> biomarkers appear in blood in the early stages of a </w:t>
      </w:r>
      <w:r w:rsidR="00984630" w:rsidRPr="00E27313">
        <w:rPr>
          <w:rFonts w:ascii="Palatino Linotype" w:hAnsi="Palatino Linotype" w:cs="Times New Roman"/>
          <w:sz w:val="24"/>
          <w:szCs w:val="24"/>
        </w:rPr>
        <w:t>tumour</w:t>
      </w:r>
      <w:r w:rsidR="00CF0640" w:rsidRPr="00E27313">
        <w:rPr>
          <w:rFonts w:ascii="Palatino Linotype" w:hAnsi="Palatino Linotype" w:cs="Times New Roman"/>
          <w:sz w:val="24"/>
          <w:szCs w:val="24"/>
        </w:rPr>
        <w:t xml:space="preserve"> and may present a more practical method of capturing </w:t>
      </w:r>
      <w:r w:rsidR="00984630" w:rsidRPr="00E27313">
        <w:rPr>
          <w:rFonts w:ascii="Palatino Linotype" w:hAnsi="Palatino Linotype" w:cs="Times New Roman"/>
          <w:sz w:val="24"/>
          <w:szCs w:val="24"/>
        </w:rPr>
        <w:t>tumour</w:t>
      </w:r>
      <w:r w:rsidR="00CF0640" w:rsidRPr="00E27313">
        <w:rPr>
          <w:rFonts w:ascii="Palatino Linotype" w:hAnsi="Palatino Linotype" w:cs="Times New Roman"/>
          <w:sz w:val="24"/>
          <w:szCs w:val="24"/>
        </w:rPr>
        <w:t xml:space="preserve"> heterogeneity</w:t>
      </w:r>
      <w:r w:rsidR="004C2ADE" w:rsidRPr="00E27313">
        <w:rPr>
          <w:rFonts w:ascii="Palatino Linotype" w:hAnsi="Palatino Linotype" w:cs="Times New Roman"/>
          <w:sz w:val="24"/>
          <w:szCs w:val="24"/>
        </w:rPr>
        <w:t xml:space="preserve"> than needle biopsy</w:t>
      </w:r>
      <w:r w:rsidR="00CF0640" w:rsidRPr="00E27313">
        <w:rPr>
          <w:rFonts w:ascii="Palatino Linotype" w:hAnsi="Palatino Linotype" w:cs="Times New Roman"/>
          <w:sz w:val="24"/>
          <w:szCs w:val="24"/>
        </w:rPr>
        <w:t xml:space="preserve">. </w:t>
      </w:r>
      <w:r w:rsidR="00CF0640" w:rsidRPr="00E27313">
        <w:rPr>
          <w:rFonts w:ascii="Palatino Linotype" w:hAnsi="Palatino Linotype" w:cs="Times New Roman"/>
          <w:bCs/>
          <w:sz w:val="24"/>
          <w:szCs w:val="24"/>
        </w:rPr>
        <w:t>Tumour heterogeneity</w:t>
      </w:r>
      <w:r w:rsidR="00CF0640" w:rsidRPr="00E27313">
        <w:rPr>
          <w:rFonts w:ascii="Palatino Linotype" w:hAnsi="Palatino Linotype" w:cs="Times New Roman"/>
          <w:sz w:val="24"/>
          <w:szCs w:val="24"/>
        </w:rPr>
        <w:t> describes differences between tumours of the same type in different patients, and between </w:t>
      </w:r>
      <w:r w:rsidR="00CF0640" w:rsidRPr="00E27313">
        <w:rPr>
          <w:rFonts w:ascii="Palatino Linotype" w:hAnsi="Palatino Linotype" w:cs="Times New Roman"/>
          <w:bCs/>
          <w:sz w:val="24"/>
          <w:szCs w:val="24"/>
        </w:rPr>
        <w:t>cancer</w:t>
      </w:r>
      <w:r w:rsidR="00CF0640" w:rsidRPr="00E27313">
        <w:rPr>
          <w:rFonts w:ascii="Palatino Linotype" w:hAnsi="Palatino Linotype" w:cs="Times New Roman"/>
          <w:sz w:val="24"/>
          <w:szCs w:val="24"/>
        </w:rPr>
        <w:t> cells within a </w:t>
      </w:r>
      <w:r w:rsidR="00CF0640" w:rsidRPr="00E27313">
        <w:rPr>
          <w:rFonts w:ascii="Palatino Linotype" w:hAnsi="Palatino Linotype" w:cs="Times New Roman"/>
          <w:bCs/>
          <w:sz w:val="24"/>
          <w:szCs w:val="24"/>
        </w:rPr>
        <w:t>tumour</w:t>
      </w:r>
      <w:r w:rsidR="00CF0640" w:rsidRPr="00E27313">
        <w:rPr>
          <w:rFonts w:ascii="Palatino Linotype" w:hAnsi="Palatino Linotype" w:cs="Times New Roman"/>
          <w:sz w:val="24"/>
          <w:szCs w:val="24"/>
        </w:rPr>
        <w:t>.</w:t>
      </w:r>
      <w:r w:rsidR="00CF0640" w:rsidRPr="005B1CCB">
        <w:rPr>
          <w:rFonts w:ascii="Palatino Linotype" w:hAnsi="Palatino Linotype" w:cs="Times New Roman"/>
          <w:sz w:val="24"/>
          <w:szCs w:val="24"/>
        </w:rPr>
        <w:t xml:space="preserve"> Both can lead to different responses to therapy.</w:t>
      </w:r>
      <w:r w:rsidR="00CF0640" w:rsidRPr="005B1CCB">
        <w:rPr>
          <w:rFonts w:ascii="Palatino Linotype" w:hAnsi="Palatino Linotype" w:cs="Times New Roman"/>
          <w:b/>
          <w:bCs/>
          <w:sz w:val="24"/>
          <w:szCs w:val="24"/>
        </w:rPr>
        <w:t xml:space="preserve"> </w:t>
      </w:r>
      <w:r w:rsidR="007438DD" w:rsidRPr="005B1CCB">
        <w:rPr>
          <w:rFonts w:ascii="Palatino Linotype" w:hAnsi="Palatino Linotype" w:cs="Times New Roman"/>
          <w:sz w:val="24"/>
          <w:szCs w:val="24"/>
        </w:rPr>
        <w:t>Recent development in the analysis of blood samples for non-invasive “liquid biopsy” elements have revealed CTCs</w:t>
      </w:r>
      <w:r w:rsidR="00F6783B">
        <w:rPr>
          <w:rFonts w:ascii="Palatino Linotype" w:hAnsi="Palatino Linotype" w:cs="Times New Roman"/>
          <w:sz w:val="24"/>
          <w:szCs w:val="24"/>
        </w:rPr>
        <w:t xml:space="preserve"> </w:t>
      </w:r>
      <w:r w:rsidR="007438DD" w:rsidRPr="005B1CCB">
        <w:rPr>
          <w:rFonts w:ascii="Palatino Linotype" w:hAnsi="Palatino Linotype" w:cs="Times New Roman"/>
          <w:sz w:val="24"/>
          <w:szCs w:val="24"/>
        </w:rPr>
        <w:t xml:space="preserve">and ctDNA </w:t>
      </w:r>
      <w:r w:rsidR="00F6783B" w:rsidRPr="005B1CCB">
        <w:rPr>
          <w:rFonts w:ascii="Palatino Linotype" w:hAnsi="Palatino Linotype" w:cs="Times New Roman"/>
          <w:sz w:val="24"/>
          <w:szCs w:val="24"/>
        </w:rPr>
        <w:t>a</w:t>
      </w:r>
      <w:r w:rsidR="00F6783B">
        <w:rPr>
          <w:rFonts w:ascii="Palatino Linotype" w:hAnsi="Palatino Linotype" w:cs="Times New Roman"/>
          <w:sz w:val="24"/>
          <w:szCs w:val="24"/>
        </w:rPr>
        <w:t>re</w:t>
      </w:r>
      <w:r w:rsidR="00F6783B" w:rsidRPr="005B1CCB">
        <w:rPr>
          <w:rFonts w:ascii="Palatino Linotype" w:hAnsi="Palatino Linotype" w:cs="Times New Roman"/>
          <w:sz w:val="24"/>
          <w:szCs w:val="24"/>
        </w:rPr>
        <w:t xml:space="preserve"> </w:t>
      </w:r>
      <w:r w:rsidR="007438DD" w:rsidRPr="005B1CCB">
        <w:rPr>
          <w:rFonts w:ascii="Palatino Linotype" w:hAnsi="Palatino Linotype" w:cs="Times New Roman"/>
          <w:sz w:val="24"/>
          <w:szCs w:val="24"/>
        </w:rPr>
        <w:t xml:space="preserve">important markers capable of providing important complementary information on therapeutic targets and drug resistance mechanisms in cancer patients </w:t>
      </w:r>
      <w:r w:rsidR="007438DD"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{"citationItems":[{"id":"ITEM-1","itemData":{"DOI":"10.1038/nrc3066","ISBN":"1474-1768 (Electronic)\\r1474-175X (Linking)","ISSN":"1474-175X","PMID":"21562580","abstract":"DNA, mRNA and microRNA are released and circulate in the blood of cancer patients. Changes in the levels of circulating nucleic acids have been associated with tumour burden and malignant progression. In the past decade a wealth of information indicating the potential use of circulating nucleic acids for cancer screening, prognosis and monitoring of the efficacy of anticancer therapies has emerged. In this Review, we discuss these findings with a specific focus on the clinical utility of cell-free nucleic acids as blood biomarkers.","author":[{"dropping-particle":"","family":"Schwarzenbach","given":"Heidi","non-dropping-particle":"","parse-names":false,"suffix":""},{"dropping-particle":"","family":"Hoon","given":"Dave S. B.","non-dropping-particle":"","parse-names":false,"suffix":""},{"dropping-particle":"","family":"Pantel","given":"Klaus","non-dropping-particle":"","parse-names":false,"suffix":""}],"container-title":"Nature Reviews Cancer","id":"ITEM-1","issue":"6","issued":{"date-parts":[["2011"]]},"page":"426-437","publisher":"Nature Publishing Group","title":"Cell-free nucleic acids as biomarkers in cancer patients","type":"article-journal","volume":"11"},"uris":["http://www.mendeley.com/documents/?uuid=56d39a10-a865-4e44-b777-41fcc9b181a7"]},{"id":"ITEM-2","itemData":{"DOI":"10.3978/j.issn.2218-676X.2015.06.05","ISBN":"2219-6803","ISSN":"2218-676X","abstract":"Molecular characterization of a patient’s tumor to guide treatment decisions is increasingly being applied in clinical care and can have a significant impact on disease outcome. These molecular analyses, including mutation characterization, are typically performed on tissue acquired through a biopsy at diagnosis. However, tumors are highly heterogeneous and sampling in its entirety is challenging. Furthermore, tumors evolve over time and can alter their molecular genotype, making clinical decisions based on historical biopsy data suboptimal. Personalized medicine for cancer patients aims to tailor the best treatment options for the individual at diagnosis and during treatment. To fully enable personalized medicine it is desirable to have an easily accessible, minimally invasive way to determine and follow the molecular makeup of a patient’s tumor longitudinally. One such approach is through a liquid biopsy, where the genetic makeup of the tumor can be assessed through a biofluid sample. Liquid biopsies have the potential to help clinicians screen for disease, stratify patients to the best treatment and monitor treatment response and resistance mechanisms in the tumor. A liquid biopsy can be used for molecular characterization of the tumor and its non-invasive nature allows repeat sampling to monitor genetic changes over time without the need for a tissue biopsy. This review will summarize three approaches in the liquid biopsy field: circulating tumor cells (CTCs), cell free DNA (cfDNA) and exosomes. We also outline some of the analytical challenges encountered using liquid biopsy techniques to detect rare mutations in a background of wild-type sequences.","author":[{"dropping-particle":"","family":"Brock","given":"Graham","non-dropping-particle":"","parse-names":false,"suffix":""},{"dropping-particle":"","family":"Castellanos-Rizaldos","given":"Elena","non-dropping-particle":"","parse-names":false,"suffix":""},{"dropping-particle":"","family":"Hu","given":"Lan","non-dropping-particle":"","parse-names":false,"suffix":""},{"dropping-particle":"","family":"Coticchia","given":"Christine","non-dropping-particle":"","parse-names":false,"suffix":""},{"dropping-particle":"","family":"Skog","given":"Johan","non-dropping-particle":"","parse-names":false,"suffix":""}],"container-title":"Translational Cancer Research","id":"ITEM-2","issue":"3","issued":{"date-parts":[["2015"]]},"page":"280-290","title":"Liquid biopsy for cancer screening, patient stratification and monitoring","type":"article-journal","volume":"4"},"uris":["http://www.mendeley.com/documents/?uuid=46e12bdd-fcfc-4249-a0ec-7ba6bf6266cf"]}],"mendeley":{"formattedCitation":"[19], [21]","manualFormatting":"[9][10]","plainTextFormattedCitation":"[19], [21]","previouslyFormattedCitation":"[19], [21]"},"properties":{"noteIndex":0},"schema":"https://github.com/citation-style-language/schema/raw/master/csl-citation.json"}</w:instrText>
      </w:r>
      <w:r w:rsidR="007438DD" w:rsidRPr="005B1CCB">
        <w:rPr>
          <w:rFonts w:ascii="Palatino Linotype" w:hAnsi="Palatino Linotype" w:cs="Times New Roman"/>
          <w:sz w:val="24"/>
          <w:szCs w:val="24"/>
        </w:rPr>
        <w:fldChar w:fldCharType="separate"/>
      </w:r>
      <w:r w:rsidR="007438DD" w:rsidRPr="005B1CCB">
        <w:rPr>
          <w:rFonts w:ascii="Palatino Linotype" w:hAnsi="Palatino Linotype" w:cs="Times New Roman"/>
          <w:noProof/>
          <w:sz w:val="24"/>
          <w:szCs w:val="24"/>
        </w:rPr>
        <w:t>[9][10]</w:t>
      </w:r>
      <w:r w:rsidR="007438DD" w:rsidRPr="005B1CCB">
        <w:rPr>
          <w:rFonts w:ascii="Palatino Linotype" w:hAnsi="Palatino Linotype" w:cs="Times New Roman"/>
          <w:sz w:val="24"/>
          <w:szCs w:val="24"/>
        </w:rPr>
        <w:fldChar w:fldCharType="end"/>
      </w:r>
      <w:r w:rsidR="007438DD" w:rsidRPr="005B1CCB">
        <w:rPr>
          <w:rFonts w:ascii="Palatino Linotype" w:hAnsi="Palatino Linotype" w:cs="Times New Roman"/>
          <w:sz w:val="24"/>
          <w:szCs w:val="24"/>
        </w:rPr>
        <w:t xml:space="preserve">. </w:t>
      </w:r>
      <w:r w:rsidR="00CF0640" w:rsidRPr="005B1CCB">
        <w:rPr>
          <w:rFonts w:ascii="Palatino Linotype" w:hAnsi="Palatino Linotype" w:cs="Times New Roman"/>
          <w:bCs/>
          <w:sz w:val="24"/>
          <w:szCs w:val="24"/>
        </w:rPr>
        <w:t xml:space="preserve">The term ‘liquid biopsy’ </w:t>
      </w:r>
      <w:r w:rsidR="00F57B67" w:rsidRPr="005B1CCB">
        <w:rPr>
          <w:rFonts w:ascii="Palatino Linotype" w:hAnsi="Palatino Linotype" w:cs="Times New Roman"/>
          <w:bCs/>
          <w:sz w:val="24"/>
          <w:szCs w:val="24"/>
        </w:rPr>
        <w:t>wa</w:t>
      </w:r>
      <w:r w:rsidR="00CF0640" w:rsidRPr="005B1CCB">
        <w:rPr>
          <w:rFonts w:ascii="Palatino Linotype" w:hAnsi="Palatino Linotype" w:cs="Times New Roman"/>
          <w:bCs/>
          <w:sz w:val="24"/>
          <w:szCs w:val="24"/>
        </w:rPr>
        <w:t>s coined to describe the methods used to analyse these tumour biomarkers</w:t>
      </w:r>
      <w:r w:rsidR="00AA3001" w:rsidRPr="005B1CCB">
        <w:rPr>
          <w:rFonts w:ascii="Palatino Linotype" w:hAnsi="Palatino Linotype" w:cs="Times New Roman"/>
          <w:bCs/>
          <w:sz w:val="24"/>
          <w:szCs w:val="24"/>
        </w:rPr>
        <w:t>.</w:t>
      </w:r>
      <w:r w:rsidR="00CF0640" w:rsidRPr="005B1CCB">
        <w:rPr>
          <w:rFonts w:ascii="Palatino Linotype" w:hAnsi="Palatino Linotype" w:cs="Times New Roman"/>
          <w:sz w:val="24"/>
          <w:szCs w:val="24"/>
        </w:rPr>
        <w:t xml:space="preserve"> </w:t>
      </w:r>
    </w:p>
    <w:p w14:paraId="4C7E4E07" w14:textId="06C9926E" w:rsidR="0052461A" w:rsidRPr="0052461A" w:rsidRDefault="0052461A" w:rsidP="00492F11">
      <w:pPr>
        <w:pStyle w:val="Heading3"/>
      </w:pPr>
      <w:bookmarkStart w:id="23" w:name="_Toc84528038"/>
      <w:r w:rsidRPr="0052461A">
        <w:t>Parameters used in liquid biopsy</w:t>
      </w:r>
      <w:bookmarkEnd w:id="23"/>
    </w:p>
    <w:p w14:paraId="2484485F" w14:textId="51304D0C" w:rsidR="0052461A" w:rsidRPr="0052461A" w:rsidRDefault="0052461A" w:rsidP="0052461A">
      <w:pPr>
        <w:spacing w:line="360" w:lineRule="auto"/>
        <w:jc w:val="both"/>
        <w:rPr>
          <w:rFonts w:ascii="Palatino Linotype" w:hAnsi="Palatino Linotype" w:cs="Times New Roman"/>
          <w:bCs/>
          <w:sz w:val="24"/>
          <w:szCs w:val="24"/>
        </w:rPr>
      </w:pPr>
      <w:bookmarkStart w:id="24" w:name="_Hlk84096279"/>
      <w:r w:rsidRPr="00492F11">
        <w:rPr>
          <w:rFonts w:ascii="Palatino Linotype" w:hAnsi="Palatino Linotype" w:cs="Times New Roman"/>
          <w:b/>
          <w:bCs/>
          <w:sz w:val="24"/>
          <w:szCs w:val="24"/>
        </w:rPr>
        <w:t>Selectivity/Specificity</w:t>
      </w:r>
      <w:r w:rsidRPr="0052461A">
        <w:rPr>
          <w:rFonts w:ascii="Palatino Linotype" w:hAnsi="Palatino Linotype" w:cs="Times New Roman"/>
          <w:bCs/>
          <w:sz w:val="24"/>
          <w:szCs w:val="24"/>
        </w:rPr>
        <w:t>:</w:t>
      </w:r>
      <w:r w:rsidR="005320A9">
        <w:rPr>
          <w:rFonts w:ascii="Palatino Linotype" w:hAnsi="Palatino Linotype" w:cs="Times New Roman"/>
          <w:bCs/>
          <w:sz w:val="24"/>
          <w:szCs w:val="24"/>
        </w:rPr>
        <w:t xml:space="preserve"> This is an analytical method that has the ability to accurately measure an analyte in the presence of other interferences</w:t>
      </w:r>
      <w:r w:rsidR="005F2946">
        <w:rPr>
          <w:rFonts w:ascii="Palatino Linotype" w:hAnsi="Palatino Linotype" w:cs="Times New Roman"/>
          <w:bCs/>
          <w:sz w:val="24"/>
          <w:szCs w:val="24"/>
        </w:rPr>
        <w:t xml:space="preserve"> </w:t>
      </w:r>
      <w:r w:rsidR="005F2946">
        <w:rPr>
          <w:rFonts w:ascii="Palatino Linotype" w:hAnsi="Palatino Linotype" w:cs="Times New Roman"/>
          <w:bCs/>
          <w:sz w:val="24"/>
          <w:szCs w:val="24"/>
        </w:rPr>
        <w:fldChar w:fldCharType="begin" w:fldLock="1"/>
      </w:r>
      <w:r w:rsidR="000766C5">
        <w:rPr>
          <w:rFonts w:ascii="Palatino Linotype" w:hAnsi="Palatino Linotype" w:cs="Times New Roman"/>
          <w:bCs/>
          <w:sz w:val="24"/>
          <w:szCs w:val="24"/>
        </w:rPr>
        <w:instrText>ADDIN CSL_CITATION {"citationItems":[{"id":"ITEM-1","itemData":{"DOI":"10.5772/intechopen.72087","author":[{"dropping-particle":"","family":"Tentu Nageswara Rao","given":"","non-dropping-particle":"","parse-names":false,"suffix":""}],"id":"ITEM-1","issued":{"date-parts":[["2018"]]},"title":"Calibration and Validation of Analytical Methods - A Sampling of Current Approaches","type":"book"},"uris":["http://www.mendeley.com/documents/?uuid=9dba5c41-a818-4044-9bac-244fcdbf4c6a"]}],"mendeley":{"formattedCitation":"[22]","plainTextFormattedCitation":"[22]","previouslyFormattedCitation":"[22]"},"properties":{"noteIndex":0},"schema":"https://github.com/citation-style-language/schema/raw/master/csl-citation.json"}</w:instrText>
      </w:r>
      <w:r w:rsidR="005F2946">
        <w:rPr>
          <w:rFonts w:ascii="Palatino Linotype" w:hAnsi="Palatino Linotype" w:cs="Times New Roman"/>
          <w:bCs/>
          <w:sz w:val="24"/>
          <w:szCs w:val="24"/>
        </w:rPr>
        <w:fldChar w:fldCharType="separate"/>
      </w:r>
      <w:r w:rsidR="005F2946" w:rsidRPr="005F2946">
        <w:rPr>
          <w:rFonts w:ascii="Palatino Linotype" w:hAnsi="Palatino Linotype" w:cs="Times New Roman"/>
          <w:bCs/>
          <w:noProof/>
          <w:sz w:val="24"/>
          <w:szCs w:val="24"/>
        </w:rPr>
        <w:t>[22]</w:t>
      </w:r>
      <w:r w:rsidR="005F2946">
        <w:rPr>
          <w:rFonts w:ascii="Palatino Linotype" w:hAnsi="Palatino Linotype" w:cs="Times New Roman"/>
          <w:bCs/>
          <w:sz w:val="24"/>
          <w:szCs w:val="24"/>
        </w:rPr>
        <w:fldChar w:fldCharType="end"/>
      </w:r>
      <w:r w:rsidR="005320A9">
        <w:rPr>
          <w:rFonts w:ascii="Palatino Linotype" w:hAnsi="Palatino Linotype" w:cs="Times New Roman"/>
          <w:bCs/>
          <w:sz w:val="24"/>
          <w:szCs w:val="24"/>
        </w:rPr>
        <w:t>.</w:t>
      </w:r>
    </w:p>
    <w:p w14:paraId="01D93896" w14:textId="0DCECF40" w:rsidR="0052461A" w:rsidRPr="0052461A" w:rsidRDefault="0052461A" w:rsidP="0052461A">
      <w:pPr>
        <w:spacing w:line="360" w:lineRule="auto"/>
        <w:jc w:val="both"/>
        <w:rPr>
          <w:rFonts w:ascii="Palatino Linotype" w:hAnsi="Palatino Linotype" w:cs="Times New Roman"/>
          <w:bCs/>
          <w:sz w:val="24"/>
          <w:szCs w:val="24"/>
        </w:rPr>
      </w:pPr>
      <w:r w:rsidRPr="00492F11">
        <w:rPr>
          <w:rFonts w:ascii="Palatino Linotype" w:hAnsi="Palatino Linotype" w:cs="Times New Roman"/>
          <w:b/>
          <w:bCs/>
          <w:sz w:val="24"/>
          <w:szCs w:val="24"/>
        </w:rPr>
        <w:t>Sensitivity</w:t>
      </w:r>
      <w:r w:rsidRPr="0052461A">
        <w:rPr>
          <w:rFonts w:ascii="Palatino Linotype" w:hAnsi="Palatino Linotype" w:cs="Times New Roman"/>
          <w:bCs/>
          <w:sz w:val="24"/>
          <w:szCs w:val="24"/>
        </w:rPr>
        <w:t>:</w:t>
      </w:r>
      <w:r w:rsidR="0000380A">
        <w:rPr>
          <w:rFonts w:ascii="Palatino Linotype" w:hAnsi="Palatino Linotype" w:cs="Times New Roman"/>
          <w:bCs/>
          <w:sz w:val="24"/>
          <w:szCs w:val="24"/>
        </w:rPr>
        <w:t xml:space="preserve"> This is the frequency at which a test shows a true </w:t>
      </w:r>
      <w:r w:rsidR="00D84C32">
        <w:rPr>
          <w:rFonts w:ascii="Palatino Linotype" w:hAnsi="Palatino Linotype" w:cs="Times New Roman"/>
          <w:bCs/>
          <w:sz w:val="24"/>
          <w:szCs w:val="24"/>
        </w:rPr>
        <w:t>positive</w:t>
      </w:r>
      <w:r w:rsidR="0000380A">
        <w:rPr>
          <w:rFonts w:ascii="Palatino Linotype" w:hAnsi="Palatino Linotype" w:cs="Times New Roman"/>
          <w:bCs/>
          <w:sz w:val="24"/>
          <w:szCs w:val="24"/>
        </w:rPr>
        <w:t xml:space="preserve"> result among individuals who have a disease or the genetic variant in question</w:t>
      </w:r>
      <w:r w:rsidR="005F2946">
        <w:rPr>
          <w:rFonts w:ascii="Palatino Linotype" w:hAnsi="Palatino Linotype" w:cs="Times New Roman"/>
          <w:bCs/>
          <w:sz w:val="24"/>
          <w:szCs w:val="24"/>
        </w:rPr>
        <w:t xml:space="preserve"> </w:t>
      </w:r>
      <w:r w:rsidR="005F2946">
        <w:rPr>
          <w:rFonts w:ascii="Palatino Linotype" w:hAnsi="Palatino Linotype" w:cs="Times New Roman"/>
          <w:bCs/>
          <w:sz w:val="24"/>
          <w:szCs w:val="24"/>
        </w:rPr>
        <w:fldChar w:fldCharType="begin" w:fldLock="1"/>
      </w:r>
      <w:r w:rsidR="000766C5">
        <w:rPr>
          <w:rFonts w:ascii="Palatino Linotype" w:hAnsi="Palatino Linotype" w:cs="Times New Roman"/>
          <w:bCs/>
          <w:sz w:val="24"/>
          <w:szCs w:val="24"/>
        </w:rPr>
        <w:instrText>ADDIN CSL_CITATION {"citationItems":[{"id":"ITEM-1","itemData":{"URL":"https://www.cancer.gov/publications/dictionaries/genetics-dictionary/def/sensitivity","author":[{"dropping-particle":"","family":"National Cancer Institute","given":"","non-dropping-particle":"","parse-names":false,"suffix":""}],"container-title":"NCI dictionaries","id":"ITEM-1","issued":{"date-parts":[["2021"]]},"title":"Sensitivity","type":"webpage"},"uris":["http://www.mendeley.com/documents/?uuid=05fefc07-8dca-48b3-983d-43019fb107cd"]}],"mendeley":{"formattedCitation":"[23]","plainTextFormattedCitation":"[23]","previouslyFormattedCitation":"[23]"},"properties":{"noteIndex":0},"schema":"https://github.com/citation-style-language/schema/raw/master/csl-citation.json"}</w:instrText>
      </w:r>
      <w:r w:rsidR="005F2946">
        <w:rPr>
          <w:rFonts w:ascii="Palatino Linotype" w:hAnsi="Palatino Linotype" w:cs="Times New Roman"/>
          <w:bCs/>
          <w:sz w:val="24"/>
          <w:szCs w:val="24"/>
        </w:rPr>
        <w:fldChar w:fldCharType="separate"/>
      </w:r>
      <w:r w:rsidR="005F2946" w:rsidRPr="005F2946">
        <w:rPr>
          <w:rFonts w:ascii="Palatino Linotype" w:hAnsi="Palatino Linotype" w:cs="Times New Roman"/>
          <w:bCs/>
          <w:noProof/>
          <w:sz w:val="24"/>
          <w:szCs w:val="24"/>
        </w:rPr>
        <w:t>[23]</w:t>
      </w:r>
      <w:r w:rsidR="005F2946">
        <w:rPr>
          <w:rFonts w:ascii="Palatino Linotype" w:hAnsi="Palatino Linotype" w:cs="Times New Roman"/>
          <w:bCs/>
          <w:sz w:val="24"/>
          <w:szCs w:val="24"/>
        </w:rPr>
        <w:fldChar w:fldCharType="end"/>
      </w:r>
      <w:r w:rsidR="0000380A">
        <w:rPr>
          <w:rFonts w:ascii="Palatino Linotype" w:hAnsi="Palatino Linotype" w:cs="Times New Roman"/>
          <w:bCs/>
          <w:sz w:val="24"/>
          <w:szCs w:val="24"/>
        </w:rPr>
        <w:t>.</w:t>
      </w:r>
    </w:p>
    <w:p w14:paraId="055C7E54" w14:textId="0FF219B5" w:rsidR="0052461A" w:rsidRPr="0052461A" w:rsidRDefault="0052461A" w:rsidP="0052461A">
      <w:pPr>
        <w:spacing w:line="360" w:lineRule="auto"/>
        <w:jc w:val="both"/>
        <w:rPr>
          <w:rFonts w:ascii="Palatino Linotype" w:hAnsi="Palatino Linotype" w:cs="Times New Roman"/>
          <w:bCs/>
          <w:sz w:val="24"/>
          <w:szCs w:val="24"/>
        </w:rPr>
      </w:pPr>
      <w:r w:rsidRPr="00492F11">
        <w:rPr>
          <w:rFonts w:ascii="Palatino Linotype" w:hAnsi="Palatino Linotype" w:cs="Times New Roman"/>
          <w:b/>
          <w:bCs/>
          <w:sz w:val="24"/>
          <w:szCs w:val="24"/>
        </w:rPr>
        <w:t>Range</w:t>
      </w:r>
      <w:r w:rsidRPr="0052461A">
        <w:rPr>
          <w:rFonts w:ascii="Palatino Linotype" w:hAnsi="Palatino Linotype" w:cs="Times New Roman"/>
          <w:bCs/>
          <w:sz w:val="24"/>
          <w:szCs w:val="24"/>
        </w:rPr>
        <w:t>:</w:t>
      </w:r>
      <w:r w:rsidR="005320A9">
        <w:rPr>
          <w:rFonts w:ascii="Palatino Linotype" w:hAnsi="Palatino Linotype" w:cs="Times New Roman"/>
          <w:bCs/>
          <w:sz w:val="24"/>
          <w:szCs w:val="24"/>
        </w:rPr>
        <w:t xml:space="preserve"> This is the interval between upper and lower levels of concentration</w:t>
      </w:r>
      <w:r w:rsidR="000766C5">
        <w:rPr>
          <w:rFonts w:ascii="Palatino Linotype" w:hAnsi="Palatino Linotype" w:cs="Times New Roman"/>
          <w:bCs/>
          <w:sz w:val="24"/>
          <w:szCs w:val="24"/>
        </w:rPr>
        <w:t xml:space="preserve"> </w:t>
      </w:r>
      <w:r w:rsidR="000766C5">
        <w:rPr>
          <w:rFonts w:ascii="Palatino Linotype" w:hAnsi="Palatino Linotype" w:cs="Times New Roman"/>
          <w:bCs/>
          <w:sz w:val="24"/>
          <w:szCs w:val="24"/>
        </w:rPr>
        <w:fldChar w:fldCharType="begin" w:fldLock="1"/>
      </w:r>
      <w:r w:rsidR="000766C5">
        <w:rPr>
          <w:rFonts w:ascii="Palatino Linotype" w:hAnsi="Palatino Linotype" w:cs="Times New Roman"/>
          <w:bCs/>
          <w:sz w:val="24"/>
          <w:szCs w:val="24"/>
        </w:rPr>
        <w:instrText>ADDIN CSL_CITATION {"citationItems":[{"id":"ITEM-1","itemData":{"DOI":"10.5772/intechopen.72087","author":[{"dropping-particle":"","family":"Tentu Nageswara Rao","given":"","non-dropping-particle":"","parse-names":false,"suffix":""}],"id":"ITEM-1","issued":{"date-parts":[["2018"]]},"title":"Calibration and Validation of Analytical Methods - A Sampling of Current Approaches","type":"book"},"uris":["http://www.mendeley.com/documents/?uuid=9dba5c41-a818-4044-9bac-244fcdbf4c6a"]}],"mendeley":{"formattedCitation":"[22]","plainTextFormattedCitation":"[22]","previouslyFormattedCitation":"[22]"},"properties":{"noteIndex":0},"schema":"https://github.com/citation-style-language/schema/raw/master/csl-citation.json"}</w:instrText>
      </w:r>
      <w:r w:rsidR="000766C5">
        <w:rPr>
          <w:rFonts w:ascii="Palatino Linotype" w:hAnsi="Palatino Linotype" w:cs="Times New Roman"/>
          <w:bCs/>
          <w:sz w:val="24"/>
          <w:szCs w:val="24"/>
        </w:rPr>
        <w:fldChar w:fldCharType="separate"/>
      </w:r>
      <w:r w:rsidR="000766C5" w:rsidRPr="000766C5">
        <w:rPr>
          <w:rFonts w:ascii="Palatino Linotype" w:hAnsi="Palatino Linotype" w:cs="Times New Roman"/>
          <w:bCs/>
          <w:noProof/>
          <w:sz w:val="24"/>
          <w:szCs w:val="24"/>
        </w:rPr>
        <w:t>[22]</w:t>
      </w:r>
      <w:r w:rsidR="000766C5">
        <w:rPr>
          <w:rFonts w:ascii="Palatino Linotype" w:hAnsi="Palatino Linotype" w:cs="Times New Roman"/>
          <w:bCs/>
          <w:sz w:val="24"/>
          <w:szCs w:val="24"/>
        </w:rPr>
        <w:fldChar w:fldCharType="end"/>
      </w:r>
      <w:r w:rsidR="005320A9">
        <w:rPr>
          <w:rFonts w:ascii="Palatino Linotype" w:hAnsi="Palatino Linotype" w:cs="Times New Roman"/>
          <w:bCs/>
          <w:sz w:val="24"/>
          <w:szCs w:val="24"/>
        </w:rPr>
        <w:t>.</w:t>
      </w:r>
    </w:p>
    <w:p w14:paraId="486719F5" w14:textId="6E8C549B" w:rsidR="0052461A" w:rsidRPr="0052461A" w:rsidRDefault="0052461A" w:rsidP="0052461A">
      <w:pPr>
        <w:spacing w:line="360" w:lineRule="auto"/>
        <w:jc w:val="both"/>
        <w:rPr>
          <w:rFonts w:ascii="Palatino Linotype" w:hAnsi="Palatino Linotype" w:cs="Times New Roman"/>
          <w:bCs/>
          <w:sz w:val="24"/>
          <w:szCs w:val="24"/>
        </w:rPr>
      </w:pPr>
      <w:r w:rsidRPr="00492F11">
        <w:rPr>
          <w:rFonts w:ascii="Palatino Linotype" w:hAnsi="Palatino Linotype" w:cs="Times New Roman"/>
          <w:b/>
          <w:bCs/>
          <w:sz w:val="24"/>
          <w:szCs w:val="24"/>
        </w:rPr>
        <w:t>Accuracy</w:t>
      </w:r>
      <w:r w:rsidRPr="0052461A">
        <w:rPr>
          <w:rFonts w:ascii="Palatino Linotype" w:hAnsi="Palatino Linotype" w:cs="Times New Roman"/>
          <w:bCs/>
          <w:sz w:val="24"/>
          <w:szCs w:val="24"/>
        </w:rPr>
        <w:t>:</w:t>
      </w:r>
      <w:r w:rsidR="005320A9">
        <w:rPr>
          <w:rFonts w:ascii="Palatino Linotype" w:hAnsi="Palatino Linotype" w:cs="Times New Roman"/>
          <w:bCs/>
          <w:sz w:val="24"/>
          <w:szCs w:val="24"/>
        </w:rPr>
        <w:t xml:space="preserve"> This is the degree of agreement of test results generated by a method to the true value</w:t>
      </w:r>
      <w:r w:rsidR="000766C5">
        <w:rPr>
          <w:rFonts w:ascii="Palatino Linotype" w:hAnsi="Palatino Linotype" w:cs="Times New Roman"/>
          <w:bCs/>
          <w:sz w:val="24"/>
          <w:szCs w:val="24"/>
        </w:rPr>
        <w:t xml:space="preserve"> </w:t>
      </w:r>
      <w:r w:rsidR="000766C5">
        <w:rPr>
          <w:rFonts w:ascii="Palatino Linotype" w:hAnsi="Palatino Linotype" w:cs="Times New Roman"/>
          <w:bCs/>
          <w:sz w:val="24"/>
          <w:szCs w:val="24"/>
        </w:rPr>
        <w:fldChar w:fldCharType="begin" w:fldLock="1"/>
      </w:r>
      <w:r w:rsidR="000766C5">
        <w:rPr>
          <w:rFonts w:ascii="Palatino Linotype" w:hAnsi="Palatino Linotype" w:cs="Times New Roman"/>
          <w:bCs/>
          <w:sz w:val="24"/>
          <w:szCs w:val="24"/>
        </w:rPr>
        <w:instrText>ADDIN CSL_CITATION {"citationItems":[{"id":"ITEM-1","itemData":{"DOI":"10.5772/intechopen.72087","author":[{"dropping-particle":"","family":"Tentu Nageswara Rao","given":"","non-dropping-particle":"","parse-names":false,"suffix":""}],"id":"ITEM-1","issued":{"date-parts":[["2018"]]},"title":"Calibration and Validation of Analytical Methods - A Sampling of Current Approaches","type":"book"},"uris":["http://www.mendeley.com/documents/?uuid=9dba5c41-a818-4044-9bac-244fcdbf4c6a"]}],"mendeley":{"formattedCitation":"[22]","plainTextFormattedCitation":"[22]","previouslyFormattedCitation":"[22]"},"properties":{"noteIndex":0},"schema":"https://github.com/citation-style-language/schema/raw/master/csl-citation.json"}</w:instrText>
      </w:r>
      <w:r w:rsidR="000766C5">
        <w:rPr>
          <w:rFonts w:ascii="Palatino Linotype" w:hAnsi="Palatino Linotype" w:cs="Times New Roman"/>
          <w:bCs/>
          <w:sz w:val="24"/>
          <w:szCs w:val="24"/>
        </w:rPr>
        <w:fldChar w:fldCharType="separate"/>
      </w:r>
      <w:r w:rsidR="000766C5" w:rsidRPr="000766C5">
        <w:rPr>
          <w:rFonts w:ascii="Palatino Linotype" w:hAnsi="Palatino Linotype" w:cs="Times New Roman"/>
          <w:bCs/>
          <w:noProof/>
          <w:sz w:val="24"/>
          <w:szCs w:val="24"/>
        </w:rPr>
        <w:t>[22]</w:t>
      </w:r>
      <w:r w:rsidR="000766C5">
        <w:rPr>
          <w:rFonts w:ascii="Palatino Linotype" w:hAnsi="Palatino Linotype" w:cs="Times New Roman"/>
          <w:bCs/>
          <w:sz w:val="24"/>
          <w:szCs w:val="24"/>
        </w:rPr>
        <w:fldChar w:fldCharType="end"/>
      </w:r>
      <w:r w:rsidR="005320A9">
        <w:rPr>
          <w:rFonts w:ascii="Palatino Linotype" w:hAnsi="Palatino Linotype" w:cs="Times New Roman"/>
          <w:bCs/>
          <w:sz w:val="24"/>
          <w:szCs w:val="24"/>
        </w:rPr>
        <w:t>.</w:t>
      </w:r>
    </w:p>
    <w:p w14:paraId="5F089C59" w14:textId="4DEC0EFC" w:rsidR="005320A9" w:rsidRDefault="0052461A" w:rsidP="005320A9">
      <w:pPr>
        <w:spacing w:line="360" w:lineRule="auto"/>
        <w:jc w:val="both"/>
        <w:rPr>
          <w:rFonts w:ascii="Palatino Linotype" w:hAnsi="Palatino Linotype" w:cs="Times New Roman"/>
          <w:bCs/>
          <w:sz w:val="24"/>
          <w:szCs w:val="24"/>
        </w:rPr>
      </w:pPr>
      <w:r w:rsidRPr="00492F11">
        <w:rPr>
          <w:rFonts w:ascii="Palatino Linotype" w:hAnsi="Palatino Linotype" w:cs="Times New Roman"/>
          <w:b/>
          <w:bCs/>
          <w:sz w:val="24"/>
          <w:szCs w:val="24"/>
        </w:rPr>
        <w:t>Limit of detection</w:t>
      </w:r>
      <w:r w:rsidRPr="0052461A">
        <w:rPr>
          <w:rFonts w:ascii="Palatino Linotype" w:hAnsi="Palatino Linotype" w:cs="Times New Roman"/>
          <w:bCs/>
          <w:sz w:val="24"/>
          <w:szCs w:val="24"/>
        </w:rPr>
        <w:t>:</w:t>
      </w:r>
      <w:r w:rsidR="005320A9">
        <w:rPr>
          <w:rFonts w:ascii="Palatino Linotype" w:hAnsi="Palatino Linotype" w:cs="Times New Roman"/>
          <w:bCs/>
          <w:sz w:val="24"/>
          <w:szCs w:val="24"/>
        </w:rPr>
        <w:t xml:space="preserve"> </w:t>
      </w:r>
      <w:r w:rsidR="005320A9" w:rsidRPr="00492F11">
        <w:rPr>
          <w:rFonts w:ascii="Palatino Linotype" w:hAnsi="Palatino Linotype" w:cs="Times New Roman"/>
          <w:bCs/>
          <w:sz w:val="24"/>
          <w:szCs w:val="24"/>
        </w:rPr>
        <w:t>This is the</w:t>
      </w:r>
      <w:r w:rsidR="005320A9">
        <w:rPr>
          <w:rFonts w:ascii="Palatino Linotype" w:hAnsi="Palatino Linotype" w:cs="Times New Roman"/>
          <w:b/>
          <w:bCs/>
          <w:sz w:val="24"/>
          <w:szCs w:val="24"/>
        </w:rPr>
        <w:t xml:space="preserve"> </w:t>
      </w:r>
      <w:r w:rsidR="005320A9" w:rsidRPr="00492F11">
        <w:rPr>
          <w:rFonts w:ascii="Palatino Linotype" w:hAnsi="Palatino Linotype" w:cs="Times New Roman"/>
          <w:bCs/>
          <w:sz w:val="24"/>
          <w:szCs w:val="24"/>
        </w:rPr>
        <w:t xml:space="preserve">lowest concentration at which an instrument is able to detect but not quantify. </w:t>
      </w:r>
      <w:r w:rsidR="005320A9">
        <w:rPr>
          <w:rFonts w:ascii="Palatino Linotype" w:hAnsi="Palatino Linotype" w:cs="Times New Roman"/>
          <w:bCs/>
          <w:sz w:val="24"/>
          <w:szCs w:val="24"/>
        </w:rPr>
        <w:t>The noise to signal ratio for LOQ is 1:</w:t>
      </w:r>
      <w:r w:rsidR="003C22CF">
        <w:rPr>
          <w:rFonts w:ascii="Palatino Linotype" w:hAnsi="Palatino Linotype" w:cs="Times New Roman"/>
          <w:bCs/>
          <w:sz w:val="24"/>
          <w:szCs w:val="24"/>
        </w:rPr>
        <w:t>3</w:t>
      </w:r>
      <w:r w:rsidR="000766C5">
        <w:rPr>
          <w:rFonts w:ascii="Palatino Linotype" w:hAnsi="Palatino Linotype" w:cs="Times New Roman"/>
          <w:bCs/>
          <w:sz w:val="24"/>
          <w:szCs w:val="24"/>
        </w:rPr>
        <w:t xml:space="preserve"> </w:t>
      </w:r>
      <w:r w:rsidR="000766C5">
        <w:rPr>
          <w:rFonts w:ascii="Palatino Linotype" w:hAnsi="Palatino Linotype" w:cs="Times New Roman"/>
          <w:bCs/>
          <w:sz w:val="24"/>
          <w:szCs w:val="24"/>
        </w:rPr>
        <w:fldChar w:fldCharType="begin" w:fldLock="1"/>
      </w:r>
      <w:r w:rsidR="000766C5">
        <w:rPr>
          <w:rFonts w:ascii="Palatino Linotype" w:hAnsi="Palatino Linotype" w:cs="Times New Roman"/>
          <w:bCs/>
          <w:sz w:val="24"/>
          <w:szCs w:val="24"/>
        </w:rPr>
        <w:instrText>ADDIN CSL_CITATION {"citationItems":[{"id":"ITEM-1","itemData":{"DOI":"10.5772/intechopen.72087","author":[{"dropping-particle":"","family":"Tentu Nageswara Rao","given":"","non-dropping-particle":"","parse-names":false,"suffix":""}],"id":"ITEM-1","issued":{"date-parts":[["2018"]]},"title":"Calibration and Validation of Analytical Methods - A Sampling of Current Approaches","type":"book"},"uris":["http://www.mendeley.com/documents/?uuid=9dba5c41-a818-4044-9bac-244fcdbf4c6a"]}],"mendeley":{"formattedCitation":"[22]","plainTextFormattedCitation":"[22]","previouslyFormattedCitation":"[22]"},"properties":{"noteIndex":0},"schema":"https://github.com/citation-style-language/schema/raw/master/csl-citation.json"}</w:instrText>
      </w:r>
      <w:r w:rsidR="000766C5">
        <w:rPr>
          <w:rFonts w:ascii="Palatino Linotype" w:hAnsi="Palatino Linotype" w:cs="Times New Roman"/>
          <w:bCs/>
          <w:sz w:val="24"/>
          <w:szCs w:val="24"/>
        </w:rPr>
        <w:fldChar w:fldCharType="separate"/>
      </w:r>
      <w:r w:rsidR="000766C5" w:rsidRPr="000766C5">
        <w:rPr>
          <w:rFonts w:ascii="Palatino Linotype" w:hAnsi="Palatino Linotype" w:cs="Times New Roman"/>
          <w:bCs/>
          <w:noProof/>
          <w:sz w:val="24"/>
          <w:szCs w:val="24"/>
        </w:rPr>
        <w:t>[22]</w:t>
      </w:r>
      <w:r w:rsidR="000766C5">
        <w:rPr>
          <w:rFonts w:ascii="Palatino Linotype" w:hAnsi="Palatino Linotype" w:cs="Times New Roman"/>
          <w:bCs/>
          <w:sz w:val="24"/>
          <w:szCs w:val="24"/>
        </w:rPr>
        <w:fldChar w:fldCharType="end"/>
      </w:r>
      <w:r w:rsidR="003C22CF">
        <w:rPr>
          <w:rFonts w:ascii="Palatino Linotype" w:hAnsi="Palatino Linotype" w:cs="Times New Roman"/>
          <w:bCs/>
          <w:sz w:val="24"/>
          <w:szCs w:val="24"/>
        </w:rPr>
        <w:t>.</w:t>
      </w:r>
      <w:r w:rsidR="005320A9" w:rsidRPr="00492F11">
        <w:rPr>
          <w:rFonts w:ascii="Palatino Linotype" w:hAnsi="Palatino Linotype" w:cs="Times New Roman"/>
          <w:b/>
          <w:bCs/>
          <w:sz w:val="24"/>
          <w:szCs w:val="24"/>
        </w:rPr>
        <w:t>Limit of quantitation</w:t>
      </w:r>
      <w:r w:rsidR="005320A9">
        <w:rPr>
          <w:rFonts w:ascii="Palatino Linotype" w:hAnsi="Palatino Linotype" w:cs="Times New Roman"/>
          <w:bCs/>
          <w:sz w:val="24"/>
          <w:szCs w:val="24"/>
        </w:rPr>
        <w:t>: This is the lowest concentration at which an instrument is able to detect and quantify. The noise to signal ratio for LOQ is 1:10</w:t>
      </w:r>
      <w:r w:rsidR="000766C5">
        <w:rPr>
          <w:rFonts w:ascii="Palatino Linotype" w:hAnsi="Palatino Linotype" w:cs="Times New Roman"/>
          <w:bCs/>
          <w:sz w:val="24"/>
          <w:szCs w:val="24"/>
        </w:rPr>
        <w:t xml:space="preserve"> </w:t>
      </w:r>
      <w:r w:rsidR="000766C5">
        <w:rPr>
          <w:rFonts w:ascii="Palatino Linotype" w:hAnsi="Palatino Linotype" w:cs="Times New Roman"/>
          <w:bCs/>
          <w:sz w:val="24"/>
          <w:szCs w:val="24"/>
        </w:rPr>
        <w:fldChar w:fldCharType="begin" w:fldLock="1"/>
      </w:r>
      <w:r w:rsidR="000766C5">
        <w:rPr>
          <w:rFonts w:ascii="Palatino Linotype" w:hAnsi="Palatino Linotype" w:cs="Times New Roman"/>
          <w:bCs/>
          <w:sz w:val="24"/>
          <w:szCs w:val="24"/>
        </w:rPr>
        <w:instrText>ADDIN CSL_CITATION {"citationItems":[{"id":"ITEM-1","itemData":{"DOI":"10.5772/intechopen.72087","author":[{"dropping-particle":"","family":"Tentu Nageswara Rao","given":"","non-dropping-particle":"","parse-names":false,"suffix":""}],"id":"ITEM-1","issued":{"date-parts":[["2018"]]},"title":"Calibration and Validation of Analytical Methods - A Sampling of Current Approaches","type":"book"},"uris":["http://www.mendeley.com/documents/?uuid=9dba5c41-a818-4044-9bac-244fcdbf4c6a"]}],"mendeley":{"formattedCitation":"[22]","plainTextFormattedCitation":"[22]"},"properties":{"noteIndex":0},"schema":"https://github.com/citation-style-language/schema/raw/master/csl-citation.json"}</w:instrText>
      </w:r>
      <w:r w:rsidR="000766C5">
        <w:rPr>
          <w:rFonts w:ascii="Palatino Linotype" w:hAnsi="Palatino Linotype" w:cs="Times New Roman"/>
          <w:bCs/>
          <w:sz w:val="24"/>
          <w:szCs w:val="24"/>
        </w:rPr>
        <w:fldChar w:fldCharType="separate"/>
      </w:r>
      <w:r w:rsidR="000766C5" w:rsidRPr="000766C5">
        <w:rPr>
          <w:rFonts w:ascii="Palatino Linotype" w:hAnsi="Palatino Linotype" w:cs="Times New Roman"/>
          <w:bCs/>
          <w:noProof/>
          <w:sz w:val="24"/>
          <w:szCs w:val="24"/>
        </w:rPr>
        <w:t>[22]</w:t>
      </w:r>
      <w:r w:rsidR="000766C5">
        <w:rPr>
          <w:rFonts w:ascii="Palatino Linotype" w:hAnsi="Palatino Linotype" w:cs="Times New Roman"/>
          <w:bCs/>
          <w:sz w:val="24"/>
          <w:szCs w:val="24"/>
        </w:rPr>
        <w:fldChar w:fldCharType="end"/>
      </w:r>
      <w:r w:rsidR="003C22CF">
        <w:rPr>
          <w:rFonts w:ascii="Palatino Linotype" w:hAnsi="Palatino Linotype" w:cs="Times New Roman"/>
          <w:bCs/>
          <w:sz w:val="24"/>
          <w:szCs w:val="24"/>
        </w:rPr>
        <w:t>.</w:t>
      </w:r>
    </w:p>
    <w:p w14:paraId="20F12FD5" w14:textId="77777777" w:rsidR="00C17D56" w:rsidRPr="005B1CCB" w:rsidRDefault="00C17D56" w:rsidP="005320A9">
      <w:pPr>
        <w:spacing w:line="360" w:lineRule="auto"/>
        <w:jc w:val="both"/>
        <w:rPr>
          <w:rFonts w:ascii="Palatino Linotype" w:hAnsi="Palatino Linotype" w:cs="Times New Roman"/>
          <w:bCs/>
          <w:sz w:val="24"/>
          <w:szCs w:val="24"/>
        </w:rPr>
      </w:pPr>
    </w:p>
    <w:p w14:paraId="4A09BB56" w14:textId="5110F2D0" w:rsidR="00E267EB" w:rsidRPr="005B1CCB" w:rsidRDefault="00E267EB" w:rsidP="00D71969">
      <w:pPr>
        <w:pStyle w:val="Heading3"/>
      </w:pPr>
      <w:bookmarkStart w:id="25" w:name="_Toc84528039"/>
      <w:bookmarkEnd w:id="24"/>
      <w:r w:rsidRPr="005B1CCB">
        <w:t>ctDNA</w:t>
      </w:r>
      <w:bookmarkEnd w:id="25"/>
    </w:p>
    <w:p w14:paraId="7264B392" w14:textId="2ECDA75F" w:rsidR="00E267EB" w:rsidRPr="005B1CCB" w:rsidRDefault="00D345BA" w:rsidP="00E267E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E267EB" w:rsidRPr="005B1CCB">
        <w:rPr>
          <w:rFonts w:ascii="Palatino Linotype" w:hAnsi="Palatino Linotype" w:cs="Times New Roman"/>
          <w:sz w:val="24"/>
          <w:szCs w:val="24"/>
        </w:rPr>
        <w:t>In cancer patients, a fraction of cell-free DNA (cfDNA) called ctDNA can be found</w:t>
      </w:r>
      <w:r w:rsidR="00467D43" w:rsidRPr="005B1CCB">
        <w:rPr>
          <w:rFonts w:ascii="Palatino Linotype" w:hAnsi="Palatino Linotype" w:cs="Times New Roman"/>
          <w:sz w:val="24"/>
          <w:szCs w:val="24"/>
        </w:rPr>
        <w:t xml:space="preserve"> in blood</w:t>
      </w:r>
      <w:r w:rsidR="00E267EB" w:rsidRPr="005B1CCB">
        <w:rPr>
          <w:rFonts w:ascii="Palatino Linotype" w:hAnsi="Palatino Linotype" w:cs="Times New Roman"/>
          <w:sz w:val="24"/>
          <w:szCs w:val="24"/>
        </w:rPr>
        <w:t xml:space="preserve">, which originates from tumours and may carry the same mutations and genetic alterations as those present in the primary tumour </w:t>
      </w:r>
      <w:r w:rsidR="00E267E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{"citationItems":[{"id":"ITEM-1","itemData":{"DOI":"10.1038/s41598-017-12679-8","ISSN":"2045-2322","abstract":"Rearrangements of the anaplastic lymphoma kinase (ALK) gene in non-small cell lung cancer (NSCLC) represent a novel molecular target in a small subset of tumors. Although ALK rearrangements are usually assessed by immunohistochemistry (IHC) and fluorescence in situ hybridization (FISH), molecular approaches have recently emerged as relevant alternatives in routine laboratories. Here, we evaluated the use of two different amplicon-based next-generation sequencing (NGS) methods (AmpliSeq and Archer®FusionPlex®) to detect ALK rearrangements, and compared these with IHC and FISH. A total of 1128 NSCLC specimens were screened using conventional analyses, and a subset of 37 (15 ALK-positive, and 22 ALK-negative) samples were selected for NGS assays. Although AmpliSeq correctly detected 25/37 (67.6%) samples, 1/37 (2.7%) and 11/37 (29.7%) specimens were discordant and uncertain, respectively, requiring further validation. In contrast, Archer®FusionPlex® accurately classified all samples and allowed the correct identification of one rare DCTN1-ALK fusion, one novel CLIP1-ALK fusion, and one novel GCC2-ALK transcript. Of particular interest, two out of three patients harboring these singular rearrangements were treated with and sensitive to crizotinib. These data show that Archer®FusionPlex® may provide an effective and accurate alternative to FISH testing for the detection of known and novel ALK rearrangements in clinical diagnostic settings.","author":[{"dropping-particle":"","family":"Vendrell","given":"Julie A","non-dropping-particle":"","parse-names":false,"suffix":""},{"dropping-particle":"","family":"Taviaux","given":"Sylvie","non-dropping-particle":"","parse-names":false,"suffix":""},{"dropping-particle":"","family":"Béganton","given":"Benoît","non-dropping-particle":"","parse-names":false,"suffix":""},{"dropping-particle":"","family":"Godreuil","given":"Sylvain","non-dropping-particle":"","parse-names":false,"suffix":""},{"dropping-particle":"","family":"Audran","given":"Patricia","non-dropping-particle":"","parse-names":false,"suffix":""},{"dropping-particle":"","family":"Grand","given":"David","non-dropping-particle":"","parse-names":false,"suffix":""},{"dropping-particle":"","family":"Clermont","given":"Estelle","non-dropping-particle":"","parse-names":false,"suffix":""},{"dropping-particle":"","family":"Serre","given":"Isabelle","non-dropping-particle":"","parse-names":false,"suffix":""},{"dropping-particle":"","family":"Szablewski","given":"Vanessa","non-dropping-particle":"","parse-names":false,"suffix":""},{"dropping-particle":"","family":"Coopman","given":"Peter","non-dropping-particle":"","parse-names":false,"suffix":""},{"dropping-particle":"","family":"Mazières","given":"Julien","non-dropping-particle":"","parse-names":false,"suffix":""},{"dropping-particle":"","family":"Costes","given":"Valérie","non-dropping-particle":"","parse-names":false,"suffix":""},{"dropping-particle":"","family":"Pujol","given":"Jean-Louis","non-dropping-particle":"","parse-names":false,"suffix":""},{"dropping-particle":"","family":"Brousset","given":"Pierre","non-dropping-particle":"","parse-names":false,"suffix":""},{"dropping-particle":"","family":"Rouquette","given":"Isabelle","non-dropping-particle":"","parse-names":false,"suffix":""},{"dropping-particle":"","family":"Solassol","given":"Jérôme","non-dropping-particle":"","parse-names":false,"suffix":""}],"container-title":"Scientific Reports","id":"ITEM-1","issue":"1","issued":{"date-parts":[["2017"]]},"page":"12510","title":"Detection of known and novel ALK fusion transcripts in lung cancer patients using next-generation sequencing approaches","type":"article-journal","volume":"7"},"uris":["http://www.mendeley.com/documents/?uuid=571d6c0b-bb98-49f8-ad6a-0f8a5362a6dd"]}],"mendeley":{"formattedCitation":"[24]","plainTextFormattedCitation":"[24]","previouslyFormattedCitation":"[24]"},"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[24]</w:t>
      </w:r>
      <w:r w:rsidR="00E267EB" w:rsidRPr="005B1CCB">
        <w:rPr>
          <w:rFonts w:ascii="Palatino Linotype" w:hAnsi="Palatino Linotype" w:cs="Times New Roman"/>
          <w:sz w:val="24"/>
          <w:szCs w:val="24"/>
        </w:rPr>
        <w:fldChar w:fldCharType="end"/>
      </w:r>
      <w:r w:rsidR="00294CD0" w:rsidRPr="005B1CCB">
        <w:rPr>
          <w:rFonts w:ascii="Palatino Linotype" w:hAnsi="Palatino Linotype" w:cs="Times New Roman"/>
          <w:sz w:val="24"/>
          <w:szCs w:val="24"/>
        </w:rPr>
        <w:t xml:space="preserve"> as illustrated in </w:t>
      </w:r>
      <w:r w:rsidR="00D90C06" w:rsidRPr="005B1CCB">
        <w:rPr>
          <w:rFonts w:ascii="Palatino Linotype" w:hAnsi="Palatino Linotype" w:cs="Times New Roman"/>
          <w:sz w:val="24"/>
          <w:szCs w:val="24"/>
        </w:rPr>
        <w:t>F</w:t>
      </w:r>
      <w:r w:rsidR="00294CD0" w:rsidRPr="005B1CCB">
        <w:rPr>
          <w:rFonts w:ascii="Palatino Linotype" w:hAnsi="Palatino Linotype" w:cs="Times New Roman"/>
          <w:sz w:val="24"/>
          <w:szCs w:val="24"/>
        </w:rPr>
        <w:t>igure 1</w:t>
      </w:r>
      <w:r w:rsidR="00E267EB" w:rsidRPr="005B1CCB">
        <w:rPr>
          <w:rFonts w:ascii="Palatino Linotype" w:hAnsi="Palatino Linotype" w:cs="Times New Roman"/>
          <w:sz w:val="24"/>
          <w:szCs w:val="24"/>
        </w:rPr>
        <w:t>. It has been estimated that for a patient with a tumour weighing 100g, up to 3% of tumour DNA is released into the blood</w:t>
      </w:r>
      <w:r w:rsidR="00E267EB"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{"citationItems":[{"id":"ITEM-1","itemData":{"DOI":"10.1038/nrc3066","ISBN":"1474-1768 (Electronic)\\r1474-175X (Linking)","ISSN":"1474-175X","PMID":"21562580","abstract":"DNA, mRNA and microRNA are released and circulate in the blood of cancer patients. Changes in the levels of circulating nucleic acids have been associated with tumour burden and malignant progression. In the past decade a wealth of information indicating the potential use of circulating nucleic acids for cancer screening, prognosis and monitoring of the efficacy of anticancer therapies has emerged. In this Review, we discuss these findings with a specific focus on the clinical utility of cell-free nucleic acids as blood biomarkers.","author":[{"dropping-particle":"","family":"Schwarzenbach","given":"Heidi","non-dropping-particle":"","parse-names":false,"suffix":""},{"dropping-particle":"","family":"Hoon","given":"Dave S. B.","non-dropping-particle":"","parse-names":false,"suffix":""},{"dropping-particle":"","family":"Pantel","given":"Klaus","non-dropping-particle":"","parse-names":false,"suffix":""}],"container-title":"Nature Reviews Cancer","id":"ITEM-1","issue":"6","issued":{"date-parts":[["2011"]]},"page":"426-437","publisher":"Nature Publishing Group","title":"Cell-free nucleic acids as biomarkers in cancer patients","type":"article-journal","volume":"11"},"uris":["http://www.mendeley.com/documents/?uuid=56d39a10-a865-4e44-b777-41fcc9b181a7"]}],"mendeley":{"formattedCitation":"[19]","plainTextFormattedCitation":"[19]","previouslyFormattedCitation":"[19]"},"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[19]</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t xml:space="preserve">. Although the mechanism of ctDNA release from tumour cells is poorly understood </w:t>
      </w:r>
      <w:r w:rsidR="00E267E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8lc00100f","author":[{"dropping-particle":"","family":"Gorgannezhad","given":"Lena","non-dropping-particle":"","parse-names":false,"suffix":""},{"dropping-particle":"","family":"Umer","given":"Muhammad","non-dropping-particle":"","parse-names":false,"suffix":""},{"dropping-particle":"","family":"Islam","given":"Nazmul","non-dropping-particle":"","parse-names":false,"suffix":""},{"dropping-particle":"","family":"Nguyen","given":"Nam-trung","non-dropping-particle":"","parse-names":false,"suffix":""},{"dropping-particle":"","family":"Shiddiky","given":"Muhammad J A","non-dropping-particle":"","parse-names":false,"suffix":""}],"id":"ITEM-1","issued":{"date-parts":[["2018"]]},"page":"1174-1196","publisher":"Royal Society of Chemistry","title":"Lab on a Chip Circulating tumor DNA and liquid biopsy : opportunities , challenges , and recent advances in detection technologies","type":"article-journal"},"uris":["http://www.mendeley.com/documents/?uuid=3cccd7ba-f1c8-4407-9a52-99ced632c110"]}],"mendeley":{"formattedCitation":"[25]","plainTextFormattedCitation":"[25]","previouslyFormattedCitation":"[25]"},"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[25]</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t xml:space="preserve">,  it is thought to be released in small quantities following apoptosis or necrosis. ctDNA usually comprises 0.01-1% of the circulating free DNA in blood </w:t>
      </w:r>
      <w:r w:rsidR="00E267E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{"citationItems":[{"id":"ITEM-1","itemData":{"DOI":"10.1039/C5RA27625J","ISSN":"2046-2069","abstract":"&lt;p&gt; By integrating thin-layer molybdenum disulfide (MoS &lt;sub&gt;2&lt;/sub&gt; ) and graphene through a hydrothermal process and an ultrasonic method, a label-free, amplification-free and ultrasensitive circulating tumor DNA electrochemical sensor was made. &lt;/p&gt;","author":[{"dropping-particle":"","family":"Chu","given":"Yilan","non-dropping-particle":"","parse-names":false,"suffix":""},{"dropping-particle":"","family":"Cai","given":"Bin","non-dropping-particle":"","parse-names":false,"suffix":""},{"dropping-particle":"","family":"Ma","given":"Ye","non-dropping-particle":"","parse-names":false,"suffix":""},{"dropping-particle":"","family":"Zhao","given":"Minggang","non-dropping-particle":"","parse-names":false,"suffix":""},{"dropping-particle":"","family":"Ye","given":"Zhizhen","non-dropping-particle":"","parse-names":false,"suffix":""},{"dropping-particle":"","family":"Huang","given":"Jingyun","non-dropping-particle":"","parse-names":false,"suffix":""}],"container-title":"RSC Adv.","id":"ITEM-1","issue":"27","issued":{"date-parts":[["2016","2","26"]]},"page":"22673-22678","publisher":"Royal Society of Chemistry","title":"Highly sensitive electrochemical detection of circulating tumor DNA based on thin-layer MoS &lt;sub&gt;2&lt;/sub&gt; /graphene composites","type":"article-journal","volume":"6"},"uris":["http://www.mendeley.com/documents/?uuid=ed4bd671-5e06-3bdb-ba2b-3723ea862e7e"]}],"mendeley":{"formattedCitation":"[26]","plainTextFormattedCitation":"[26]","previouslyFormattedCitation":"[26]"},"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[26]</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t xml:space="preserve"> and can also currently be detected in other body fluids like lymph, urine and stool </w:t>
      </w:r>
      <w:r w:rsidR="00E267E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{"citationItems":[{"id":"ITEM-1","itemData":{"DOI":"10.1373/clinchem.2013.206359","ISBN":"1530-8561 (Electronic)\\r0009-9147 (Linking)","ISSN":"00099147","PMID":"23938455","abstract":"Multiplex digital PCR (dPCR) enables noninvasive and sensitive detection of circulating tumor DNA with performance unachievable by current molecular-detection approaches. Furthermore, picodroplet dPCR facilitates simultaneous screening for multiple mutations from the same sample.","author":[{"dropping-particle":"","family":"Taly","given":"Valerie","non-dropping-particle":"","parse-names":false,"suffix":""},{"dropping-particle":"","family":"Pekin","given":"Deniz","non-dropping-particle":"","parse-names":false,"suffix":""},{"dropping-particle":"","family":"Benhaim","given":"Leonor","non-dropping-particle":"","parse-names":false,"suffix":""},{"dropping-particle":"","family":"Kotsopoulos","given":"Steve K.","non-dropping-particle":"","parse-names":false,"suffix":""},{"dropping-particle":"Le","family":"Corre","given":"Delphine","non-dropping-particle":"","parse-names":false,"suffix":""},{"dropping-particle":"","family":"Li","given":"Xinyu","non-dropping-particle":"","parse-names":false,"suffix":""},{"dropping-particle":"","family":"Atochin","given":"Ivan","non-dropping-particle":"","parse-names":false,"suffix":""},{"dropping-particle":"","family":"Link","given":"Darren R.","non-dropping-particle":"","parse-names":false,"suffix":""},{"dropping-particle":"","family":"Griffiths","given":"Andrew D.","non-dropping-particle":"","parse-names":false,"suffix":""},{"dropping-particle":"","family":"Pallier","given":"Karine","non-dropping-particle":"","parse-names":false,"suffix":""},{"dropping-particle":"","family":"Blons","given":"Hélène","non-dropping-particle":"","parse-names":false,"suffix":""},{"dropping-particle":"","family":"Bouché","given":"Olivier","non-dropping-particle":"","parse-names":false,"suffix":""},{"dropping-particle":"","family":"Landi","given":"Bruno","non-dropping-particle":"","parse-names":false,"suffix":""},{"dropping-particle":"","family":"Hutchison","given":"J. Brian","non-dropping-particle":"","parse-names":false,"suffix":""},{"dropping-particle":"","family":"Laurent-Puig","given":"Pierre","non-dropping-particle":"","parse-names":false,"suffix":""}],"container-title":"Clinical Chemistry","id":"ITEM-1","issue":"12","issued":{"date-parts":[["2013"]]},"page":"1722-1731","title":"Multiplex picodroplet digital PCR to detect KRAS mutations in circulating DNA from the plasma of colorectal cancer patients","type":"article-journal","volume":"59"},"uris":["http://www.mendeley.com/documents/?uuid=1f9f51a3-b9d5-4038-9de7-d5780b3fe2de"]}],"mendeley":{"formattedCitation":"[27]","plainTextFormattedCitation":"[27]","previouslyFormattedCitation":"[27]"},"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[27]</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t xml:space="preserve">. It is important to note that ctDNA can be shed as both single stranded and double stranded DNA </w:t>
      </w:r>
      <w:r w:rsidR="00E267EB"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{"citationItems":[{"id":"ITEM-1","itemData":{"DOI":"10.1038/nrc3066","ISBN":"1474-1768 (Electronic)\\r1474-175X (Linking)","ISSN":"1474-175X","PMID":"21562580","abstract":"DNA, mRNA and microRNA are released and circulate in the blood of cancer patients. Changes in the levels of circulating nucleic acids have been associated with tumour burden and malignant progression. In the past decade a wealth of information indicating the potential use of circulating nucleic acids for cancer screening, prognosis and monitoring of the efficacy of anticancer therapies has emerged. In this Review, we discuss these findings with a specific focus on the clinical utility of cell-free nucleic acids as blood biomarkers.","author":[{"dropping-particle":"","family":"Schwarzenbach","given":"Heidi","non-dropping-particle":"","parse-names":false,"suffix":""},{"dropping-particle":"","family":"Hoon","given":"Dave S. B.","non-dropping-particle":"","parse-names":false,"suffix":""},{"dropping-particle":"","family":"Pantel","given":"Klaus","non-dropping-particle":"","parse-names":false,"suffix":""}],"container-title":"Nature Reviews Cancer","id":"ITEM-1","issue":"6","issued":{"date-parts":[["2011"]]},"page":"426-437","publisher":"Nature Publishing Group","title":"Cell-free nucleic acids as biomarkers in cancer patients","type":"article-journal","volume":"11"},"uris":["http://www.mendeley.com/documents/?uuid=56d39a10-a865-4e44-b777-41fcc9b181a7"]}],"mendeley":{"formattedCitation":"[19]","plainTextFormattedCitation":"[19]","previouslyFormattedCitation":"[19]"},"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[19]</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t xml:space="preserve">. Both epigenetic and somatic DNA alterations that occur within cancer cells are released into the blood stream following apoptosis or necrosis, which can then be detected in </w:t>
      </w:r>
      <w:r w:rsidR="00F6783B">
        <w:rPr>
          <w:rFonts w:ascii="Palatino Linotype" w:hAnsi="Palatino Linotype" w:cs="Times New Roman"/>
          <w:sz w:val="24"/>
          <w:szCs w:val="24"/>
        </w:rPr>
        <w:t>cf</w:t>
      </w:r>
      <w:r w:rsidR="00E267EB" w:rsidRPr="005B1CCB">
        <w:rPr>
          <w:rFonts w:ascii="Palatino Linotype" w:hAnsi="Palatino Linotype" w:cs="Times New Roman"/>
          <w:sz w:val="24"/>
          <w:szCs w:val="24"/>
        </w:rPr>
        <w:t xml:space="preserve">DNA. It is possible that ctDNA may present a more practical method of capturing tumour heterogeneity and evaluating response to treatment and monitoring disease recurrence </w:t>
      </w:r>
      <w:r w:rsidR="00E267E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{"citationItems":[{"id":"ITEM-1","itemData":{"DOI":"10.1373/clinchem.2013.206359","ISBN":"1530-8561 (Electronic)\\r0009-9147 (Linking)","ISSN":"00099147","PMID":"23938455","abstract":"Multiplex digital PCR (dPCR) enables noninvasive and sensitive detection of circulating tumor DNA with performance unachievable by current molecular-detection approaches. Furthermore, picodroplet dPCR facilitates simultaneous screening for multiple mutations from the same sample.","author":[{"dropping-particle":"","family":"Taly","given":"Valerie","non-dropping-particle":"","parse-names":false,"suffix":""},{"dropping-particle":"","family":"Pekin","given":"Deniz","non-dropping-particle":"","parse-names":false,"suffix":""},{"dropping-particle":"","family":"Benhaim","given":"Leonor","non-dropping-particle":"","parse-names":false,"suffix":""},{"dropping-particle":"","family":"Kotsopoulos","given":"Steve K.","non-dropping-particle":"","parse-names":false,"suffix":""},{"dropping-particle":"Le","family":"Corre","given":"Delphine","non-dropping-particle":"","parse-names":false,"suffix":""},{"dropping-particle":"","family":"Li","given":"Xinyu","non-dropping-particle":"","parse-names":false,"suffix":""},{"dropping-particle":"","family":"Atochin","given":"Ivan","non-dropping-particle":"","parse-names":false,"suffix":""},{"dropping-particle":"","family":"Link","given":"Darren R.","non-dropping-particle":"","parse-names":false,"suffix":""},{"dropping-particle":"","family":"Griffiths","given":"Andrew D.","non-dropping-particle":"","parse-names":false,"suffix":""},{"dropping-particle":"","family":"Pallier","given":"Karine","non-dropping-particle":"","parse-names":false,"suffix":""},{"dropping-particle":"","family":"Blons","given":"Hélène","non-dropping-particle":"","parse-names":false,"suffix":""},{"dropping-particle":"","family":"Bouché","given":"Olivier","non-dropping-particle":"","parse-names":false,"suffix":""},{"dropping-particle":"","family":"Landi","given":"Bruno","non-dropping-particle":"","parse-names":false,"suffix":""},{"dropping-particle":"","family":"Hutchison","given":"J. Brian","non-dropping-particle":"","parse-names":false,"suffix":""},{"dropping-particle":"","family":"Laurent-Puig","given":"Pierre","non-dropping-particle":"","parse-names":false,"suffix":""}],"container-title":"Clinical Chemistry","id":"ITEM-1","issue":"12","issued":{"date-parts":[["2013"]]},"page":"1722-1731","title":"Multiplex picodroplet digital PCR to detect KRAS mutations in circulating DNA from the plasma of colorectal cancer patients","type":"article-journal","volume":"59"},"uris":["http://www.mendeley.com/documents/?uuid=1f9f51a3-b9d5-4038-9de7-d5780b3fe2de"]}],"mendeley":{"formattedCitation":"[27]","plainTextFormattedCitation":"[27]","previouslyFormattedCitation":"[27]"},"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[27]</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{"citationItems":[{"id":"ITEM-1","itemData":{"author":[{"dropping-particle":"","family":"Wan","given":"Jonathan C M","non-dropping-particle":"","parse-names":false,"suffix":""},{"dropping-particle":"","family":"Massie","given":"Charles","non-dropping-particle":"","parse-names":false,"suffix":""},{"dropping-particle":"","family":"Garcia-Corbacho","given":"Javier","non-dropping-particle":"","parse-names":false,"suffix":""},{"dropping-particle":"","family":"Mouliere","given":"Florent","non-dropping-particle":"","parse-names":false,"suffix":""},{"dropping-particle":"","family":"Brenton","given":"James D","non-dropping-particle":"","parse-names":false,"suffix":""},{"dropping-particle":"","family":"Caldas","given":"Carlos","non-dropping-particle":"","parse-names":false,"suffix":""},{"dropping-particle":"","family":"Pacey","given":"Simon","non-dropping-particle":"","parse-names":false,"suffix":""},{"dropping-particle":"","family":"Baird","given":"Richard","non-dropping-particle":"","parse-names":false,"suffix":""},{"dropping-particle":"","family":"Rosenfeld","given":"Nitzan","non-dropping-particle":"","parse-names":false,"suffix":""}],"container-title":"Nature Reviews Cancer","id":"ITEM-1","issued":{"date-parts":[["2017","2","24"]]},"page":"223","publisher":"Nature Publishing Group, a division of Macmillan Publishers Limited. All Rights Reserved.","title":"Liquid biopsies come of age: towards implementation of circulating tumour DNA","type":"article-journal","volume":"17"},"uris":["http://www.mendeley.com/documents/?uuid=438599ae-30ef-490e-8644-93a371a83e4e"]}],"mendeley":{"formattedCitation":"[28]","plainTextFormattedCitation":"[28]","previouslyFormattedCitation":"[28]"},"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[28]</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t>. Compared to ctDNA, CTCs are rare in peripheral blood and are difficult to separate from other cells adding further credibility to the use of ctDNA for liquid biopsy applications.</w:t>
      </w:r>
    </w:p>
    <w:p w14:paraId="1C49E65F" w14:textId="77777777" w:rsidR="00E267EB" w:rsidRPr="005B1CCB" w:rsidRDefault="00E267EB" w:rsidP="00E267EB">
      <w:pPr>
        <w:keepNext/>
        <w:spacing w:line="360" w:lineRule="auto"/>
        <w:jc w:val="center"/>
      </w:pPr>
      <w:r w:rsidRPr="005B1CCB">
        <w:rPr>
          <w:rFonts w:ascii="Palatino Linotype" w:hAnsi="Palatino Linotype" w:cs="Times New Roman"/>
          <w:noProof/>
          <w:sz w:val="24"/>
          <w:szCs w:val="24"/>
          <w:lang w:eastAsia="en-GB"/>
        </w:rPr>
        <w:drawing>
          <wp:inline distT="0" distB="0" distL="0" distR="0" wp14:anchorId="0748DD1D" wp14:editId="115755FD">
            <wp:extent cx="4800210" cy="1773224"/>
            <wp:effectExtent l="0" t="0" r="635"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a:stretch>
                      <a:fillRect/>
                    </a:stretch>
                  </pic:blipFill>
                  <pic:spPr>
                    <a:xfrm>
                      <a:off x="0" y="0"/>
                      <a:ext cx="4800210" cy="1773224"/>
                    </a:xfrm>
                    <a:prstGeom prst="rect">
                      <a:avLst/>
                    </a:prstGeom>
                    <a:effectLst>
                      <a:softEdge rad="88900"/>
                    </a:effectLst>
                  </pic:spPr>
                </pic:pic>
              </a:graphicData>
            </a:graphic>
          </wp:inline>
        </w:drawing>
      </w:r>
    </w:p>
    <w:p w14:paraId="5A178794" w14:textId="337EB119" w:rsidR="00E267EB" w:rsidRPr="005B1CCB" w:rsidRDefault="00E267EB" w:rsidP="00E267EB">
      <w:pPr>
        <w:pStyle w:val="Caption"/>
        <w:jc w:val="center"/>
        <w:rPr>
          <w:rFonts w:ascii="Palatino Linotype" w:hAnsi="Palatino Linotype" w:cs="Times New Roman"/>
          <w:sz w:val="22"/>
          <w:szCs w:val="22"/>
        </w:rPr>
      </w:pPr>
      <w:bookmarkStart w:id="26" w:name="_Toc84519596"/>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w:t>
      </w:r>
      <w:r w:rsidRPr="005B1CCB">
        <w:rPr>
          <w:sz w:val="22"/>
          <w:szCs w:val="22"/>
        </w:rPr>
        <w:fldChar w:fldCharType="end"/>
      </w:r>
      <w:r w:rsidRPr="005B1CCB">
        <w:rPr>
          <w:sz w:val="22"/>
          <w:szCs w:val="22"/>
        </w:rPr>
        <w:t>: Release of ctDNA into the bloodstream by a tumour and distinguished from other cell-free DNA of non-cancerous origin by the presen</w:t>
      </w:r>
      <w:r w:rsidR="004C7A8D" w:rsidRPr="005B1CCB">
        <w:rPr>
          <w:sz w:val="22"/>
          <w:szCs w:val="22"/>
        </w:rPr>
        <w:t xml:space="preserve">ce of cancer specific mutations </w:t>
      </w:r>
      <w:r w:rsidRPr="005B1CCB">
        <w:rPr>
          <w:sz w:val="22"/>
          <w:szCs w:val="22"/>
        </w:rPr>
        <w:fldChar w:fldCharType="begin" w:fldLock="1"/>
      </w:r>
      <w:r w:rsidR="000766C5">
        <w:rPr>
          <w:sz w:val="22"/>
          <w:szCs w:val="22"/>
        </w:rPr>
        <w:instrText>ADDIN CSL_CITATION {"citationItems":[{"id":"ITEM-1","itemData":{"URL":"https://www.inivata.com/our-technology/","author":[{"dropping-particle":"","family":"Inivata ltd","given":"","non-dropping-particle":"","parse-names":false,"suffix":""}],"id":"ITEM-1","issued":{"date-parts":[["2021"]]},"title":"ctDNA release","type":"webpage"},"uris":["http://www.mendeley.com/documents/?uuid=4d670538-bf4e-48d3-a1a1-3d52b8e596e2"]}],"mendeley":{"formattedCitation":"[29]","plainTextFormattedCitation":"[29]","previouslyFormattedCitation":"[29]"},"properties":{"noteIndex":0},"schema":"https://github.com/citation-style-language/schema/raw/master/csl-citation.json"}</w:instrText>
      </w:r>
      <w:r w:rsidRPr="005B1CCB">
        <w:rPr>
          <w:sz w:val="22"/>
          <w:szCs w:val="22"/>
        </w:rPr>
        <w:fldChar w:fldCharType="separate"/>
      </w:r>
      <w:r w:rsidR="005F2946" w:rsidRPr="005F2946">
        <w:rPr>
          <w:i w:val="0"/>
          <w:noProof/>
          <w:sz w:val="22"/>
          <w:szCs w:val="22"/>
        </w:rPr>
        <w:t>[29]</w:t>
      </w:r>
      <w:r w:rsidRPr="005B1CCB">
        <w:rPr>
          <w:sz w:val="22"/>
          <w:szCs w:val="22"/>
        </w:rPr>
        <w:fldChar w:fldCharType="end"/>
      </w:r>
      <w:r w:rsidR="004C7A8D" w:rsidRPr="005B1CCB">
        <w:rPr>
          <w:sz w:val="22"/>
          <w:szCs w:val="22"/>
        </w:rPr>
        <w:t>.</w:t>
      </w:r>
      <w:bookmarkEnd w:id="26"/>
    </w:p>
    <w:p w14:paraId="53B91407" w14:textId="77777777" w:rsidR="001B135F" w:rsidRPr="005B1CCB" w:rsidRDefault="004C7A8D" w:rsidP="00E267E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p>
    <w:p w14:paraId="7E423385" w14:textId="77777777" w:rsidR="00D94F0A" w:rsidRPr="005B1CCB" w:rsidRDefault="00D94F0A" w:rsidP="00D71969">
      <w:pPr>
        <w:pStyle w:val="Heading3"/>
      </w:pPr>
      <w:bookmarkStart w:id="27" w:name="_Toc84528040"/>
      <w:r w:rsidRPr="005B1CCB">
        <w:t>Other cancer biomarkers used in liquid biopsy</w:t>
      </w:r>
      <w:bookmarkEnd w:id="27"/>
    </w:p>
    <w:p w14:paraId="4CBF737F" w14:textId="77777777" w:rsidR="00E267EB" w:rsidRPr="005B1CCB" w:rsidRDefault="000148C0" w:rsidP="00D94F0A">
      <w:pPr>
        <w:pStyle w:val="Heading4"/>
      </w:pPr>
      <w:r w:rsidRPr="005B1CCB">
        <w:t>Circulating tumour cells (</w:t>
      </w:r>
      <w:r w:rsidR="00E267EB" w:rsidRPr="005B1CCB">
        <w:t>CTCs</w:t>
      </w:r>
      <w:r w:rsidRPr="005B1CCB">
        <w:t>)</w:t>
      </w:r>
    </w:p>
    <w:p w14:paraId="67BEA47A" w14:textId="5078F17F" w:rsidR="00E267EB" w:rsidRPr="005B1CCB" w:rsidRDefault="003452B4" w:rsidP="00E267E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E267EB" w:rsidRPr="005B1CCB">
        <w:rPr>
          <w:rFonts w:ascii="Palatino Linotype" w:hAnsi="Palatino Linotype" w:cs="Times New Roman"/>
          <w:sz w:val="24"/>
          <w:szCs w:val="24"/>
        </w:rPr>
        <w:t xml:space="preserve">CTCs are cells that have been released into the circulating blood or lymphatic stream from a cancerous tumour and are an example of a biomarker currently explored for use in cancer research as </w:t>
      </w:r>
      <w:r w:rsidR="00D0259D">
        <w:rPr>
          <w:rFonts w:ascii="Palatino Linotype" w:hAnsi="Palatino Linotype" w:cs="Times New Roman"/>
          <w:sz w:val="24"/>
          <w:szCs w:val="24"/>
        </w:rPr>
        <w:t xml:space="preserve">they are </w:t>
      </w:r>
      <w:r w:rsidR="00E267EB" w:rsidRPr="005B1CCB">
        <w:rPr>
          <w:rFonts w:ascii="Palatino Linotype" w:hAnsi="Palatino Linotype" w:cs="Times New Roman"/>
          <w:sz w:val="24"/>
          <w:szCs w:val="24"/>
        </w:rPr>
        <w:t xml:space="preserve">useful for profiling tumours non-invasively </w:t>
      </w:r>
      <w:r w:rsidR="000272C6"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10.3389/fpubh.2017.00077","author":[{"dropping-particle":"","family":"Aro","given":"Katri","non-dropping-particle":"","parse-names":false,"suffix":""},{"dropping-particle":"","family":"Wei","given":"Fang","non-dropping-particle":"","parse-names":false,"suffix":""},{"dropping-particle":"","family":"Wong","given":"David T","non-dropping-particle":"","parse-names":false,"suffix":""},{"dropping-particle":"","family":"Tu","given":"Michael","non-dropping-particle":"","parse-names":false,"suffix":""}],"id":"ITEM-1","issue":"April","issued":{"date-parts":[["2017"]]},"title":"Saliva Liquid Biopsy for Point-of-Care Applications","type":"article-journal","volume":"5"},"uris":["http://www.mendeley.com/documents/?uuid=d0855084-55fe-41e0-88cf-04f7aa42f234"]}],"mendeley":{"formattedCitation":"[30]","plainTextFormattedCitation":"[30]","previouslyFormattedCitation":"[30]"},"properties":{"noteIndex":0},"schema":"https://github.com/citation-style-language/schema/raw/master/csl-citation.json"}</w:instrText>
      </w:r>
      <w:r w:rsidR="000272C6"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[30]</w:t>
      </w:r>
      <w:r w:rsidR="000272C6" w:rsidRPr="005B1CCB">
        <w:rPr>
          <w:rFonts w:ascii="Palatino Linotype" w:hAnsi="Palatino Linotype" w:cs="Times New Roman"/>
          <w:sz w:val="24"/>
          <w:szCs w:val="24"/>
        </w:rPr>
        <w:fldChar w:fldCharType="end"/>
      </w:r>
      <w:r w:rsidR="000272C6" w:rsidRPr="005B1CCB">
        <w:rPr>
          <w:rFonts w:ascii="Palatino Linotype" w:hAnsi="Palatino Linotype" w:cs="Times New Roman"/>
          <w:sz w:val="24"/>
          <w:szCs w:val="24"/>
        </w:rPr>
        <w:t xml:space="preserve">. </w:t>
      </w:r>
      <w:r w:rsidR="00E267EB" w:rsidRPr="00E27313">
        <w:rPr>
          <w:rFonts w:ascii="Palatino Linotype" w:hAnsi="Palatino Linotype" w:cs="Times New Roman"/>
          <w:sz w:val="24"/>
          <w:szCs w:val="24"/>
        </w:rPr>
        <w:t>Although CTCs that have been shed into the vasculature of a primary tumour are carried around the body in circulation, they are present at levels of around 10 cells/ml of blood</w:t>
      </w:r>
      <w:r w:rsidR="00E267EB" w:rsidRPr="005B1CCB">
        <w:rPr>
          <w:rFonts w:ascii="Palatino Linotype" w:hAnsi="Palatino Linotype" w:cs="Times New Roman"/>
          <w:sz w:val="24"/>
          <w:szCs w:val="24"/>
        </w:rPr>
        <w:t>, indicating that only very low (sub-attomolar) concentrations are present in clinical samples, thus they are routinely collected and concentrated before analysis. A challenge in collecting them from blood relates to the loss of some of their dynamic properties outside the blood stream. For example, epithelial characteristics that favour targeting with recognition agents defined by epithelial factors can become more mesenchymal</w:t>
      </w:r>
      <w:r w:rsidR="004569A7" w:rsidRPr="005B1CCB">
        <w:rPr>
          <w:rFonts w:ascii="Palatino Linotype" w:hAnsi="Palatino Linotype" w:cs="Times New Roman"/>
          <w:sz w:val="24"/>
          <w:szCs w:val="24"/>
        </w:rPr>
        <w:t xml:space="preserve"> </w:t>
      </w:r>
      <w:r w:rsidR="00E267EB" w:rsidRPr="005B1CCB">
        <w:rPr>
          <w:rFonts w:ascii="Palatino Linotype" w:hAnsi="Palatino Linotype" w:cs="Times New Roman"/>
          <w:sz w:val="24"/>
          <w:szCs w:val="24"/>
        </w:rPr>
        <w:fldChar w:fldCharType="begin" w:fldLock="1"/>
      </w:r>
      <w:r w:rsidR="00C46CE8" w:rsidRPr="005B1CCB">
        <w:rPr>
          <w:rFonts w:ascii="Palatino Linotype" w:hAnsi="Palatino Linotype" w:cs="Times New Roman"/>
          <w:sz w:val="24"/>
          <w:szCs w:val="24"/>
        </w:rPr>
        <w:instrText>ADDIN CSL_CITATION {"citationItems":[{"id":"ITEM-1","itemData":{"DOI":"10.1021/acssensors.6b00691","ISSN":"23793694","abstract":"The ultimate goal of developing sensors for biomolecular analytes is to offer new tools for the analysis of clinical specimens for biomarkers of disease. It is thus important to understand the types of samples that are routinely used in the clinic for specific indications, and what the typical levels of relevant analytes are in these specimens. This Sensor Issues article summarizes information concerning levels of target molecules and cells that are of interest for the development of new diagnostics for infectious disease and cancer. Having this information in hand helps better define the “needle-in-a-haystack” challenge associated with developing robust sensors with the needed levels of sensitivity and specificity.","author":[{"dropping-particle":"","family":"Kelley","given":"Shana O.","non-dropping-particle":"","parse-names":false,"suffix":""}],"container-title":"ACS Sensors","id":"ITEM-1","issue":"2","issued":{"date-parts":[["2017"]]},"page":"193-197","title":"What Are Clinically Relevant Levels of Cellular and Biomolecular Analytes?","type":"article-journal","volume":"2"},"uris":["http://www.mendeley.com/documents/?uuid=6172c676-c4ff-4773-86e5-cc6263801289"]}],"mendeley":{"formattedCitation":"[20]","plainTextFormattedCitation":"[20]","previouslyFormattedCitation":"[20]"},"properties":{"noteIndex":0},"schema":"https://github.com/citation-style-language/schema/raw/master/csl-citation.json"}</w:instrText>
      </w:r>
      <w:r w:rsidR="00E267EB" w:rsidRPr="005B1CCB">
        <w:rPr>
          <w:rFonts w:ascii="Palatino Linotype" w:hAnsi="Palatino Linotype" w:cs="Times New Roman"/>
          <w:sz w:val="24"/>
          <w:szCs w:val="24"/>
        </w:rPr>
        <w:fldChar w:fldCharType="separate"/>
      </w:r>
      <w:r w:rsidR="0002596A" w:rsidRPr="005B1CCB">
        <w:rPr>
          <w:rFonts w:ascii="Palatino Linotype" w:hAnsi="Palatino Linotype" w:cs="Times New Roman"/>
          <w:noProof/>
          <w:sz w:val="24"/>
          <w:szCs w:val="24"/>
        </w:rPr>
        <w:t>[20]</w:t>
      </w:r>
      <w:r w:rsidR="00E267EB" w:rsidRPr="005B1CCB">
        <w:rPr>
          <w:rFonts w:ascii="Palatino Linotype" w:hAnsi="Palatino Linotype" w:cs="Times New Roman"/>
          <w:sz w:val="24"/>
          <w:szCs w:val="24"/>
        </w:rPr>
        <w:fldChar w:fldCharType="end"/>
      </w:r>
      <w:r w:rsidR="00E267EB" w:rsidRPr="005B1CCB">
        <w:rPr>
          <w:rFonts w:ascii="Palatino Linotype" w:hAnsi="Palatino Linotype" w:cs="Times New Roman"/>
          <w:sz w:val="24"/>
          <w:szCs w:val="24"/>
        </w:rPr>
        <w:t>.</w:t>
      </w:r>
    </w:p>
    <w:p w14:paraId="17B8D841" w14:textId="196D694A" w:rsidR="00D345BA" w:rsidRPr="005B1CCB" w:rsidRDefault="00D345BA" w:rsidP="00E267EB">
      <w:pPr>
        <w:spacing w:line="360" w:lineRule="auto"/>
        <w:jc w:val="both"/>
        <w:rPr>
          <w:rFonts w:ascii="Palatino Linotype" w:hAnsi="Palatino Linotype" w:cs="Times New Roman"/>
          <w:sz w:val="24"/>
          <w:szCs w:val="24"/>
        </w:rPr>
      </w:pPr>
    </w:p>
    <w:p w14:paraId="294CF9BA" w14:textId="77777777" w:rsidR="00E267EB" w:rsidRPr="005B1CCB" w:rsidRDefault="00E267EB" w:rsidP="00D94F0A">
      <w:pPr>
        <w:pStyle w:val="Heading4"/>
      </w:pPr>
      <w:r w:rsidRPr="005B1CCB">
        <w:t>Circulating microRNAs</w:t>
      </w:r>
      <w:r w:rsidR="00C42A60" w:rsidRPr="005B1CCB">
        <w:t xml:space="preserve"> (MiRNA)</w:t>
      </w:r>
    </w:p>
    <w:p w14:paraId="09150C52" w14:textId="54971B76" w:rsidR="00E267EB" w:rsidRPr="005B1CCB" w:rsidRDefault="00A83F6D" w:rsidP="00E267EB">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E267EB" w:rsidRPr="005B1CCB">
        <w:rPr>
          <w:rFonts w:ascii="Palatino Linotype" w:hAnsi="Palatino Linotype"/>
          <w:sz w:val="24"/>
          <w:szCs w:val="24"/>
          <w:lang w:bidi="en-US"/>
        </w:rPr>
        <w:t xml:space="preserve">These are non-coding RNAs that are about </w:t>
      </w:r>
      <w:r w:rsidR="00D74C88" w:rsidRPr="005B1CCB">
        <w:rPr>
          <w:rFonts w:ascii="Palatino Linotype" w:hAnsi="Palatino Linotype"/>
          <w:sz w:val="24"/>
          <w:szCs w:val="24"/>
          <w:lang w:bidi="en-US"/>
        </w:rPr>
        <w:t>19</w:t>
      </w:r>
      <w:r w:rsidR="00E267EB" w:rsidRPr="005B1CCB">
        <w:rPr>
          <w:rFonts w:ascii="Palatino Linotype" w:hAnsi="Palatino Linotype"/>
          <w:sz w:val="24"/>
          <w:szCs w:val="24"/>
          <w:lang w:bidi="en-US"/>
        </w:rPr>
        <w:t>-25 nucleotides lon</w:t>
      </w:r>
      <w:r w:rsidR="00D74C88" w:rsidRPr="005B1CCB">
        <w:rPr>
          <w:rFonts w:ascii="Palatino Linotype" w:hAnsi="Palatino Linotype"/>
          <w:sz w:val="24"/>
          <w:szCs w:val="24"/>
          <w:lang w:bidi="en-US"/>
        </w:rPr>
        <w:t>g. T</w:t>
      </w:r>
      <w:r w:rsidR="00E267EB" w:rsidRPr="005B1CCB">
        <w:rPr>
          <w:rFonts w:ascii="Palatino Linotype" w:hAnsi="Palatino Linotype"/>
          <w:sz w:val="24"/>
          <w:szCs w:val="24"/>
          <w:lang w:bidi="en-US"/>
        </w:rPr>
        <w:t>he</w:t>
      </w:r>
      <w:r w:rsidR="0060387A" w:rsidRPr="005B1CCB">
        <w:rPr>
          <w:rFonts w:ascii="Palatino Linotype" w:hAnsi="Palatino Linotype"/>
          <w:sz w:val="24"/>
          <w:szCs w:val="24"/>
          <w:lang w:bidi="en-US"/>
        </w:rPr>
        <w:t>se molecules</w:t>
      </w:r>
      <w:r w:rsidR="00E267EB" w:rsidRPr="005B1CCB">
        <w:rPr>
          <w:rFonts w:ascii="Palatino Linotype" w:hAnsi="Palatino Linotype"/>
          <w:sz w:val="24"/>
          <w:szCs w:val="24"/>
          <w:lang w:bidi="en-US"/>
        </w:rPr>
        <w:t xml:space="preserve"> are also secreted in body fluids like serum, plasma and saliva. </w:t>
      </w:r>
      <w:r w:rsidR="00D74C88" w:rsidRPr="005B1CCB">
        <w:rPr>
          <w:rFonts w:ascii="Palatino Linotype" w:hAnsi="Palatino Linotype"/>
          <w:sz w:val="24"/>
          <w:szCs w:val="24"/>
          <w:lang w:bidi="en-US"/>
        </w:rPr>
        <w:t>They can act as both</w:t>
      </w:r>
      <w:r w:rsidR="0060387A" w:rsidRPr="005B1CCB">
        <w:rPr>
          <w:rFonts w:ascii="Palatino Linotype" w:hAnsi="Palatino Linotype"/>
          <w:sz w:val="24"/>
          <w:szCs w:val="24"/>
          <w:lang w:bidi="en-US"/>
        </w:rPr>
        <w:t xml:space="preserve"> </w:t>
      </w:r>
      <w:r w:rsidR="00D74C88" w:rsidRPr="005B1CCB">
        <w:rPr>
          <w:rFonts w:ascii="Palatino Linotype" w:hAnsi="Palatino Linotype"/>
          <w:sz w:val="24"/>
          <w:szCs w:val="24"/>
          <w:lang w:bidi="en-US"/>
        </w:rPr>
        <w:t>oncogenes and tumour suppressors</w:t>
      </w:r>
      <w:r w:rsidR="0060387A" w:rsidRPr="005B1CCB">
        <w:rPr>
          <w:rFonts w:ascii="Palatino Linotype" w:hAnsi="Palatino Linotype"/>
          <w:sz w:val="24"/>
          <w:szCs w:val="24"/>
          <w:lang w:bidi="en-US"/>
        </w:rPr>
        <w:t xml:space="preserve"> in cancer initiation and progression, making them good future biomarker candidates</w:t>
      </w:r>
      <w:r w:rsidR="004801F4" w:rsidRPr="005B1CCB">
        <w:rPr>
          <w:rFonts w:ascii="Palatino Linotype" w:hAnsi="Palatino Linotype"/>
          <w:sz w:val="24"/>
          <w:szCs w:val="24"/>
          <w:lang w:bidi="en-US"/>
        </w:rPr>
        <w:t xml:space="preserve"> </w:t>
      </w:r>
      <w:r w:rsidR="0060387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{"citationItems":[{"id":"ITEM-1","itemData":{"DOI":"10.3390/diagnostics9040216","ISSN":"2075-4418","abstract":"Lung cancer represents a genetically heterogeneous disease with low survival rates. Recent data have evidenced key roles of noncoding RNAs in lung cancer initiation and progression. These functional RNA molecules that can act as both oncogenes and tumor suppressors may become future biomarkers and more efficient therapeutic targets. In the precision medicine era, circulating nucleic acids have the potential to reshape the management and prognosis of cancer patients. Detecting genomic alterations and level variations of circulating nucleic acids in liquid biopsy samples represents a noninvasive method for portraying tumor burden. Research is currently trying to validate the potential role of liquid biopsy in lung cancer screening, prognosis, monitoring of disease progression, and treatment response. However, this method requires complex detection assays, and implementation of plasma genotyping in clinical practice continues to be hindered by discrepancies that arise when compared to tissue genotyping. Understanding the genomic landscape of lung cancer is essential in order to provide useful and innovative research in the age of patient-tailored therapy. In this landscape, the noncoding RNAs play a crucial role due to their target genes that dramatically influence the tumor microenvironment and the response to therapy. This article addresses present and future possible roles of liquid biopsy in lung cancer. It also discusses how the complex role of noncoding RNAs in lung tumorigenesis could influence the management of this pathology.","author":[{"dropping-particle":"","family":"Haranguș","given":"Antonia","non-dropping-particle":"","parse-names":false,"suffix":""},{"dropping-particle":"","family":"Berindan-Neagoe","given":"Ioana","non-dropping-particle":"","parse-names":false,"suffix":""},{"dropping-particle":"","family":"Todea","given":"Doina Adina","non-dropping-particle":"","parse-names":false,"suffix":""},{"dropping-particle":"","family":"Șimon","given":"Ioan","non-dropping-particle":"","parse-names":false,"suffix":""},{"dropping-particle":"","family":"Șimon","given":"Mărioara","non-dropping-particle":"","parse-names":false,"suffix":""}],"container-title":"Diagnostics (Basel, Switzerland)","id":"ITEM-1","issue":"4","issued":{"date-parts":[["2019","12","9"]]},"language":"eng","page":"216","publisher":"MDPI","title":"Noncoding RNAs and Liquid Biopsy in Lung Cancer: A Literature Review","type":"article-journal","volume":"9"},"uris":["http://www.mendeley.com/documents/?uuid=5caacc42-6a9d-4030-a2e6-dea7036474f8"]}],"mendeley":{"formattedCitation":"[31]","plainTextFormattedCitation":"[31]","previouslyFormattedCitation":"[31]"},"properties":{"noteIndex":0},"schema":"https://github.com/citation-style-language/schema/raw/master/csl-citation.json"}</w:instrText>
      </w:r>
      <w:r w:rsidR="0060387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[31]</w:t>
      </w:r>
      <w:r w:rsidR="0060387A" w:rsidRPr="005B1CCB">
        <w:rPr>
          <w:rFonts w:ascii="Palatino Linotype" w:hAnsi="Palatino Linotype"/>
          <w:sz w:val="24"/>
          <w:szCs w:val="24"/>
          <w:lang w:bidi="en-US"/>
        </w:rPr>
        <w:fldChar w:fldCharType="end"/>
      </w:r>
      <w:r w:rsidR="0060387A" w:rsidRPr="005B1CCB">
        <w:rPr>
          <w:rFonts w:ascii="Palatino Linotype" w:hAnsi="Palatino Linotype"/>
          <w:sz w:val="24"/>
          <w:szCs w:val="24"/>
          <w:lang w:bidi="en-US"/>
        </w:rPr>
        <w:t>.</w:t>
      </w:r>
      <w:r w:rsidR="00D74C88" w:rsidRPr="005B1CCB">
        <w:rPr>
          <w:rFonts w:ascii="Palatino Linotype" w:hAnsi="Palatino Linotype"/>
          <w:sz w:val="24"/>
          <w:szCs w:val="24"/>
          <w:lang w:bidi="en-US"/>
        </w:rPr>
        <w:t xml:space="preserve"> </w:t>
      </w:r>
      <w:r w:rsidR="00E267EB" w:rsidRPr="005B1CCB">
        <w:rPr>
          <w:rFonts w:ascii="Palatino Linotype" w:hAnsi="Palatino Linotype"/>
          <w:sz w:val="24"/>
          <w:szCs w:val="24"/>
          <w:lang w:bidi="en-US"/>
        </w:rPr>
        <w:t xml:space="preserve">Although they are ideal for minimally invasive diagnosis, </w:t>
      </w:r>
      <w:r w:rsidR="00E267EB" w:rsidRPr="00E27313">
        <w:rPr>
          <w:rFonts w:ascii="Palatino Linotype" w:hAnsi="Palatino Linotype"/>
          <w:sz w:val="24"/>
          <w:szCs w:val="24"/>
          <w:lang w:bidi="en-US"/>
        </w:rPr>
        <w:t xml:space="preserve">some </w:t>
      </w:r>
      <w:r w:rsidR="00C42A60" w:rsidRPr="00E27313">
        <w:rPr>
          <w:rFonts w:ascii="Palatino Linotype" w:hAnsi="Palatino Linotype"/>
          <w:sz w:val="24"/>
          <w:szCs w:val="24"/>
          <w:lang w:bidi="en-US"/>
        </w:rPr>
        <w:t>challenges</w:t>
      </w:r>
      <w:r w:rsidR="00E267EB" w:rsidRPr="00E27313">
        <w:rPr>
          <w:rFonts w:ascii="Palatino Linotype" w:hAnsi="Palatino Linotype"/>
          <w:sz w:val="24"/>
          <w:szCs w:val="24"/>
          <w:lang w:bidi="en-US"/>
        </w:rPr>
        <w:t xml:space="preserve"> include </w:t>
      </w:r>
      <w:r w:rsidR="00C42A60" w:rsidRPr="00E27313">
        <w:rPr>
          <w:rFonts w:ascii="Palatino Linotype" w:hAnsi="Palatino Linotype"/>
          <w:sz w:val="24"/>
          <w:szCs w:val="24"/>
          <w:lang w:bidi="en-US"/>
        </w:rPr>
        <w:t xml:space="preserve">difference in miRNA expressions between samples extracted </w:t>
      </w:r>
      <w:r w:rsidRPr="00E27313">
        <w:rPr>
          <w:rFonts w:ascii="Palatino Linotype" w:hAnsi="Palatino Linotype"/>
          <w:sz w:val="24"/>
          <w:szCs w:val="24"/>
          <w:lang w:bidi="en-US"/>
        </w:rPr>
        <w:t>from serum and plasma</w:t>
      </w:r>
      <w:r w:rsidRPr="005B1CCB">
        <w:rPr>
          <w:rFonts w:ascii="Palatino Linotype" w:hAnsi="Palatino Linotype"/>
          <w:sz w:val="24"/>
          <w:szCs w:val="24"/>
          <w:lang w:bidi="en-US"/>
        </w:rPr>
        <w:t xml:space="preserve">, (total </w:t>
      </w:r>
      <w:r w:rsidRPr="00E27313">
        <w:rPr>
          <w:rFonts w:ascii="Palatino Linotype" w:hAnsi="Palatino Linotype"/>
          <w:sz w:val="24"/>
          <w:szCs w:val="24"/>
          <w:lang w:bidi="en-US"/>
        </w:rPr>
        <w:t>R</w:t>
      </w:r>
      <w:r w:rsidR="00C42A60" w:rsidRPr="00E27313">
        <w:rPr>
          <w:rFonts w:ascii="Palatino Linotype" w:hAnsi="Palatino Linotype"/>
          <w:sz w:val="24"/>
          <w:szCs w:val="24"/>
          <w:lang w:bidi="en-US"/>
        </w:rPr>
        <w:t>NA concentration is higher in serum, even in the same individual</w:t>
      </w:r>
      <w:r w:rsidR="00C42A60" w:rsidRPr="005B1CCB">
        <w:rPr>
          <w:rFonts w:ascii="Palatino Linotype" w:hAnsi="Palatino Linotype"/>
          <w:sz w:val="24"/>
          <w:szCs w:val="24"/>
          <w:lang w:bidi="en-US"/>
        </w:rPr>
        <w:t xml:space="preserve">), interference by other components in serum, composition of miRNA impacted by storage time and conditions, </w:t>
      </w:r>
      <w:r w:rsidR="00E267EB" w:rsidRPr="005B1CCB">
        <w:rPr>
          <w:rFonts w:ascii="Palatino Linotype" w:hAnsi="Palatino Linotype"/>
          <w:sz w:val="24"/>
          <w:szCs w:val="24"/>
          <w:lang w:bidi="en-US"/>
        </w:rPr>
        <w:t>low concentrations in cell-free fluids, similar sequences and a tendency to bind to proteins</w:t>
      </w:r>
      <w:r w:rsidR="004801F4" w:rsidRPr="005B1CCB">
        <w:rPr>
          <w:rFonts w:ascii="Palatino Linotype" w:hAnsi="Palatino Linotype"/>
          <w:sz w:val="24"/>
          <w:szCs w:val="24"/>
          <w:lang w:bidi="en-US"/>
        </w:rPr>
        <w:t xml:space="preserve"> </w:t>
      </w:r>
      <w:r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{"citationItems":[{"id":"ITEM-1","itemData":{"DOI":"10.3389/fgene.2019.00626","ISSN":"1664-8021","abstract":"MicroRNAs (miRNAs) are endogenous non-coding small RNA molecules that can be secreted into the circulation and exist in remarkably stable forms. Like intercellular miRNAs, circulating miRNAs participate in numerous regulations of biological process and expressed aberrantly under abnormal or pathological status. The quality and quantity changes of circulating miRNAs are associated with the initiation and progression of cancer and can be easily detected by basic molecular biology techniques. Consequently, considerable effort has been devoted to identify suitable extracellular miRNAs for noninvasive biomarkers in cancer. However, several challenges need to be overcome before the practical application. In this review, we discuss several issues of circulating miRNAs: biological function and basic transport carriers; extracellular cell communication process; roles as reliable cancer biomarkers and usage in targeted cancer therapy; and challenges for clinical application.","author":[{"dropping-particle":"","family":"Cui","given":"Mengying","non-dropping-particle":"","parse-names":false,"suffix":""},{"dropping-particle":"","family":"Wang","given":"Hongdan","non-dropping-particle":"","parse-names":false,"suffix":""},{"dropping-particle":"","family":"Yao","given":"Xiaoxiao","non-dropping-particle":"","parse-names":false,"suffix":""},{"dropping-particle":"","family":"Zhang","given":"Dan","non-dropping-particle":"","parse-names":false,"suffix":""},{"dropping-particle":"","family":"Xie","given":"Yingjun","non-dropping-particle":"","parse-names":false,"suffix":""},{"dropping-particle":"","family":"Cui","given":"Ranji","non-dropping-particle":"","parse-names":false,"suffix":""},{"dropping-particle":"","family":"Zhang","given":"Xuewen","non-dropping-particle":"","parse-names":false,"suffix":""}],"container-title":"Frontiers in Genetics","id":"ITEM-1","issued":{"date-parts":[["2019"]]},"page":"626","title":"Circulating MicroRNAs in Cancer: Potential and Challenge","type":"article-journal","volume":"10"},"uris":["http://www.mendeley.com/documents/?uuid=ccf6bc41-469e-4519-9e73-20d738a2bb95"]}],"mendeley":{"formattedCitation":"[32]","plainTextFormattedCitation":"[32]","previouslyFormattedCitation":"[32]"},"properties":{"noteIndex":0},"schema":"https://github.com/citation-style-language/schema/raw/master/csl-citation.json"}</w:instrText>
      </w:r>
      <w:r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[32]</w:t>
      </w:r>
      <w:r w:rsidRPr="005B1CCB">
        <w:rPr>
          <w:rFonts w:ascii="Palatino Linotype" w:hAnsi="Palatino Linotype"/>
          <w:sz w:val="24"/>
          <w:szCs w:val="24"/>
          <w:lang w:bidi="en-US"/>
        </w:rPr>
        <w:fldChar w:fldCharType="end"/>
      </w:r>
      <w:r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{"citationItems":[{"id":"ITEM-1","itemData":{"DOI":"10.3389/fchem.2019.00815","ISSN":"2296-2646","abstract":"In the era of precision medicine, the success of clinical trials, notably for patients diagnosed with cancer, strongly relies on biomarkers with pristine clinical value but also on robust and versatile analytical technologies to ensure proper patients' stratification and treatment. In this review, we will first address whether plasmatic and salivary microRNAs can be considered as a reliable source of biomarkers for cancer diagnosis and prognosis. We will then discuss the pre-analytical steps preceding miRNA quantification (from isolation to purification), and how such process could be biased and time-consuming. Next, we will review the most recent tools derived from micro- and nano-technologies for microRNA detection available to date and how they may compete with current standards. This review will prioritize publications using relevant biological samples. The significance of various physical transduction schemes (mechanical, optical, electrical, etc.) for biological detection will be compared, and pros and cons of each method will be widely discussed. Finally, we will debate on how micro and nanotechnologies could widespread the use of biomarkers in modern medicine, to help manage patients with serious diseases such as cancer.","author":[{"dropping-particle":"","family":"Cacheux","given":"Jean","non-dropping-particle":"","parse-names":false,"suffix":""},{"dropping-particle":"","family":"Bancaud","given":"Aurélien","non-dropping-particle":"","parse-names":false,"suffix":""},{"dropping-particle":"","family":"Leichlé","given":"Thierry","non-dropping-particle":"","parse-names":false,"suffix":""},{"dropping-particle":"","family":"Cordelier","given":"Pierre","non-dropping-particle":"","parse-names":false,"suffix":""}],"container-title":"Frontiers in Chemistry","id":"ITEM-1","issued":{"date-parts":[["2019"]]},"page":"815","title":"Technological Challenges and Future Issues for the Detection of Circulating MicroRNAs in Patients With Cancer","type":"article-journal","volume":"7"},"uris":["http://www.mendeley.com/documents/?uuid=c223f05b-0f3b-4e95-ab40-642702f97ad8"]}],"mendeley":{"formattedCitation":"[33]","plainTextFormattedCitation":"[33]","previouslyFormattedCitation":"[33]"},"properties":{"noteIndex":0},"schema":"https://github.com/citation-style-language/schema/raw/master/csl-citation.json"}</w:instrText>
      </w:r>
      <w:r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[33]</w:t>
      </w:r>
      <w:r w:rsidRPr="005B1CCB">
        <w:rPr>
          <w:rFonts w:ascii="Palatino Linotype" w:hAnsi="Palatino Linotype"/>
          <w:sz w:val="24"/>
          <w:szCs w:val="24"/>
          <w:lang w:bidi="en-US"/>
        </w:rPr>
        <w:fldChar w:fldCharType="end"/>
      </w:r>
      <w:r w:rsidR="00E267EB" w:rsidRPr="005B1CCB">
        <w:rPr>
          <w:rFonts w:ascii="Palatino Linotype" w:hAnsi="Palatino Linotype"/>
          <w:sz w:val="24"/>
          <w:szCs w:val="24"/>
          <w:lang w:bidi="en-US"/>
        </w:rPr>
        <w:t xml:space="preserve">. MiR-141 </w:t>
      </w:r>
      <w:r w:rsidRPr="005B1CCB">
        <w:rPr>
          <w:rFonts w:ascii="Palatino Linotype" w:hAnsi="Palatino Linotype"/>
          <w:sz w:val="24"/>
          <w:szCs w:val="24"/>
          <w:lang w:bidi="en-US"/>
        </w:rPr>
        <w:t>a</w:t>
      </w:r>
      <w:r w:rsidR="00E267EB" w:rsidRPr="005B1CCB">
        <w:rPr>
          <w:rFonts w:ascii="Palatino Linotype" w:hAnsi="Palatino Linotype"/>
          <w:sz w:val="24"/>
          <w:szCs w:val="24"/>
          <w:lang w:bidi="en-US"/>
        </w:rPr>
        <w:t xml:space="preserve">nd MiR-375 are </w:t>
      </w:r>
      <w:r w:rsidRPr="005B1CCB">
        <w:rPr>
          <w:rFonts w:ascii="Palatino Linotype" w:hAnsi="Palatino Linotype"/>
          <w:sz w:val="24"/>
          <w:szCs w:val="24"/>
          <w:lang w:bidi="en-US"/>
        </w:rPr>
        <w:t xml:space="preserve">however </w:t>
      </w:r>
      <w:r w:rsidR="00E267EB" w:rsidRPr="005B1CCB">
        <w:rPr>
          <w:rFonts w:ascii="Palatino Linotype" w:hAnsi="Palatino Linotype"/>
          <w:sz w:val="24"/>
          <w:szCs w:val="24"/>
          <w:lang w:bidi="en-US"/>
        </w:rPr>
        <w:t>currently being explored for use in prostate cancer</w:t>
      </w:r>
      <w:r w:rsidR="00E752F4" w:rsidRPr="005B1CCB">
        <w:rPr>
          <w:rFonts w:ascii="Palatino Linotype" w:hAnsi="Palatino Linotype"/>
          <w:sz w:val="24"/>
          <w:szCs w:val="24"/>
          <w:lang w:bidi="en-US"/>
        </w:rPr>
        <w:t xml:space="preserve"> diagnosis</w:t>
      </w:r>
      <w:r w:rsidR="00E267EB" w:rsidRPr="005B1CCB">
        <w:rPr>
          <w:rFonts w:ascii="Palatino Linotype" w:hAnsi="Palatino Linotype"/>
          <w:sz w:val="24"/>
          <w:szCs w:val="24"/>
          <w:lang w:bidi="en-US"/>
        </w:rPr>
        <w:t xml:space="preserve"> </w:t>
      </w:r>
      <w:r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{"citationItems":[{"id":"ITEM-1","itemData":{"DOI":"10.1038/s41598-019-57101-7","ISSN":"2045-2322","abstract":"Metastatic castration resistant prostate cancer (mCRPC) is associated with high mortality, where monitoring of disease activity is still a major clinical challenge. The role of microRNAs (miRs) has been widely investigated in prostate cancer with both diagnostic and prognostic potential. The aim of this study was to investigate the relationship between circulating miRs and treatment outcome in mCRPC patients. The relative expression of five miRs (miR-93-5p, -125b-1-5p, -141-3p, -221-3p, and miR-375-3p) was investigated in plasma samples from 84 mCRPC patients; 40 patients were treated with docetaxel (DOC cohort) and 44 patients with abiraterone (ABI cohort). Blood was sampled at baseline before treatment start and at radiological progression. The plasma levels of four miRs; miR-93-5p, -141-3p, -221-3p, and miR-375-3p decreased significantly after treatment initiation in patients receiving docetaxel, and for miR-141-3p and miR-375-3p the level increased again at the time of radiological progression. In the patients treated with abiraterone, the plasma level of miR-221-3p likewise decreased significantly after the first treatment cycle. High baseline levels of both miR-141-3p and miR-375-3p were significantly associated with a shorter time to radiological progression in both cohorts. Additionally, high baseline levels of miR-141-3p and miR-221-3p were significantly associated with a shorter overall survival (OS) in the ABI cohort, while high levels of miR-141-3p and miR-375-3p were significantly associated with shorter OS in the DOC cohort. Plasma levels of miR-141-3p and miR-375-3p may predict time to progression in mCRPC patients treated with docetaxel or abiraterone. The clinical impact of these findings is dependent on validation in larger cohorts.","author":[{"dropping-particle":"","family":"Zedan","given":"A H","non-dropping-particle":"","parse-names":false,"suffix":""},{"dropping-particle":"","family":"Osther","given":"P J S","non-dropping-particle":"","parse-names":false,"suffix":""},{"dropping-particle":"","family":"Assenholt","given":"J","non-dropping-particle":"","parse-names":false,"suffix":""},{"dropping-particle":"","family":"Madsen","given":"J S","non-dropping-particle":"","parse-names":false,"suffix":""},{"dropping-particle":"","family":"Hansen","given":"T F","non-dropping-particle":"","parse-names":false,"suffix":""}],"container-title":"Scientific Reports","id":"ITEM-1","issue":"1","issued":{"date-parts":[["2020"]]},"page":"227","title":"Circulating miR-141 and miR-375 are associated with treatment outcome in metastatic castration resistant prostate cancer","type":"article-journal","volume":"10"},"uris":["http://www.mendeley.com/documents/?uuid=0ce878ce-aa36-4cab-a839-d95f14b2868f"]}],"mendeley":{"formattedCitation":"[34]","plainTextFormattedCitation":"[34]","previouslyFormattedCitation":"[34]"},"properties":{"noteIndex":0},"schema":"https://github.com/citation-style-language/schema/raw/master/csl-citation.json"}</w:instrText>
      </w:r>
      <w:r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[34]</w:t>
      </w:r>
      <w:r w:rsidRPr="005B1CCB">
        <w:rPr>
          <w:rFonts w:ascii="Palatino Linotype" w:hAnsi="Palatino Linotype"/>
          <w:sz w:val="24"/>
          <w:szCs w:val="24"/>
          <w:lang w:bidi="en-US"/>
        </w:rPr>
        <w:fldChar w:fldCharType="end"/>
      </w:r>
      <w:r w:rsidR="00E267EB" w:rsidRPr="005B1CCB">
        <w:rPr>
          <w:rFonts w:ascii="Palatino Linotype" w:hAnsi="Palatino Linotype"/>
          <w:sz w:val="24"/>
          <w:szCs w:val="24"/>
          <w:lang w:bidi="en-US"/>
        </w:rPr>
        <w:t>.</w:t>
      </w:r>
    </w:p>
    <w:p w14:paraId="07865EAA" w14:textId="77777777" w:rsidR="00D7614F" w:rsidRPr="005B1CCB" w:rsidRDefault="00D7614F" w:rsidP="00E267EB">
      <w:pPr>
        <w:spacing w:line="360" w:lineRule="auto"/>
        <w:jc w:val="both"/>
        <w:rPr>
          <w:rFonts w:ascii="Palatino Linotype" w:hAnsi="Palatino Linotype"/>
          <w:sz w:val="24"/>
          <w:szCs w:val="24"/>
          <w:lang w:bidi="en-US"/>
        </w:rPr>
      </w:pPr>
    </w:p>
    <w:p w14:paraId="48EA4E10" w14:textId="77777777" w:rsidR="00591EBE" w:rsidRPr="005B1CCB" w:rsidRDefault="00C71DF1" w:rsidP="00591EBE">
      <w:pPr>
        <w:pStyle w:val="Heading4"/>
        <w:rPr>
          <w:lang w:bidi="en-US"/>
        </w:rPr>
      </w:pPr>
      <w:r w:rsidRPr="005B1CCB">
        <w:rPr>
          <w:lang w:bidi="en-US"/>
        </w:rPr>
        <w:t>Circulating tumour-derived p</w:t>
      </w:r>
      <w:r w:rsidR="00261854" w:rsidRPr="005B1CCB">
        <w:rPr>
          <w:lang w:bidi="en-US"/>
        </w:rPr>
        <w:t>roteins</w:t>
      </w:r>
    </w:p>
    <w:p w14:paraId="5FC19F64" w14:textId="4F9C88C2" w:rsidR="0086644F" w:rsidRDefault="00D151E1" w:rsidP="002A64A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086EC5" w:rsidRPr="005B1CCB">
        <w:rPr>
          <w:rFonts w:ascii="Palatino Linotype" w:hAnsi="Palatino Linotype"/>
          <w:sz w:val="24"/>
          <w:szCs w:val="24"/>
          <w:lang w:bidi="en-US"/>
        </w:rPr>
        <w:t>Although the concentration of blood proteins has been</w:t>
      </w:r>
      <w:r w:rsidR="00E47C45" w:rsidRPr="005B1CCB">
        <w:rPr>
          <w:rFonts w:ascii="Palatino Linotype" w:hAnsi="Palatino Linotype"/>
          <w:sz w:val="24"/>
          <w:szCs w:val="24"/>
          <w:lang w:bidi="en-US"/>
        </w:rPr>
        <w:t xml:space="preserve"> </w:t>
      </w:r>
      <w:r w:rsidR="00086EC5" w:rsidRPr="005B1CCB">
        <w:rPr>
          <w:rFonts w:ascii="Palatino Linotype" w:hAnsi="Palatino Linotype"/>
          <w:sz w:val="24"/>
          <w:szCs w:val="24"/>
          <w:lang w:bidi="en-US"/>
        </w:rPr>
        <w:t>historically</w:t>
      </w:r>
      <w:r w:rsidR="00E47C45" w:rsidRPr="005B1CCB">
        <w:rPr>
          <w:rFonts w:ascii="Palatino Linotype" w:hAnsi="Palatino Linotype"/>
          <w:sz w:val="24"/>
          <w:szCs w:val="24"/>
          <w:lang w:bidi="en-US"/>
        </w:rPr>
        <w:t xml:space="preserve"> </w:t>
      </w:r>
      <w:r w:rsidR="00086EC5" w:rsidRPr="005B1CCB">
        <w:rPr>
          <w:rFonts w:ascii="Palatino Linotype" w:hAnsi="Palatino Linotype"/>
          <w:sz w:val="24"/>
          <w:szCs w:val="24"/>
          <w:lang w:bidi="en-US"/>
        </w:rPr>
        <w:t>used for screening, diagnosing, and monitoring tumours</w:t>
      </w:r>
      <w:r w:rsidR="00E47C45" w:rsidRPr="005B1CCB">
        <w:rPr>
          <w:rFonts w:ascii="Palatino Linotype" w:hAnsi="Palatino Linotype"/>
          <w:sz w:val="24"/>
          <w:szCs w:val="24"/>
          <w:lang w:bidi="en-US"/>
        </w:rPr>
        <w:t xml:space="preserve"> </w:t>
      </w:r>
      <w:r w:rsidR="00E47C4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{"citationItems":[{"id":"ITEM-1","itemData":{"DOI":"10.1177/153303460200100409","ISSN":"15330346","PMID":"12625787","abstract":"Proteomic technologies have emerged as an important addition to the genomic and antibody-based technologies for the diagnosis of cancer. Important technologies include 2-D gel electrophoresis, mass spectrometry, laser capture microdissection, detection of molecular markers of cancer and protein patterns. For clinical applications, the most likely technologies to be used widely are protein biochips. Application of these technologies to various cancers are described. Proteomic technologies have a potential in developing molecular diagnostics and markers for the early detection of cancer. However, information from various diagnostic technologies should be integrated to obtain the optimal information required for clinical management of a patient.","author":[{"dropping-particle":"","family":"Jain","given":"K. K.","non-dropping-particle":"","parse-names":false,"suffix":""}],"container-title":"Technology in Cancer Research and Treatment","id":"ITEM-1","issue":"4","issued":{"date-parts":[["2002"]]},"page":"281-286","title":"Role of proteomics in diagnosis of cancer","type":"article-journal","volume":"1"},"uris":["http://www.mendeley.com/documents/?uuid=7359802d-896e-4d6a-a7e6-5478f6e53f1f"]}],"mendeley":{"formattedCitation":"[35]","plainTextFormattedCitation":"[35]","previouslyFormattedCitation":"[35]"},"properties":{"noteIndex":0},"schema":"https://github.com/citation-style-language/schema/raw/master/csl-citation.json"}</w:instrText>
      </w:r>
      <w:r w:rsidR="00E47C4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[35]</w:t>
      </w:r>
      <w:r w:rsidR="00E47C45" w:rsidRPr="005B1CCB">
        <w:rPr>
          <w:rFonts w:ascii="Palatino Linotype" w:hAnsi="Palatino Linotype"/>
          <w:sz w:val="24"/>
          <w:szCs w:val="24"/>
          <w:lang w:bidi="en-US"/>
        </w:rPr>
        <w:fldChar w:fldCharType="end"/>
      </w:r>
      <w:r w:rsidR="00086EC5" w:rsidRPr="005B1CCB">
        <w:rPr>
          <w:rFonts w:ascii="Palatino Linotype" w:hAnsi="Palatino Linotype"/>
          <w:sz w:val="24"/>
          <w:szCs w:val="24"/>
          <w:lang w:bidi="en-US"/>
        </w:rPr>
        <w:t xml:space="preserve">, </w:t>
      </w:r>
      <w:r w:rsidR="00E47C45" w:rsidRPr="005B1CCB">
        <w:rPr>
          <w:rFonts w:ascii="Palatino Linotype" w:hAnsi="Palatino Linotype"/>
          <w:sz w:val="24"/>
          <w:szCs w:val="24"/>
          <w:lang w:bidi="en-US"/>
        </w:rPr>
        <w:t>s</w:t>
      </w:r>
      <w:r w:rsidR="002A64A8" w:rsidRPr="005B1CCB">
        <w:rPr>
          <w:rFonts w:ascii="Palatino Linotype" w:hAnsi="Palatino Linotype"/>
          <w:sz w:val="24"/>
          <w:szCs w:val="24"/>
          <w:lang w:bidi="en-US"/>
        </w:rPr>
        <w:t xml:space="preserve">tudies show that a test that is solely based on measuring elevated levels of proteins secreted by a tumour may suffice as a great circulating tumour marker but not necessarily represent liquid biopsy </w:t>
      </w:r>
      <w:r w:rsidR="002A64A8"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{"citationItems":[{"id":"ITEM-1","itemData":{"DOI":"10.4111/icu.2019.60.3.139","ISSN":"2466-054X","author":[{"dropping-particle":"","family":"Morgan","given":"Todd M","non-dropping-particle":"","parse-names":false,"suffix":""}],"container-title":"Investigative and clinical urology","edition":"2019/04/29","id":"ITEM-1","issue":"3","issued":{"date-parts":[["2019","5"]]},"language":"eng","page":"139-141","publisher":"The Korean Urological Association","title":"Liquid biopsy: Where did it come from, what is it, and where is it going?","type":"article-journal","volume":"60"},"uris":["http://www.mendeley.com/documents/?uuid=5c7d5aa7-7881-47c7-a7f0-066fac8a67b4"]}],"mendeley":{"formattedCitation":"[36]","plainTextFormattedCitation":"[36]","previouslyFormattedCitation":"[36]"},"properties":{"noteIndex":0},"schema":"https://github.com/citation-style-language/schema/raw/master/csl-citation.json"}</w:instrText>
      </w:r>
      <w:r w:rsidR="002A64A8"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[36]</w:t>
      </w:r>
      <w:r w:rsidR="002A64A8" w:rsidRPr="005B1CCB">
        <w:rPr>
          <w:rFonts w:ascii="Palatino Linotype" w:hAnsi="Palatino Linotype"/>
          <w:sz w:val="24"/>
          <w:szCs w:val="24"/>
          <w:lang w:bidi="en-US"/>
        </w:rPr>
        <w:fldChar w:fldCharType="end"/>
      </w:r>
      <w:r w:rsidR="002A64A8" w:rsidRPr="005B1CCB">
        <w:rPr>
          <w:rFonts w:ascii="Palatino Linotype" w:hAnsi="Palatino Linotype"/>
          <w:sz w:val="24"/>
          <w:szCs w:val="24"/>
          <w:lang w:bidi="en-US"/>
        </w:rPr>
        <w:t>.</w:t>
      </w:r>
      <w:r w:rsidR="00D71222" w:rsidRPr="005B1CCB">
        <w:rPr>
          <w:rFonts w:ascii="Palatino Linotype" w:hAnsi="Palatino Linotype"/>
          <w:sz w:val="24"/>
          <w:szCs w:val="24"/>
          <w:lang w:bidi="en-US"/>
        </w:rPr>
        <w:t xml:space="preserve"> </w:t>
      </w:r>
      <w:r w:rsidRPr="005B1CCB">
        <w:rPr>
          <w:rFonts w:ascii="Palatino Linotype" w:hAnsi="Palatino Linotype"/>
          <w:sz w:val="24"/>
          <w:szCs w:val="24"/>
          <w:lang w:bidi="en-US"/>
        </w:rPr>
        <w:t>However, we</w:t>
      </w:r>
      <w:r w:rsidR="00E6628A" w:rsidRPr="005B1CCB">
        <w:rPr>
          <w:rFonts w:ascii="Palatino Linotype" w:hAnsi="Palatino Linotype"/>
          <w:sz w:val="24"/>
          <w:szCs w:val="24"/>
          <w:lang w:bidi="en-US"/>
        </w:rPr>
        <w:t>ll established tumour protein markers include prostate-specific antigen for screening prostate cancer and carbohydrate antigen 19-9 (CA19-9) for monitoring pancreatic cancer</w:t>
      </w:r>
      <w:r w:rsidR="004801F4" w:rsidRPr="005B1CCB">
        <w:rPr>
          <w:rFonts w:ascii="Palatino Linotype" w:hAnsi="Palatino Linotype"/>
          <w:sz w:val="24"/>
          <w:szCs w:val="24"/>
          <w:lang w:bidi="en-US"/>
        </w:rPr>
        <w:t xml:space="preserve"> </w:t>
      </w:r>
      <w:r w:rsidR="00086EC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{"citationItems":[{"id":"ITEM-1","itemData":{"DOI":"10.1186/s12943-021-01309-7","ISSN":"1476-4598","abstract":"Early detection and diagnosis are the key to successful clinical management of pancreatic cancer and improve the patient outcome. However, due to the absence of early symptoms and the aggressiveness of pancreatic cancer, its 5-year survival rate remains below 5 %. Compared to tissue samples, liquid biopsies are of particular interest in clinical settings with respect to minimal invasiveness, repeated sampling, complete representation of the entire or multi-site tumor bulks. The potential of liquid biopsies in pancreatic cancer has been demonstrated by many studies which prove that liquid biopsies are able to detect early emergency of pancreatic cancer cells, residual disease, and recurrence. More interestingly, they show potential to delineate the heterogeneity, spatial and temporal, of pancreatic cancer. However, the performance of liquid biopsies for the diagnosis varies largely across different studies depending of the technique employed and also the type and stage of the tumor. One approach to improve the detect performance of liquid biopsies is to intensively inspect circulome and to define integrated biomarkers which simultaneously profile circulating tumor cells and DNA, extracellular vesicles, and circulating DNA, or cell free DNA and proteins. Moreover, the diagnostic validity and accuracy of liquid biopsies still need to be comprehensively demonstrated and validated.","author":[{"dropping-particle":"","family":"Hou","given":"Jun","non-dropping-particle":"","parse-names":false,"suffix":""},{"dropping-particle":"","family":"Li","given":"XueTao","non-dropping-particle":"","parse-names":false,"suffix":""},{"dropping-particle":"","family":"Xie","given":"Ke-Ping","non-dropping-particle":"","parse-names":false,"suffix":""}],"container-title":"Molecular Cancer","id":"ITEM-1","issue":"1","issued":{"date-parts":[["2021"]]},"page":"34","title":"Coupled liquid biopsy and bioinformatics for pancreatic cancer early detection and precision prognostication","type":"article-journal","volume":"20"},"uris":["http://www.mendeley.com/documents/?uuid=caf350d9-b153-4d4d-8953-a54f641b2474"]}],"mendeley":{"formattedCitation":"[37]","plainTextFormattedCitation":"[37]","previouslyFormattedCitation":"[37]"},"properties":{"noteIndex":0},"schema":"https://github.com/citation-style-language/schema/raw/master/csl-citation.json"}</w:instrText>
      </w:r>
      <w:r w:rsidR="00086EC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[37]</w:t>
      </w:r>
      <w:r w:rsidR="00086EC5" w:rsidRPr="005B1CCB">
        <w:rPr>
          <w:rFonts w:ascii="Palatino Linotype" w:hAnsi="Palatino Linotype"/>
          <w:sz w:val="24"/>
          <w:szCs w:val="24"/>
          <w:lang w:bidi="en-US"/>
        </w:rPr>
        <w:fldChar w:fldCharType="end"/>
      </w:r>
      <w:r w:rsidR="00E6628A" w:rsidRPr="005B1CCB">
        <w:rPr>
          <w:rFonts w:ascii="Palatino Linotype" w:hAnsi="Palatino Linotype"/>
          <w:sz w:val="24"/>
          <w:szCs w:val="24"/>
          <w:lang w:bidi="en-US"/>
        </w:rPr>
        <w:t>. Other e</w:t>
      </w:r>
      <w:r w:rsidR="00D71222" w:rsidRPr="005B1CCB">
        <w:rPr>
          <w:rFonts w:ascii="Palatino Linotype" w:hAnsi="Palatino Linotype"/>
          <w:sz w:val="24"/>
          <w:szCs w:val="24"/>
          <w:lang w:bidi="en-US"/>
        </w:rPr>
        <w:t xml:space="preserve">xamples of proteins that have been linked to the presence of tumours include alpha-fetoprotein for liver cancer </w:t>
      </w:r>
      <w:r w:rsidR="00D71222"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{"citationItems":[{"id":"ITEM-1","itemData":{"ISSN":"2153-8182","abstract":"Elevated serum levels of α-fetoprotein (AFP), a fetal serum protein, occur mainly in the development of hepatocellular carcinoma (HCC) or germ cell tumors, mainly yolk sac tumor. Rarely, other tumors of the urological system produce AFP. This article reviews the AFP-producing non-germ cell tumors of the urological tract reported to date. These include different types of tumors of the adrenal glands, kidney, ureter, urinary bladder, and testis. It is important for pathologists, urologists, and oncologists to be aware of such cases as the diagnosis affects the management plan for the patient.","author":[{"dropping-particle":"","family":"El-Bahrawy","given":"Mona","non-dropping-particle":"","parse-names":false,"suffix":""}],"container-title":"Reviews in urology","id":"ITEM-1","issue":"1","issued":{"date-parts":[["2011"]]},"language":"eng","page":"14-19","publisher":"MedReviews, LLC","title":"α-Fetoprotein-Producing Non-Germ Cell Tumors of the Urological System","type":"article-journal","volume":"13"},"uris":["http://www.mendeley.com/documents/?uuid=9341b8db-94af-474b-b4f6-444fe610fd4c"]}],"mendeley":{"formattedCitation":"[38]","plainTextFormattedCitation":"[38]","previouslyFormattedCitation":"[38]"},"properties":{"noteIndex":0},"schema":"https://github.com/citation-style-language/schema/raw/master/csl-citation.json"}</w:instrText>
      </w:r>
      <w:r w:rsidR="00D71222"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[38]</w:t>
      </w:r>
      <w:r w:rsidR="00D71222" w:rsidRPr="005B1CCB">
        <w:rPr>
          <w:rFonts w:ascii="Palatino Linotype" w:hAnsi="Palatino Linotype"/>
          <w:sz w:val="24"/>
          <w:szCs w:val="24"/>
          <w:lang w:bidi="en-US"/>
        </w:rPr>
        <w:fldChar w:fldCharType="end"/>
      </w:r>
      <w:r w:rsidR="00D71222" w:rsidRPr="005B1CCB">
        <w:rPr>
          <w:rFonts w:ascii="Palatino Linotype" w:hAnsi="Palatino Linotype"/>
          <w:sz w:val="24"/>
          <w:szCs w:val="24"/>
          <w:lang w:bidi="en-US"/>
        </w:rPr>
        <w:t xml:space="preserve"> and human chorionic gonadotropin for endometrial and breast cancers </w:t>
      </w:r>
      <w:r w:rsidR="00D71222"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{"citationItems":[{"id":"ITEM-1","itemData":{"DOI":"10.5301/ijbm.5000290","ISSN":"17246008","PMID":"28967068","abstract":"Human chorionic gonadotropin (hCG) is a peptide hormone which plays an important role during pregnancy. But its impact is not limited to pregnancy; it also influences tumor formation and metastatic outgrowth, especially in endometrial adenocarcinoma and breast cancer. This review summarizes what has been written in the literature about the role of hCG as a tumor marker in these 2 gynecological malignancies and also about the signal transduction pathways in which hCG is involved. HCG can, on the one hand, be a marker for the progression of a malignant disease, and on the other hand, it may be a point for therapeutical intervention, so further research into this molecule would be very much worthwhile.","author":[{"dropping-particle":"","family":"Kölbl","given":"Alexandra C.","non-dropping-particle":"","parse-names":false,"suffix":""},{"dropping-particle":"","family":"Schlenk","given":"Kristina","non-dropping-particle":"","parse-names":false,"suffix":""},{"dropping-particle":"","family":"Behrendt","given":"Nils","non-dropping-particle":"","parse-names":false,"suffix":""},{"dropping-particle":"","family":"Andergasse","given":"Ulrich","non-dropping-particle":"","parse-names":false,"suffix":""}],"container-title":"International Journal of Biological Markers","id":"ITEM-1","issue":"1","issued":{"date-parts":[["2018"]]},"page":"33-39","title":"The importance of hcg in human endometrial adenocarcinoma and breast cancer","type":"article-journal","volume":"33"},"uris":["http://www.mendeley.com/documents/?uuid=63084b5f-d180-45a1-9413-07a35fb04f1e"]}],"mendeley":{"formattedCitation":"[39]","plainTextFormattedCitation":"[39]","previouslyFormattedCitation":"[39]"},"properties":{"noteIndex":0},"schema":"https://github.com/citation-style-language/schema/raw/master/csl-citation.json"}</w:instrText>
      </w:r>
      <w:r w:rsidR="00D71222"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[39]</w:t>
      </w:r>
      <w:r w:rsidR="00D71222" w:rsidRPr="005B1CCB">
        <w:rPr>
          <w:rFonts w:ascii="Palatino Linotype" w:hAnsi="Palatino Linotype"/>
          <w:sz w:val="24"/>
          <w:szCs w:val="24"/>
          <w:lang w:bidi="en-US"/>
        </w:rPr>
        <w:fldChar w:fldCharType="end"/>
      </w:r>
      <w:r w:rsidR="00504497" w:rsidRPr="005B1CCB">
        <w:rPr>
          <w:rFonts w:ascii="Palatino Linotype" w:hAnsi="Palatino Linotype"/>
          <w:sz w:val="24"/>
          <w:szCs w:val="24"/>
          <w:lang w:bidi="en-US"/>
        </w:rPr>
        <w:t xml:space="preserve">. </w:t>
      </w:r>
    </w:p>
    <w:p w14:paraId="220CA888" w14:textId="77777777" w:rsidR="00F15C33" w:rsidRPr="005B1CCB" w:rsidRDefault="00F15C33" w:rsidP="002A64A8">
      <w:pPr>
        <w:spacing w:line="360" w:lineRule="auto"/>
        <w:jc w:val="both"/>
        <w:rPr>
          <w:rFonts w:ascii="Palatino Linotype" w:hAnsi="Palatino Linotype"/>
          <w:sz w:val="24"/>
          <w:szCs w:val="24"/>
          <w:lang w:bidi="en-US"/>
        </w:rPr>
      </w:pPr>
    </w:p>
    <w:p w14:paraId="5AAA1DC8" w14:textId="77777777" w:rsidR="00261854" w:rsidRPr="005B1CCB" w:rsidRDefault="00261854" w:rsidP="00261854">
      <w:pPr>
        <w:pStyle w:val="Heading4"/>
        <w:rPr>
          <w:lang w:bidi="en-US"/>
        </w:rPr>
      </w:pPr>
      <w:r w:rsidRPr="005B1CCB">
        <w:rPr>
          <w:lang w:bidi="en-US"/>
        </w:rPr>
        <w:t>Metabolites</w:t>
      </w:r>
    </w:p>
    <w:p w14:paraId="4B455A39" w14:textId="0D072FED" w:rsidR="00D7614F" w:rsidRDefault="00A33017" w:rsidP="00A3352A">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504497" w:rsidRPr="005B1CCB">
        <w:rPr>
          <w:rFonts w:ascii="Palatino Linotype" w:hAnsi="Palatino Linotype"/>
          <w:sz w:val="24"/>
          <w:szCs w:val="24"/>
          <w:lang w:bidi="en-US"/>
        </w:rPr>
        <w:t xml:space="preserve">Cancer metabolism is regulated by metabolite present in the tumour microenvironment </w:t>
      </w:r>
      <w:r w:rsidR="0050449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{"citationItems":[{"id":"ITEM-1","itemData":{"DOI":"10.1038/s42255-020-00317-z","ISSN":"2522-5812","abstract":"Metabolic transformation is a hallmark of cancer and a critical target for cancer therapy. Cancer metabolism and behaviour are regulated by cell-intrinsic factors as well as metabolite availability in the tumour microenvironment (TME). This metabolic niche within the TME is shaped by four tiers of regulation: (1) intrinsic tumour cell metabolism, (2) interactions between cancer cells and non-cancerous cells, (3) tumour location and heterogeneity and (4) whole-body metabolic homeostasis. Here, we define these modes of metabolic regulation and review how distinct cell types contribute to the metabolite composition of the TME. Finally, we connect these insights to understand how each of these tiers offers unique therapeutic potential to modulate the metabolic profile and function of all cells inhabiting the TME.","author":[{"dropping-particle":"","family":"Elia","given":"Ilaria","non-dropping-particle":"","parse-names":false,"suffix":""},{"dropping-particle":"","family":"Haigis","given":"Marcia C","non-dropping-particle":"","parse-names":false,"suffix":""}],"container-title":"Nature Metabolism","id":"ITEM-1","issue":"1","issued":{"date-parts":[["2021"]]},"page":"21-32","title":"Metabolites and the tumour microenvironment: from cellular mechanisms to systemic metabolism","type":"article-journal","volume":"3"},"uris":["http://www.mendeley.com/documents/?uuid=c962bdd9-5b40-472b-b7d9-1b116844baeb"]}],"mendeley":{"formattedCitation":"[40]","plainTextFormattedCitation":"[40]","previouslyFormattedCitation":"[40]"},"properties":{"noteIndex":0},"schema":"https://github.com/citation-style-language/schema/raw/master/csl-citation.json"}</w:instrText>
      </w:r>
      <w:r w:rsidR="0050449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[40]</w:t>
      </w:r>
      <w:r w:rsidR="00504497" w:rsidRPr="005B1CCB">
        <w:rPr>
          <w:rFonts w:ascii="Palatino Linotype" w:hAnsi="Palatino Linotype"/>
          <w:sz w:val="24"/>
          <w:szCs w:val="24"/>
          <w:lang w:bidi="en-US"/>
        </w:rPr>
        <w:fldChar w:fldCharType="end"/>
      </w:r>
      <w:r w:rsidR="00504497" w:rsidRPr="005B1CCB">
        <w:rPr>
          <w:rFonts w:ascii="Palatino Linotype" w:hAnsi="Palatino Linotype"/>
          <w:sz w:val="24"/>
          <w:szCs w:val="24"/>
          <w:lang w:bidi="en-US"/>
        </w:rPr>
        <w:t xml:space="preserve">, thus alterations in these metabolites can be used as a marker for diagnosing some cancers. </w:t>
      </w:r>
      <w:r w:rsidR="009840C5" w:rsidRPr="00E27313">
        <w:rPr>
          <w:rFonts w:ascii="Palatino Linotype" w:hAnsi="Palatino Linotype"/>
          <w:sz w:val="24"/>
          <w:szCs w:val="24"/>
          <w:lang w:bidi="en-US"/>
        </w:rPr>
        <w:t>Some metabolites that accumulate to high levels in tumour cells suppress DNA</w:t>
      </w:r>
      <w:r w:rsidR="00B465CA" w:rsidRPr="00E27313">
        <w:rPr>
          <w:rFonts w:ascii="Palatino Linotype" w:hAnsi="Palatino Linotype"/>
          <w:sz w:val="24"/>
          <w:szCs w:val="24"/>
          <w:lang w:bidi="en-US"/>
        </w:rPr>
        <w:t xml:space="preserve"> repair</w:t>
      </w:r>
      <w:r w:rsidR="00B465CA" w:rsidRPr="005B1CCB">
        <w:rPr>
          <w:rFonts w:ascii="Palatino Linotype" w:hAnsi="Palatino Linotype"/>
          <w:sz w:val="24"/>
          <w:szCs w:val="24"/>
          <w:lang w:bidi="en-US"/>
        </w:rPr>
        <w:t xml:space="preserve">. Although the mechanism remains poorly understood, </w:t>
      </w:r>
      <w:r w:rsidR="009840C5" w:rsidRPr="005B1CCB">
        <w:rPr>
          <w:rFonts w:ascii="Palatino Linotype" w:hAnsi="Palatino Linotype"/>
          <w:sz w:val="24"/>
          <w:szCs w:val="24"/>
          <w:lang w:bidi="en-US"/>
        </w:rPr>
        <w:t>an uninterrupted link between altered metabolism and instability of the genome caused by DNA damage</w:t>
      </w:r>
      <w:r w:rsidR="00B465CA" w:rsidRPr="005B1CCB">
        <w:rPr>
          <w:rFonts w:ascii="Palatino Linotype" w:hAnsi="Palatino Linotype"/>
          <w:sz w:val="24"/>
          <w:szCs w:val="24"/>
          <w:lang w:bidi="en-US"/>
        </w:rPr>
        <w:t xml:space="preserve"> is revealed </w:t>
      </w:r>
      <w:r w:rsidR="009840C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{"citationItems":[{"id":"ITEM-1","itemData":{"DOI":"10.1038/s41586-020-2363-0","ISSN":"1476-4687","abstract":"Deregulation of metabolism and disruption of genome integrity are hallmarks of cancer1. Increased levels of the metabolites 2-hydroxyglutarate, succinate and fumarate occur in human malignancies owing to somatic mutations in the isocitrate dehydrogenase-1 or -2 (IDH1 or IDH2) genes, or germline mutations in the fumarate hydratase (FH) and succinate dehydrogenase genes (SDHA, SDHB, SDHC and SDHD), respectively2–4. Recent work has made an unexpected connection between these metabolites and DNA repair by showing that they suppress the pathway of homology-dependent repair (HDR)5,6 and confer an exquisite sensitivity to inhibitors of poly (ADP-ribose) polymerase (PARP) that are being tested in clinical trials. However, the mechanism by which these oncometabolites inhibit HDR remains poorly understood. Here we determine the pathway by which these metabolites disrupt DNA repair. We show that oncometabolite-induced inhibition of the lysine demethylase KDM4B results in aberrant hypermethylation of histone 3 lysine 9 (H3K9) at loci surrounding DNA breaks, masking a local H3K9 trimethylation signal that is essential for the proper execution of HDR. Consequently, recruitment of TIP60 and ATM, two key proximal HDR factors, is substantially impaired at DNA breaks, with reduced end resection and diminished recruitment of downstream repair factors. These findings provide a mechanistic basis for oncometabolite-induced HDR suppression and may guide effective strategies to exploit these defects for therapeutic gain.","author":[{"dropping-particle":"","family":"Sulkowski","given":"Parker L","non-dropping-particle":"","parse-names":false,"suffix":""},{"dropping-particle":"","family":"Oeck","given":"Sebastian","non-dropping-particle":"","parse-names":false,"suffix":""},{"dropping-particle":"","family":"Dow","given":"Jonathan","non-dropping-particle":"","parse-names":false,"suffix":""},{"dropping-particle":"","family":"Economos","given":"Nicholas G","non-dropping-particle":"","parse-names":false,"suffix":""},{"dropping-particle":"","family":"Mirfakhraie","given":"Lily","non-dropping-particle":"","parse-names":false,"suffix":""},{"dropping-particle":"","family":"Liu","given":"Yanfeng","non-dropping-particle":"","parse-names":false,"suffix":""},{"dropping-particle":"","family":"Noronha","given":"Katelyn","non-dropping-particle":"","parse-names":false,"suffix":""},{"dropping-particle":"","family":"Bao","given":"Xun","non-dropping-particle":"","parse-names":false,"suffix":""},{"dropping-particle":"","family":"Li","given":"Jing","non-dropping-particle":"","parse-names":false,"suffix":""},{"dropping-particle":"","family":"Shuch","given":"Brian M","non-dropping-particle":"","parse-names":false,"suffix":""},{"dropping-particle":"","family":"King","given":"Megan C","non-dropping-particle":"","parse-names":false,"suffix":""},{"dropping-particle":"","family":"Bindra","given":"Ranjit S","non-dropping-particle":"","parse-names":false,"suffix":""},{"dropping-particle":"","family":"Glazer","given":"Peter M","non-dropping-particle":"","parse-names":false,"suffix":""}],"container-title":"Nature","id":"ITEM-1","issue":"7813","issued":{"date-parts":[["2020"]]},"page":"586-591","title":"Oncometabolites suppress DNA repair by disrupting local chromatin signalling","type":"article-journal","volume":"582"},"uris":["http://www.mendeley.com/documents/?uuid=35ffa709-04fd-4bde-88d3-9f11a82fe4d2"]}],"mendeley":{"formattedCitation":"[41]","plainTextFormattedCitation":"[41]","previouslyFormattedCitation":"[41]"},"properties":{"noteIndex":0},"schema":"https://github.com/citation-style-language/schema/raw/master/csl-citation.json"}</w:instrText>
      </w:r>
      <w:r w:rsidR="009840C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[41]</w:t>
      </w:r>
      <w:r w:rsidR="009840C5" w:rsidRPr="005B1CCB">
        <w:rPr>
          <w:rFonts w:ascii="Palatino Linotype" w:hAnsi="Palatino Linotype"/>
          <w:sz w:val="24"/>
          <w:szCs w:val="24"/>
          <w:lang w:bidi="en-US"/>
        </w:rPr>
        <w:fldChar w:fldCharType="end"/>
      </w:r>
      <w:r w:rsidR="009840C5" w:rsidRPr="005B1CCB">
        <w:rPr>
          <w:rFonts w:ascii="Palatino Linotype" w:hAnsi="Palatino Linotype"/>
          <w:sz w:val="24"/>
          <w:szCs w:val="24"/>
          <w:lang w:bidi="en-US"/>
        </w:rPr>
        <w:t xml:space="preserve">. </w:t>
      </w:r>
      <w:r w:rsidR="00BF317C" w:rsidRPr="005B1CCB">
        <w:rPr>
          <w:rFonts w:ascii="Palatino Linotype" w:hAnsi="Palatino Linotype"/>
          <w:sz w:val="24"/>
          <w:szCs w:val="24"/>
          <w:lang w:bidi="en-US"/>
        </w:rPr>
        <w:t xml:space="preserve">Tumour metabolites </w:t>
      </w:r>
      <w:r w:rsidR="004C23B5" w:rsidRPr="005B1CCB">
        <w:rPr>
          <w:rFonts w:ascii="Palatino Linotype" w:hAnsi="Palatino Linotype"/>
          <w:sz w:val="24"/>
          <w:szCs w:val="24"/>
          <w:lang w:bidi="en-US"/>
        </w:rPr>
        <w:t xml:space="preserve">have been recently investigated in esophageal </w:t>
      </w:r>
      <w:r w:rsidR="004C23B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{"citationItems":[{"id":"ITEM-1","itemData":{"DOI":"10.7150/jca.41733","ISSN":"1837-9664","abstract":"Background: Esophageal squamous cell carcinoma (ESCC) is one of the most fatal diseases worldwide. Because early diagnosis is difficult, ESCC is mostly diagnosed at an advanced stage, leading to a poor overall prognosis. The purpose of this study was to explore the differences between plasma metabolic profiles in ESCC patients and healthy controls and to establish a diagnostic model of ESCC. Methods: In this study, a cohort of 310 subjects, containing 140 ESCC patients and 170 healthy controls (HC), was recruited. Participants were randomly separated into a training set (80 ESCCs, 80 HCs) and a validation set (60 ESCCs, 90 HCs) and their plasma metabolomics profiles were analyzed by ultra-performance liquid chromatography-tandem quadruple time-of-flight mass spectrometry (UPLC-QTOF/MS) technique. Univariate statistical analysis and multivariate analysis (MVA) methods were used to identify differential metabolites. Finally, the dysregulated pathways associated with ESCC were further explored and the diagnostic performance of the biomarker panel was evaluated. Results: Metabolic analyses identified 34 significant metabolites involved in the metabolism of amino acids, phospholipids, fatty acids, purine, and choline. Farthermore, an effective diagnostic model for ESCC was constructed based on eight metabolites. This panel of biomarkers consisted of hypoxanthine, proline betaine, indoleacrylic acid, inosine, 9-decenoylcarnitine, tetracosahexaenoic acid, LPE (20:4), and LPC (20:5). The model was verified and evaluated in the validation set. The AUC value of the ROC curve was 0.991(95% CI: 0.981-1.000, CI, Confidence interval), with a sensitivity (SE) of 98.8% and a specificity (SP) of 94.9% for the training set and 0.965(95% CI: 0.936-0.993), with a SE of 88.3% and a SP of 88.9% for the validation set. Among them, three biomarkers, indoleacrylic acid, LPC (20:5), and LPE (20:4), exhibited a trend associated with the ESCC progression. Conclusions: Our study identified a novel plasma biomarker panel, which clearly distinguishes ESCC patients and provides insight into the mechanisms of ESCC. This finding may form the basis for the development of a minimally invasive method for ESCC detection.","author":[{"dropping-particle":"","family":"Zhu","given":"Zi-Jia","non-dropping-particle":"","parse-names":false,"suffix":""},{"dropping-particle":"","family":"Qi","given":"Zheng","non-dropping-particle":"","parse-names":false,"suffix":""},{"dropping-particle":"","family":"Zhang","given":"Ji","non-dropping-particle":"","parse-names":false,"suffix":""},{"dropping-particle":"","family":"Xue","given":"Wen-Hua","non-dropping-particle":"","parse-names":false,"suffix":""},{"dropping-particle":"","family":"Li","given":"Li-Feng","non-dropping-particle":"","parse-names":false,"suffix":""},{"dropping-particle":"","family":"Shen","given":"Zhi-Bo","non-dropping-particle":"","parse-names":false,"suffix":""},{"dropping-particle":"","family":"Li","given":"Ze-Yun","non-dropping-particle":"","parse-names":false,"suffix":""},{"dropping-particle":"","family":"Yuan","given":"Yong-Liang","non-dropping-particle":"","parse-names":false,"suffix":""},{"dropping-particle":"","family":"Wang","given":"Wen-Bin","non-dropping-particle":"","parse-names":false,"suffix":""},{"dropping-particle":"","family":"Zhao","given":"Jie","non-dropping-particle":"","parse-names":false,"suffix":""}],"container-title":"Journal of Cancer","id":"ITEM-1","issue":"13","issued":{"date-parts":[["2020","4","6"]]},"language":"eng","page":"3944-3954","publisher":"Ivyspring International Publisher","title":"Untargeted Metabolomics Analysis of Esophageal Squamous Cell Carcinoma Discovers Dysregulated Metabolic Pathways and Potential Diagnostic Biomarkers","type":"article-journal","volume":"11"},"uris":["http://www.mendeley.com/documents/?uuid=1327680f-b09a-45ba-9352-8a198bfd9bcb"]}],"mendeley":{"formattedCitation":"[42]","plainTextFormattedCitation":"[42]","previouslyFormattedCitation":"[42]"},"properties":{"noteIndex":0},"schema":"https://github.com/citation-style-language/schema/raw/master/csl-citation.json"}</w:instrText>
      </w:r>
      <w:r w:rsidR="004C23B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[42]</w:t>
      </w:r>
      <w:r w:rsidR="004C23B5" w:rsidRPr="005B1CCB">
        <w:rPr>
          <w:rFonts w:ascii="Palatino Linotype" w:hAnsi="Palatino Linotype"/>
          <w:sz w:val="24"/>
          <w:szCs w:val="24"/>
          <w:lang w:bidi="en-US"/>
        </w:rPr>
        <w:fldChar w:fldCharType="end"/>
      </w:r>
      <w:r w:rsidR="004C23B5" w:rsidRPr="005B1CCB">
        <w:rPr>
          <w:rFonts w:ascii="Palatino Linotype" w:hAnsi="Palatino Linotype"/>
          <w:sz w:val="24"/>
          <w:szCs w:val="24"/>
          <w:lang w:bidi="en-US"/>
        </w:rPr>
        <w:t xml:space="preserve"> and cervical  cancers </w:t>
      </w:r>
      <w:r w:rsidR="004C23B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{"citationItems":[{"id":"ITEM-1","itemData":{"DOI":"10.1038/srep43353","ISSN":"2045-2322","abstract":"Cervical cancer (CC) still remains a common and deadly malignancy among females in developing countries. More accurate and reliable diagnostic methods/biomarkers should be discovered. In this study, we performed a comprehensive analysis of metabolomics (285 samples) and transcriptomics (52 samples) on the potential diagnostic implication and metabolic characteristic description in cervical cancer. Sixty-two metabolites were different between CC and normal controls (NOR), in which 5 metabolites (bilirubin, LysoPC(17:0), n-oleoyl threonine, 12-hydroxydodecanoic acid and tetracosahexaenoic acid) were selected as candidate biomarkers for CC. The AUC value, sensitivity (SE), and specificity (SP) of these 5 biomarkers were 0.99, 0.98 and 0.99, respectively. We further analysed the genes in 7 significantly enriched pathways, of which 117 genes, that were expressed differentially, were mainly involved in catalytic activity. Finally, a fully connected network of metabolites and genes in these pathways was built, which can increase the credibility of our selected metabolites. In conclusion, our biomarkers from metabolomics could set a path for CC diagnosis and screening. Our results also showed that variables of both transcriptomics and metabolomics were associated with CC.","author":[{"dropping-particle":"","family":"Yang","given":"Kai","non-dropping-particle":"","parse-names":false,"suffix":""},{"dropping-particle":"","family":"Xia","given":"Bairong","non-dropping-particle":"","parse-names":false,"suffix":""},{"dropping-particle":"","family":"Wang","given":"Wenjie","non-dropping-particle":"","parse-names":false,"suffix":""},{"dropping-particle":"","family":"Cheng","given":"Jinlong","non-dropping-particle":"","parse-names":false,"suffix":""},{"dropping-particle":"","family":"Yin","given":"Mingzhu","non-dropping-particle":"","parse-names":false,"suffix":""},{"dropping-particle":"","family":"Xie","given":"Hongyu","non-dropping-particle":"","parse-names":false,"suffix":""},{"dropping-particle":"","family":"Li","given":"Junnan","non-dropping-particle":"","parse-names":false,"suffix":""},{"dropping-particle":"","family":"Ma","given":"Libing","non-dropping-particle":"","parse-names":false,"suffix":""},{"dropping-particle":"","family":"Yang","given":"Chunyan","non-dropping-particle":"","parse-names":false,"suffix":""},{"dropping-particle":"","family":"Li","given":"Ang","non-dropping-particle":"","parse-names":false,"suffix":""},{"dropping-particle":"","family":"Fan","given":"Xin","non-dropping-particle":"","parse-names":false,"suffix":""},{"dropping-particle":"","family":"Dhillon","given":"Harman S","non-dropping-particle":"","parse-names":false,"suffix":""},{"dropping-particle":"","family":"Hou","given":"Yan","non-dropping-particle":"","parse-names":false,"suffix":""},{"dropping-particle":"","family":"Lou","given":"Ge","non-dropping-particle":"","parse-names":false,"suffix":""},{"dropping-particle":"","family":"Li","given":"Kang","non-dropping-particle":"","parse-names":false,"suffix":""}],"container-title":"Scientific reports","id":"ITEM-1","issued":{"date-parts":[["2017","2","22"]]},"language":"eng","page":"43353","publisher":"Nature Publishing Group","title":"A Comprehensive Analysis of Metabolomics and Transcriptomics in Cervical Cancer","type":"article-journal","volume":"7"},"uris":["http://www.mendeley.com/documents/?uuid=da4d067e-e9d7-4daf-a0dc-ed71e974bd1e"]}],"mendeley":{"formattedCitation":"[43]","plainTextFormattedCitation":"[43]","previouslyFormattedCitation":"[43]"},"properties":{"noteIndex":0},"schema":"https://github.com/citation-style-language/schema/raw/master/csl-citation.json"}</w:instrText>
      </w:r>
      <w:r w:rsidR="004C23B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[43]</w:t>
      </w:r>
      <w:r w:rsidR="004C23B5" w:rsidRPr="005B1CCB">
        <w:rPr>
          <w:rFonts w:ascii="Palatino Linotype" w:hAnsi="Palatino Linotype"/>
          <w:sz w:val="24"/>
          <w:szCs w:val="24"/>
          <w:lang w:bidi="en-US"/>
        </w:rPr>
        <w:fldChar w:fldCharType="end"/>
      </w:r>
      <w:r w:rsidR="004C23B5" w:rsidRPr="005B1CCB">
        <w:rPr>
          <w:rFonts w:ascii="Palatino Linotype" w:hAnsi="Palatino Linotype"/>
          <w:sz w:val="24"/>
          <w:szCs w:val="24"/>
          <w:lang w:bidi="en-US"/>
        </w:rPr>
        <w:t>. They are also currently being explored in head and neck cancer patients</w:t>
      </w:r>
      <w:r w:rsidR="002A64A8" w:rsidRPr="005B1CCB">
        <w:rPr>
          <w:rFonts w:ascii="Palatino Linotype" w:hAnsi="Palatino Linotype"/>
          <w:sz w:val="24"/>
          <w:szCs w:val="24"/>
          <w:lang w:bidi="en-US"/>
        </w:rPr>
        <w:t xml:space="preserve"> </w:t>
      </w:r>
      <w:r w:rsidR="004C23B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{"citationItems":[{"id":"ITEM-1","itemData":{"DOI":"10.3390/cancers13081874","ISSN":"20726694","abstract":"Head and neck cancers are the seventh most frequent malignancy worldwide, consisting of a heterogeneous group of cancers that develop in the oral cavity, pharynx, and larynx, with head and neck squamous cell carcinoma (HNSCC) being the most common pathology. Due to limitations with screening and physical examination, HNSCC often presents in advanced disease states and is thus associated with poor survival. In this setting, liquid biopsies, or obtaining patient bodily fluid samples for cancer diagnosis and prognosis, may play a dramatic role in optimizing care for HNSCC patients. In recent years, there have been dramatic advancements in investigations focused on optimizing and implementing liquid biopsies in general, and specifically for HNSCC patients. Moving forward, there remain significant challenges in liquid biopsy technological development, as well as opportunities for the development of HNSCC liquid biopsy clinical trials and treatment paradigms. In this review, we discuss the current state of liquid biopsy technologies via circulating tumor cells, circulating tumor DNA and exosomes, approaches in head and neck cancer, challenges to optimization and application of liquid biopsies for clinical study, and future prospects for this field of research as it applies to head and neck cancer.","author":[{"dropping-particle":"","family":"Kong","given":"Lingyi","non-dropping-particle":"","parse-names":false,"suffix":""},{"dropping-particle":"","family":"Birkeland","given":"Andrew C.","non-dropping-particle":"","parse-names":false,"suffix":""}],"container-title":"Cancers","id":"ITEM-1","issue":"8","issued":{"date-parts":[["2021"]]},"page":"1-16","title":"Liquid biopsies in head and neck cancer: Current state and future challenges","type":"article-journal","volume":"13"},"uris":["http://www.mendeley.com/documents/?uuid=5b97d419-b544-4f96-a14d-65c60a3b116c"]}],"mendeley":{"formattedCitation":"[44]","plainTextFormattedCitation":"[44]","previouslyFormattedCitation":"[44]"},"properties":{"noteIndex":0},"schema":"https://github.com/citation-style-language/schema/raw/master/csl-citation.json"}</w:instrText>
      </w:r>
      <w:r w:rsidR="004C23B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[44]</w:t>
      </w:r>
      <w:r w:rsidR="004C23B5" w:rsidRPr="005B1CCB">
        <w:rPr>
          <w:rFonts w:ascii="Palatino Linotype" w:hAnsi="Palatino Linotype"/>
          <w:sz w:val="24"/>
          <w:szCs w:val="24"/>
          <w:lang w:bidi="en-US"/>
        </w:rPr>
        <w:fldChar w:fldCharType="end"/>
      </w:r>
      <w:r w:rsidR="004C23B5" w:rsidRPr="005B1CCB">
        <w:rPr>
          <w:rFonts w:ascii="Palatino Linotype" w:hAnsi="Palatino Linotype"/>
          <w:sz w:val="24"/>
          <w:szCs w:val="24"/>
          <w:lang w:bidi="en-US"/>
        </w:rPr>
        <w:t xml:space="preserve">. </w:t>
      </w:r>
      <w:r w:rsidR="00504497" w:rsidRPr="005B1CCB">
        <w:rPr>
          <w:rFonts w:ascii="Palatino Linotype" w:hAnsi="Palatino Linotype"/>
          <w:sz w:val="24"/>
          <w:szCs w:val="24"/>
          <w:lang w:bidi="en-US"/>
        </w:rPr>
        <w:t xml:space="preserve"> </w:t>
      </w:r>
    </w:p>
    <w:p w14:paraId="3EA30B02" w14:textId="77777777" w:rsidR="00F15C33" w:rsidRPr="005B1CCB" w:rsidRDefault="00F15C33" w:rsidP="00A3352A">
      <w:pPr>
        <w:spacing w:line="360" w:lineRule="auto"/>
        <w:jc w:val="both"/>
        <w:rPr>
          <w:rFonts w:ascii="Palatino Linotype" w:hAnsi="Palatino Linotype"/>
          <w:sz w:val="24"/>
          <w:szCs w:val="24"/>
          <w:lang w:bidi="en-US"/>
        </w:rPr>
      </w:pPr>
    </w:p>
    <w:p w14:paraId="0FEA1E73" w14:textId="77777777" w:rsidR="00B0623F" w:rsidRPr="005B1CCB" w:rsidRDefault="00B0623F" w:rsidP="00B0623F">
      <w:pPr>
        <w:pStyle w:val="Heading4"/>
        <w:rPr>
          <w:lang w:bidi="en-US"/>
        </w:rPr>
      </w:pPr>
      <w:r w:rsidRPr="005B1CCB">
        <w:rPr>
          <w:lang w:bidi="en-US"/>
        </w:rPr>
        <w:t>Exosomes</w:t>
      </w:r>
    </w:p>
    <w:p w14:paraId="239EE9A3" w14:textId="3328F774" w:rsidR="00B0623F" w:rsidRPr="005B1CCB" w:rsidRDefault="00A33017" w:rsidP="0000048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B0623F" w:rsidRPr="005B1CCB">
        <w:rPr>
          <w:rFonts w:ascii="Palatino Linotype" w:hAnsi="Palatino Linotype"/>
          <w:sz w:val="24"/>
          <w:szCs w:val="24"/>
          <w:lang w:bidi="en-US"/>
        </w:rPr>
        <w:t xml:space="preserve">These </w:t>
      </w:r>
      <w:r w:rsidR="00B0623F" w:rsidRPr="00E27313">
        <w:rPr>
          <w:rFonts w:ascii="Palatino Linotype" w:hAnsi="Palatino Linotype"/>
          <w:sz w:val="24"/>
          <w:szCs w:val="24"/>
          <w:lang w:bidi="en-US"/>
        </w:rPr>
        <w:t xml:space="preserve">are extracellular vesicles </w:t>
      </w:r>
      <w:r w:rsidR="00DC7245" w:rsidRPr="00E27313">
        <w:rPr>
          <w:rFonts w:ascii="Palatino Linotype" w:hAnsi="Palatino Linotype"/>
          <w:sz w:val="24"/>
          <w:szCs w:val="24"/>
          <w:lang w:bidi="en-US"/>
        </w:rPr>
        <w:t>released into surrounding bio-fluids by cells, including cancer cells</w:t>
      </w:r>
      <w:r w:rsidR="00DC7245" w:rsidRPr="005B1CCB">
        <w:rPr>
          <w:rFonts w:ascii="Palatino Linotype" w:hAnsi="Palatino Linotype"/>
          <w:sz w:val="24"/>
          <w:szCs w:val="24"/>
          <w:lang w:bidi="en-US"/>
        </w:rPr>
        <w:t xml:space="preserve">. They </w:t>
      </w:r>
      <w:r w:rsidR="00B0623F" w:rsidRPr="00E27313">
        <w:rPr>
          <w:rFonts w:ascii="Palatino Linotype" w:hAnsi="Palatino Linotype"/>
          <w:sz w:val="24"/>
          <w:szCs w:val="24"/>
          <w:lang w:bidi="en-US"/>
        </w:rPr>
        <w:t>contain protein, DNA, RNA, lipids, sugar structures, metabolites and transcriptome, making them small packages of multi-analyte biomarkers</w:t>
      </w:r>
      <w:r w:rsidR="00DC7245" w:rsidRPr="005B1CCB">
        <w:rPr>
          <w:rFonts w:ascii="Palatino Linotype" w:hAnsi="Palatino Linotype"/>
          <w:sz w:val="24"/>
          <w:szCs w:val="24"/>
          <w:lang w:bidi="en-US"/>
        </w:rPr>
        <w:t xml:space="preserve"> </w:t>
      </w:r>
      <w:r w:rsidR="00DC724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{"citationItems":[{"id":"ITEM-1","itemData":{"DOI":"10.1016/j.annonc.2021.01.074","ISSN":"15698041","PMID":"33548389","abstract":"Liquid biopsy in cancer has gained momentum in clinical research and is experiencing a boom for a variety of applications. There are significant efforts to utilize liquid biopsies in cancer for early detection and treatment stratification, as well as residual disease and recurrence monitoring. Although most efforts have used circulating tumor cells and circulating tumor DNA for this purpose, exosomes and other extracellular vesicles have emerged as a platform with potentially broader and complementary applications. Exosomes/extracellular vesicles are small vesicles released by cells, including cancer cells, into the surrounding biofluids. These exosomes contain tumor-derived materials such as DNA, RNA, protein, lipid, sugar structures, and metabolites. In addition, exosomes carry molecules on their surface that provides clues regarding their origin, making it possible to sort vesicle types and enrich signatures from tissue-specific origins. Exosomes are part of the intercellular communication system and cancer cells frequently use them as biological messengers to benefit their growth. Since exosomes are part of the disease process, they have become of tremendous interest in biomarker research. Exosomes are remarkably stable in biofluids, such as plasma and urine, and can be isolated for clinical evaluation even in the early stages of the disease. Exosome-based biomarkers have quickly become adopted in the clinical arena and the first exosome RNA-based prostate cancer test has already helped &gt;50 000 patients in their decision process and is now included in the National Comprehensive Cancer Network guidelines for early prostate cancer detection. This review will discuss the advantages and challenges of exosome-based liquid biopsies for tumor biomarkers and clinical implementation in the context of circulating tumor DNA and circulating tumor cells.","author":[{"dropping-particle":"","family":"Yu","given":"W.","non-dropping-particle":"","parse-names":false,"suffix":""},{"dropping-particle":"","family":"Hurley","given":"J.","non-dropping-particle":"","parse-names":false,"suffix":""},{"dropping-particle":"","family":"Roberts","given":"D.","non-dropping-particle":"","parse-names":false,"suffix":""},{"dropping-particle":"","family":"Chakrabortty","given":"S. K.","non-dropping-particle":"","parse-names":false,"suffix":""},{"dropping-particle":"","family":"Enderle","given":"D.","non-dropping-particle":"","parse-names":false,"suffix":""},{"dropping-particle":"","family":"Noerholm","given":"M.","non-dropping-particle":"","parse-names":false,"suffix":""},{"dropping-particle":"","family":"Breakefield","given":"X. O.","non-dropping-particle":"","parse-names":false,"suffix":""},{"dropping-particle":"","family":"Skog","given":"J. K.","non-dropping-particle":"","parse-names":false,"suffix":""}],"container-title":"Annals of Oncology","id":"ITEM-1","issue":"4","issued":{"date-parts":[["2021"]]},"page":"466-477","title":"Exosome-based liquid biopsies in cancer: opportunities and challenges","type":"article-journal","volume":"32"},"uris":["http://www.mendeley.com/documents/?uuid=c4a36fbb-58a1-4ea1-9153-9ab579d9058e"]}],"mendeley":{"formattedCitation":"[45]","plainTextFormattedCitation":"[45]","previouslyFormattedCitation":"[45]"},"properties":{"noteIndex":0},"schema":"https://github.com/citation-style-language/schema/raw/master/csl-citation.json"}</w:instrText>
      </w:r>
      <w:r w:rsidR="00DC724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[45]</w:t>
      </w:r>
      <w:r w:rsidR="00DC7245" w:rsidRPr="005B1CCB">
        <w:rPr>
          <w:rFonts w:ascii="Palatino Linotype" w:hAnsi="Palatino Linotype"/>
          <w:sz w:val="24"/>
          <w:szCs w:val="24"/>
          <w:lang w:bidi="en-US"/>
        </w:rPr>
        <w:fldChar w:fldCharType="end"/>
      </w:r>
      <w:r w:rsidR="00B0623F" w:rsidRPr="005B1CCB">
        <w:rPr>
          <w:rFonts w:ascii="Palatino Linotype" w:hAnsi="Palatino Linotype"/>
          <w:sz w:val="24"/>
          <w:szCs w:val="24"/>
          <w:lang w:bidi="en-US"/>
        </w:rPr>
        <w:t>.</w:t>
      </w:r>
    </w:p>
    <w:p w14:paraId="2275CD1C" w14:textId="142FF787" w:rsidR="00DC7245" w:rsidRPr="005B1CCB" w:rsidRDefault="00892CD2" w:rsidP="0000048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026B25" w:rsidRPr="00E27313">
        <w:rPr>
          <w:rFonts w:ascii="Palatino Linotype" w:hAnsi="Palatino Linotype"/>
          <w:sz w:val="24"/>
          <w:szCs w:val="24"/>
          <w:lang w:bidi="en-US"/>
        </w:rPr>
        <w:t xml:space="preserve">Exosomes are of immense interest </w:t>
      </w:r>
      <w:r w:rsidR="00805A24" w:rsidRPr="00E27313">
        <w:rPr>
          <w:rFonts w:ascii="Palatino Linotype" w:hAnsi="Palatino Linotype"/>
          <w:sz w:val="24"/>
          <w:szCs w:val="24"/>
          <w:lang w:bidi="en-US"/>
        </w:rPr>
        <w:t xml:space="preserve">in biomarker research because they are part of the intercellular communication system in the body, and thus cancer cells commonly use them as biological messengers to benefit their growth. </w:t>
      </w:r>
      <w:r w:rsidR="0021472D" w:rsidRPr="00E27313">
        <w:rPr>
          <w:rFonts w:ascii="Palatino Linotype" w:hAnsi="Palatino Linotype"/>
          <w:sz w:val="24"/>
          <w:szCs w:val="24"/>
          <w:lang w:bidi="en-US"/>
        </w:rPr>
        <w:t>They are typically stable in fluids like urine and plasma and can be isolated for clinical evaluation even at the early stages of cancer</w:t>
      </w:r>
      <w:r w:rsidR="001D7016" w:rsidRPr="005B1CCB">
        <w:rPr>
          <w:rFonts w:ascii="Palatino Linotype" w:hAnsi="Palatino Linotype"/>
          <w:sz w:val="24"/>
          <w:szCs w:val="24"/>
          <w:lang w:bidi="en-US"/>
        </w:rPr>
        <w:t xml:space="preserve"> </w:t>
      </w:r>
      <w:r w:rsidR="001D701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{"citationItems":[{"id":"ITEM-1","itemData":{"DOI":"10.1002/prca.201400114","ISSN":"1862-8354","abstract":"Biomarkers are measurable indicators of a biological state. As our understanding of diseases meliorates, it is generally accepted that early diagnosis renders the best chance to cure a disease. In the context of proteomics, the discovery phase of identifying bonafide biomarkers and the ensuing validation phase involving large cohort of patient samples are impeded by the complexity of bodily fluid samples. High abundant proteins found in blood plasma make it difficult for the detection of low abundant proteins that may be potential biomarkers. Extracellular vesicles (EVs) have reignited interest in the field of biomarker discovery. EVs contain a tissue-type signature wherein a rich cargo of proteins and RNA are selectively packaged. In addition, as EVs are membranous structures, the luminal contents are protected from degradation by extracellular proteases and are highly stable in storage conditions. Interestingly, an appealing feature of EV-based biomarker analysis is the significant reduction in the sample complexity compared to whole bodily fluids. With these prescribed attributes, which are the rate-limiting factors of traditional biomarker analysis, there is immense potential for the use of EVs for biomarker detection in clinical settings. This review will discuss the current issues with biomarker analysis and the potential use of EVs as reservoirs of disease biomarkers.","author":[{"dropping-particle":"","family":"Boukouris","given":"Stephanie","non-dropping-particle":"","parse-names":false,"suffix":""},{"dropping-particle":"","family":"Mathivanan","given":"Suresh","non-dropping-particle":"","parse-names":false,"suffix":""}],"container-title":"Proteomics. Clinical applications","edition":"2015/03/19","id":"ITEM-1","issue":"3-4","issued":{"date-parts":[["2015","4"]]},"language":"eng","page":"358-367","title":"Exosomes in bodily fluids are a highly stable resource of disease biomarkers","type":"article-journal","volume":"9"},"uris":["http://www.mendeley.com/documents/?uuid=6a5912cd-9935-440c-b03c-8a8bc75ab1b6"]}],"mendeley":{"formattedCitation":"[46]","plainTextFormattedCitation":"[46]","previouslyFormattedCitation":"[46]"},"properties":{"noteIndex":0},"schema":"https://github.com/citation-style-language/schema/raw/master/csl-citation.json"}</w:instrText>
      </w:r>
      <w:r w:rsidR="001D701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[46]</w:t>
      </w:r>
      <w:r w:rsidR="001D7016" w:rsidRPr="005B1CCB">
        <w:rPr>
          <w:rFonts w:ascii="Palatino Linotype" w:hAnsi="Palatino Linotype"/>
          <w:sz w:val="24"/>
          <w:szCs w:val="24"/>
          <w:lang w:bidi="en-US"/>
        </w:rPr>
        <w:fldChar w:fldCharType="end"/>
      </w:r>
      <w:r w:rsidR="0021472D" w:rsidRPr="005B1CCB">
        <w:rPr>
          <w:rFonts w:ascii="Palatino Linotype" w:hAnsi="Palatino Linotype"/>
          <w:sz w:val="24"/>
          <w:szCs w:val="24"/>
          <w:lang w:bidi="en-US"/>
        </w:rPr>
        <w:t xml:space="preserve">. </w:t>
      </w:r>
      <w:r w:rsidR="00A36154" w:rsidRPr="005B1CCB">
        <w:rPr>
          <w:rFonts w:ascii="Palatino Linotype" w:hAnsi="Palatino Linotype"/>
          <w:sz w:val="24"/>
          <w:szCs w:val="24"/>
          <w:lang w:bidi="en-US"/>
        </w:rPr>
        <w:t xml:space="preserve">The </w:t>
      </w:r>
      <w:r w:rsidR="00A36154" w:rsidRPr="00E27313">
        <w:rPr>
          <w:rFonts w:ascii="Palatino Linotype" w:hAnsi="Palatino Linotype"/>
          <w:sz w:val="24"/>
          <w:szCs w:val="24"/>
          <w:lang w:bidi="en-US"/>
        </w:rPr>
        <w:t>advantages of analysing</w:t>
      </w:r>
      <w:r w:rsidR="00A36154" w:rsidRPr="00492F11">
        <w:rPr>
          <w:rFonts w:ascii="Palatino Linotype" w:hAnsi="Palatino Linotype"/>
          <w:sz w:val="24"/>
          <w:szCs w:val="24"/>
          <w:highlight w:val="yellow"/>
          <w:lang w:bidi="en-US"/>
        </w:rPr>
        <w:t xml:space="preserve"> </w:t>
      </w:r>
      <w:r w:rsidR="00A36154" w:rsidRPr="00E27313">
        <w:rPr>
          <w:rFonts w:ascii="Palatino Linotype" w:hAnsi="Palatino Linotype"/>
          <w:sz w:val="24"/>
          <w:szCs w:val="24"/>
          <w:lang w:bidi="en-US"/>
        </w:rPr>
        <w:t>exosomes comes from the observation that tumour cells secrete more extracellular vesicles compared to benign cells</w:t>
      </w:r>
      <w:r w:rsidR="00A36154" w:rsidRPr="005B1CCB">
        <w:rPr>
          <w:rFonts w:ascii="Palatino Linotype" w:hAnsi="Palatino Linotype"/>
          <w:sz w:val="24"/>
          <w:szCs w:val="24"/>
          <w:lang w:bidi="en-US"/>
        </w:rPr>
        <w:t xml:space="preserve">. Studies suggest that exosomes have the potential to serve as predictive biomarkers in prostate cancer patients </w:t>
      </w:r>
      <w:r w:rsidR="00A3615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{"citationItems":[{"id":"ITEM-1","itemData":{"DOI":"10.2147/CMAR.S170380","ISSN":"1179-1322","abstract":"In recent years, new therapeutic options have become available for prostate cancer (PC) patients, generating an urgent need for better biomarkers to guide the choice of therapy and monitor treatment response. Liquid biopsies, including circulating tumor cells (CTCs), circulating nucleic acids, and exosomes, have been developed as minimally invasive assays allowing oncologists to monitor PC patients with real-time cellular or molecular information. While CTC counts remain the most extensively validated prognostic biomarker to monitor treatment response, recent advances demonstrate that CTC morphology and androgen receptor characterization can provide additional information to guide the choice of treatment. Characterization of cell-free DNA (cfDNA) is another rapidly emerging field with novel technologies capable of monitoring the evolution of treatment relevant alterations such as those in DNA damage repair genes for poly (ADP-ribose) polymerase (PARP) inhibition. In addition, several new liquid biopsy fields are emerging, including the characterization of heterogeneity, CTC RNA sequencing, the culture and xenografting of CTCs, and the characterization of extracellular vesicles (EVs) and circulating microRNAs. This review describes the clinical utilization of liquid biopsies in the management of PC patients and emerging liquid biopsy technologies with the potential to advance personalized cancer therapy.","author":[{"dropping-particle":"","family":"Lu","given":"Yi-Tsung","non-dropping-particle":"","parse-names":false,"suffix":""},{"dropping-particle":"","family":"Delijani","given":"Kevin","non-dropping-particle":"","parse-names":false,"suffix":""},{"dropping-particle":"","family":"Mecum","given":"Andrew","non-dropping-particle":"","parse-names":false,"suffix":""},{"dropping-particle":"","family":"Goldkorn","given":"Amir","non-dropping-particle":"","parse-names":false,"suffix":""}],"container-title":"Cancer management and research","id":"ITEM-1","issued":{"date-parts":[["2019","6","6"]]},"language":"eng","page":"5271-5291","publisher":"Dove","title":"Current status of liquid biopsies for the detection and management of prostate cancer","type":"article-journal","volume":"11"},"uris":["http://www.mendeley.com/documents/?uuid=bf4ae8ea-24a2-404f-a134-bc19ad72f9c2"]}],"mendeley":{"formattedCitation":"[47]","plainTextFormattedCitation":"[47]","previouslyFormattedCitation":"[47]"},"properties":{"noteIndex":0},"schema":"https://github.com/citation-style-language/schema/raw/master/csl-citation.json"}</w:instrText>
      </w:r>
      <w:r w:rsidR="00A3615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[47]</w:t>
      </w:r>
      <w:r w:rsidR="00A36154" w:rsidRPr="005B1CCB">
        <w:rPr>
          <w:rFonts w:ascii="Palatino Linotype" w:hAnsi="Palatino Linotype"/>
          <w:sz w:val="24"/>
          <w:szCs w:val="24"/>
          <w:lang w:bidi="en-US"/>
        </w:rPr>
        <w:fldChar w:fldCharType="end"/>
      </w:r>
      <w:r w:rsidR="00A36154" w:rsidRPr="005B1CCB">
        <w:rPr>
          <w:rFonts w:ascii="Palatino Linotype" w:hAnsi="Palatino Linotype"/>
          <w:sz w:val="24"/>
          <w:szCs w:val="24"/>
          <w:lang w:bidi="en-US"/>
        </w:rPr>
        <w:t xml:space="preserve">. </w:t>
      </w:r>
    </w:p>
    <w:p w14:paraId="1C4A7C2C" w14:textId="77777777" w:rsidR="00D7614F" w:rsidRPr="005B1CCB" w:rsidRDefault="00D7614F" w:rsidP="00000488">
      <w:pPr>
        <w:spacing w:line="360" w:lineRule="auto"/>
        <w:jc w:val="both"/>
        <w:rPr>
          <w:rFonts w:ascii="Palatino Linotype" w:hAnsi="Palatino Linotype"/>
          <w:sz w:val="24"/>
          <w:szCs w:val="24"/>
          <w:lang w:bidi="en-US"/>
        </w:rPr>
      </w:pPr>
    </w:p>
    <w:p w14:paraId="708A6505" w14:textId="77777777" w:rsidR="00E267EB" w:rsidRPr="005B1CCB" w:rsidRDefault="00D94F0A" w:rsidP="00D71969">
      <w:pPr>
        <w:pStyle w:val="Heading3"/>
      </w:pPr>
      <w:bookmarkStart w:id="28" w:name="_Toc84528041"/>
      <w:r w:rsidRPr="005B1CCB">
        <w:t>L</w:t>
      </w:r>
      <w:r w:rsidR="00E267EB" w:rsidRPr="005B1CCB">
        <w:t>iquid biopsy</w:t>
      </w:r>
      <w:r w:rsidRPr="005B1CCB">
        <w:t xml:space="preserve"> </w:t>
      </w:r>
      <w:r w:rsidR="00AF21EC" w:rsidRPr="005B1CCB">
        <w:t>using</w:t>
      </w:r>
      <w:r w:rsidRPr="005B1CCB">
        <w:t xml:space="preserve"> </w:t>
      </w:r>
      <w:r w:rsidR="006236A0" w:rsidRPr="005B1CCB">
        <w:t>c</w:t>
      </w:r>
      <w:r w:rsidRPr="005B1CCB">
        <w:t xml:space="preserve">ommon </w:t>
      </w:r>
      <w:r w:rsidR="006236A0" w:rsidRPr="005B1CCB">
        <w:t>b</w:t>
      </w:r>
      <w:r w:rsidRPr="005B1CCB">
        <w:t>ody fluids</w:t>
      </w:r>
      <w:bookmarkEnd w:id="28"/>
    </w:p>
    <w:p w14:paraId="08526423" w14:textId="77777777" w:rsidR="008D1F28" w:rsidRPr="005B1CCB" w:rsidRDefault="00AA33F7" w:rsidP="0016033F">
      <w:pPr>
        <w:pStyle w:val="Heading4"/>
        <w:jc w:val="both"/>
        <w:rPr>
          <w:lang w:bidi="en-US"/>
        </w:rPr>
      </w:pPr>
      <w:r w:rsidRPr="005B1CCB">
        <w:rPr>
          <w:lang w:bidi="en-US"/>
        </w:rPr>
        <w:t xml:space="preserve">Blood </w:t>
      </w:r>
      <w:r w:rsidR="008D1F28" w:rsidRPr="005B1CCB">
        <w:rPr>
          <w:lang w:bidi="en-US"/>
        </w:rPr>
        <w:t>Plasma</w:t>
      </w:r>
    </w:p>
    <w:p w14:paraId="5BD834CE" w14:textId="2AA1EE77" w:rsidR="008D1F28" w:rsidRPr="005B1CCB" w:rsidRDefault="004569A7" w:rsidP="0007750F">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E66840" w:rsidRPr="00E27313">
        <w:rPr>
          <w:rFonts w:ascii="Palatino Linotype" w:hAnsi="Palatino Linotype"/>
          <w:sz w:val="24"/>
          <w:szCs w:val="24"/>
          <w:lang w:bidi="en-US"/>
        </w:rPr>
        <w:t>When analysing ctDNA, selection of the type of specimen to be used is the first pre-analytical step</w:t>
      </w:r>
      <w:r w:rsidR="00E66840" w:rsidRPr="005B1CCB">
        <w:rPr>
          <w:rFonts w:ascii="Palatino Linotype" w:hAnsi="Palatino Linotype"/>
          <w:sz w:val="24"/>
          <w:szCs w:val="24"/>
          <w:lang w:bidi="en-US"/>
        </w:rPr>
        <w:t xml:space="preserve">. </w:t>
      </w:r>
      <w:r w:rsidR="009F1054" w:rsidRPr="00E27313">
        <w:rPr>
          <w:rFonts w:ascii="Palatino Linotype" w:hAnsi="Palatino Linotype"/>
          <w:sz w:val="24"/>
          <w:szCs w:val="24"/>
          <w:lang w:bidi="en-US"/>
        </w:rPr>
        <w:t>Blood plasma makes up more than half (55</w:t>
      </w:r>
      <w:r w:rsidR="00D2057F" w:rsidRPr="00E27313">
        <w:rPr>
          <w:rFonts w:ascii="Palatino Linotype" w:hAnsi="Palatino Linotype"/>
          <w:sz w:val="24"/>
          <w:szCs w:val="24"/>
          <w:lang w:bidi="en-US"/>
        </w:rPr>
        <w:t xml:space="preserve"> </w:t>
      </w:r>
      <w:r w:rsidR="009F1054" w:rsidRPr="00E27313">
        <w:rPr>
          <w:rFonts w:ascii="Palatino Linotype" w:hAnsi="Palatino Linotype"/>
          <w:sz w:val="24"/>
          <w:szCs w:val="24"/>
          <w:lang w:bidi="en-US"/>
        </w:rPr>
        <w:t>%) of the total blood volume</w:t>
      </w:r>
      <w:r w:rsidR="007B706B" w:rsidRPr="00E27313">
        <w:rPr>
          <w:rFonts w:ascii="Palatino Linotype" w:hAnsi="Palatino Linotype"/>
          <w:sz w:val="24"/>
          <w:szCs w:val="24"/>
          <w:lang w:bidi="en-US"/>
        </w:rPr>
        <w:t xml:space="preserve"> and holds the blood cells, proteins and other whole blood constituents in suspension</w:t>
      </w:r>
      <w:r w:rsidR="009F1054" w:rsidRPr="005B1CCB">
        <w:rPr>
          <w:rFonts w:ascii="Palatino Linotype" w:hAnsi="Palatino Linotype"/>
          <w:sz w:val="24"/>
          <w:szCs w:val="24"/>
          <w:lang w:bidi="en-US"/>
        </w:rPr>
        <w:t xml:space="preserve">. </w:t>
      </w:r>
      <w:r w:rsidR="0007750F" w:rsidRPr="005B1CCB">
        <w:rPr>
          <w:rFonts w:ascii="Palatino Linotype" w:hAnsi="Palatino Linotype"/>
          <w:sz w:val="24"/>
          <w:szCs w:val="24"/>
          <w:lang w:bidi="en-US"/>
        </w:rPr>
        <w:t xml:space="preserve">Previous reports have </w:t>
      </w:r>
      <w:r w:rsidR="00DE6303" w:rsidRPr="005B1CCB">
        <w:rPr>
          <w:rFonts w:ascii="Palatino Linotype" w:hAnsi="Palatino Linotype"/>
          <w:sz w:val="24"/>
          <w:szCs w:val="24"/>
          <w:lang w:bidi="en-US"/>
        </w:rPr>
        <w:t xml:space="preserve">shown that the monitoring of plasma ctDNA accurately reflects real-time sampling of tumour evolution </w:t>
      </w:r>
      <w:r w:rsidR="00DE6303"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{"citationItems":[{"id":"ITEM-1","itemData":{"DOI":"10.1038/ncomms9760","ISSN":"2041-1723","abstract":"Circulating tumour DNA analysis can be used to track tumour burden and analyse cancer genomes non-invasively but the extent to which it represents metastatic heterogeneity is unknown. Here we follow a patient with metastatic ER-positive and HER2-positive breast cancer receiving two lines of targeted therapy over 3 years. We characterize genomic architecture and infer clonal evolution in eight tumour biopsies and nine plasma samples collected over 1,193 days of clinical follow-up using exome and targeted amplicon sequencing. Mutation levels in the plasma samples reflect the clonal hierarchy inferred from sequencing of tumour biopsies. Serial changes in circulating levels of sub-clonal private mutations correlate with different treatment responses between metastatic sites. This comparison of biopsy and plasma samples in a single patient with metastatic breast cancer shows that circulating tumour DNA can allow real-time sampling of multifocal clonal evolution.","author":[{"dropping-particle":"","family":"Murtaza","given":"Muhammed","non-dropping-particle":"","parse-names":false,"suffix":""},{"dropping-particle":"","family":"Dawson","given":"Sarah-Jane","non-dropping-particle":"","parse-names":false,"suffix":""},{"dropping-particle":"","family":"Pogrebniak","given":"Katherine","non-dropping-particle":"","parse-names":false,"suffix":""},{"dropping-particle":"","family":"Rueda","given":"Oscar M","non-dropping-particle":"","parse-names":false,"suffix":""},{"dropping-particle":"","family":"Provenzano","given":"Elena","non-dropping-particle":"","parse-names":false,"suffix":""},{"dropping-particle":"","family":"Grant","given":"John","non-dropping-particle":"","parse-names":false,"suffix":""},{"dropping-particle":"","family":"Chin","given":"Suet-Feung","non-dropping-particle":"","parse-names":false,"suffix":""},{"dropping-particle":"","family":"Tsui","given":"Dana W Y","non-dropping-particle":"","parse-names":false,"suffix":""},{"dropping-particle":"","family":"Marass","given":"Francesco","non-dropping-particle":"","parse-names":false,"suffix":""},{"dropping-particle":"","family":"Gale","given":"Davina","non-dropping-particle":"","parse-names":false,"suffix":""},{"dropping-particle":"","family":"Ali","given":"H Raza","non-dropping-particle":"","parse-names":false,"suffix":""},{"dropping-particle":"","family":"Shah","given":"Pankti","non-dropping-particle":"","parse-names":false,"suffix":""},{"dropping-particle":"","family":"Contente-Cuomo","given":"Tania","non-dropping-particle":"","parse-names":false,"suffix":""},{"dropping-particle":"","family":"Farahani","given":"Hossein","non-dropping-particle":"","parse-names":false,"suffix":""},{"dropping-particle":"","family":"Shumansky","given":"Karey","non-dropping-particle":"","parse-names":false,"suffix":""},{"dropping-particle":"","family":"Kingsbury","given":"Zoya","non-dropping-particle":"","parse-names":false,"suffix":""},{"dropping-particle":"","family":"Humphray","given":"Sean","non-dropping-particle":"","parse-names":false,"suffix":""},{"dropping-particle":"","family":"Bentley","given":"David","non-dropping-particle":"","parse-names":false,"suffix":""},{"dropping-particle":"","family":"Shah","given":"Sohrab P","non-dropping-particle":"","parse-names":false,"suffix":""},{"dropping-particle":"","family":"Wallis","given":"Matthew","non-dropping-particle":"","parse-names":false,"suffix":""},{"dropping-particle":"","family":"Rosenfeld","given":"Nitzan","non-dropping-particle":"","parse-names":false,"suffix":""},{"dropping-particle":"","family":"Caldas","given":"Carlos","non-dropping-particle":"","parse-names":false,"suffix":""}],"container-title":"Nature communications","id":"ITEM-1","issued":{"date-parts":[["2015","11","4"]]},"language":"eng","page":"8760","publisher":"Nature Pub. Group","title":"Multifocal clonal evolution characterized using circulating tumour DNA in a case of metastatic breast cancer","type":"article-journal","volume":"6"},"uris":["http://www.mendeley.com/documents/?uuid=54332a78-c689-4e9c-b061-df082c8fdfe5"]}],"mendeley":{"formattedCitation":"[48]","plainTextFormattedCitation":"[48]","previouslyFormattedCitation":"[48]"},"properties":{"noteIndex":0},"schema":"https://github.com/citation-style-language/schema/raw/master/csl-citation.json"}</w:instrText>
      </w:r>
      <w:r w:rsidR="00DE6303"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[48]</w:t>
      </w:r>
      <w:r w:rsidR="00DE6303" w:rsidRPr="005B1CCB">
        <w:rPr>
          <w:rFonts w:ascii="Palatino Linotype" w:hAnsi="Palatino Linotype"/>
          <w:sz w:val="24"/>
          <w:szCs w:val="24"/>
          <w:lang w:bidi="en-US"/>
        </w:rPr>
        <w:fldChar w:fldCharType="end"/>
      </w:r>
      <w:r w:rsidR="00DE6303" w:rsidRPr="005B1CCB">
        <w:rPr>
          <w:rFonts w:ascii="Palatino Linotype" w:hAnsi="Palatino Linotype"/>
          <w:sz w:val="24"/>
          <w:szCs w:val="24"/>
          <w:lang w:bidi="en-US"/>
        </w:rPr>
        <w:t xml:space="preserve">. </w:t>
      </w:r>
      <w:r w:rsidR="00903675" w:rsidRPr="005B1CCB">
        <w:rPr>
          <w:rFonts w:ascii="Palatino Linotype" w:hAnsi="Palatino Linotype"/>
          <w:sz w:val="24"/>
          <w:szCs w:val="24"/>
          <w:lang w:bidi="en-US"/>
        </w:rPr>
        <w:t xml:space="preserve">For example, </w:t>
      </w:r>
      <w:r w:rsidR="007213A2" w:rsidRPr="00E27313">
        <w:rPr>
          <w:rFonts w:ascii="Palatino Linotype" w:hAnsi="Palatino Linotype"/>
          <w:sz w:val="24"/>
          <w:szCs w:val="24"/>
          <w:lang w:bidi="en-US"/>
        </w:rPr>
        <w:t>m</w:t>
      </w:r>
      <w:r w:rsidR="00DE6303" w:rsidRPr="00E27313">
        <w:rPr>
          <w:rFonts w:ascii="Palatino Linotype" w:hAnsi="Palatino Linotype"/>
          <w:sz w:val="24"/>
          <w:szCs w:val="24"/>
          <w:lang w:bidi="en-US"/>
        </w:rPr>
        <w:t>elanomas are classed as cancers with the highest number of mutations per tumour and ctDNA is detectable with more than 1000 mutant fragments per 5</w:t>
      </w:r>
      <w:r w:rsidR="00D2057F" w:rsidRPr="00E27313">
        <w:rPr>
          <w:rFonts w:ascii="Palatino Linotype" w:hAnsi="Palatino Linotype"/>
          <w:sz w:val="24"/>
          <w:szCs w:val="24"/>
          <w:lang w:bidi="en-US"/>
        </w:rPr>
        <w:t xml:space="preserve"> </w:t>
      </w:r>
      <w:r w:rsidR="00DE6303" w:rsidRPr="00E27313">
        <w:rPr>
          <w:rFonts w:ascii="Palatino Linotype" w:hAnsi="Palatino Linotype"/>
          <w:sz w:val="24"/>
          <w:szCs w:val="24"/>
          <w:lang w:bidi="en-US"/>
        </w:rPr>
        <w:t>mL in plasma in about 80</w:t>
      </w:r>
      <w:r w:rsidR="00D2057F" w:rsidRPr="00E27313">
        <w:rPr>
          <w:rFonts w:ascii="Palatino Linotype" w:hAnsi="Palatino Linotype"/>
          <w:sz w:val="24"/>
          <w:szCs w:val="24"/>
          <w:lang w:bidi="en-US"/>
        </w:rPr>
        <w:t xml:space="preserve"> </w:t>
      </w:r>
      <w:r w:rsidR="00DE6303" w:rsidRPr="00E27313">
        <w:rPr>
          <w:rFonts w:ascii="Palatino Linotype" w:hAnsi="Palatino Linotype"/>
          <w:sz w:val="24"/>
          <w:szCs w:val="24"/>
          <w:lang w:bidi="en-US"/>
        </w:rPr>
        <w:t>% of cases</w:t>
      </w:r>
      <w:r w:rsidR="00903675" w:rsidRPr="005B1CCB">
        <w:rPr>
          <w:rFonts w:ascii="Palatino Linotype" w:hAnsi="Palatino Linotype"/>
          <w:sz w:val="24"/>
          <w:szCs w:val="24"/>
          <w:lang w:bidi="en-US"/>
        </w:rPr>
        <w:t xml:space="preserve"> </w:t>
      </w:r>
      <w:r w:rsidR="0090367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{"citationItems":[{"id":"ITEM-1","itemData":{"DOI":"10.1155/2017/5986129","ISSN":"2314-6133","abstract":"Melanoma is a cutaneous cancer with an increasing worldwide prevalence and high mortality due to unresectable or metastatic stages. Mutations in&lt;italic&gt; BRAF&lt;/italic&gt;,&lt;italic&gt; NRAS&lt;/italic&gt;, or&lt;italic&gt; KIT&lt;/italic&gt; are present in more than 60&amp;#x25; of melanoma cases, but a useful blood-based biomarker for the clinical monitoring of melanoma patients is still lacking. Thus, the analysis of circulating tumor cells (CTCs) and/or cell-free circulating tumor DNA (ctDNA) analysis from blood (liquid biopsies) appears to be a promising noninvasive, repeatable, and systemic sampling tool for detecting and monitoring melanoma. Here, we review the molecular biology-based strategies used for ctDNA quantification in melanoma patients, as well as their main clinical applications. Droplet digital PCR (ddPCR) and next generation sequencing (NGS) technologies appear to be two versatile and complementary strategies to study rare variant mutations for the detection and monitoring of melanoma progression. Among the different clinical uses of ctDNA, we highlight the assessment of molecular heterogeneity and the identification of genetic determinants for targeted therapy as well as the analysis of acquired resistance. Importantly, ctDNA quantification might also be a novel biomarker with a prognostic value for melanoma patients.","author":[{"dropping-particle":"","family":"Busser","given":"Benoit","non-dropping-particle":"","parse-names":false,"suffix":""},{"dropping-particle":"","family":"Lupo","given":"Julien","non-dropping-particle":"","parse-names":false,"suffix":""},{"dropping-particle":"","family":"Sancey","given":"Lucie","non-dropping-particle":"","parse-names":false,"suffix":""},{"dropping-particle":"","family":"Mouret","given":"Stéphane","non-dropping-particle":"","parse-names":false,"suffix":""},{"dropping-particle":"","family":"Faure","given":"Patrice","non-dropping-particle":"","parse-names":false,"suffix":""},{"dropping-particle":"","family":"Plumas","given":"Joel","non-dropping-particle":"","parse-names":false,"suffix":""},{"dropping-particle":"","family":"Chaperot","given":"Laurence","non-dropping-particle":"","parse-names":false,"suffix":""},{"dropping-particle":"","family":"Leccia","given":"Marie Thérèse","non-dropping-particle":"","parse-names":false,"suffix":""},{"dropping-particle":"","family":"Coll","given":"Jean Luc","non-dropping-particle":"","parse-names":false,"suffix":""},{"dropping-particle":"","family":"Hurbin","given":"Amandine","non-dropping-particle":"","parse-names":false,"suffix":""},{"dropping-particle":"","family":"Hainaut","given":"Pierre","non-dropping-particle":"","parse-names":false,"suffix":""},{"dropping-particle":"","family":"Charles","given":"Julie","non-dropping-particle":"","parse-names":false,"suffix":""}],"container-title":"BioMed Research International","editor":[{"dropping-particle":"","family":"Quatresooz","given":"Pascale","non-dropping-particle":"","parse-names":false,"suffix":""}],"id":"ITEM-1","issued":{"date-parts":[["2017"]]},"page":"5986129","publisher":"Hindawi","title":"Plasma Circulating Tumor DNA Levels for the Monitoring of Melanoma Patients: Landscape of Available Technologies and Clinical Applications","type":"article-journal","volume":"2017"},"uris":["http://www.mendeley.com/documents/?uuid=c5088091-d97f-4aaf-91b6-54ff26b314dc"]}],"mendeley":{"formattedCitation":"[49]","plainTextFormattedCitation":"[49]","previouslyFormattedCitation":"[49]"},"properties":{"noteIndex":0},"schema":"https://github.com/citation-style-language/schema/raw/master/csl-citation.json"}</w:instrText>
      </w:r>
      <w:r w:rsidR="0090367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[49]</w:t>
      </w:r>
      <w:r w:rsidR="00903675" w:rsidRPr="005B1CCB">
        <w:rPr>
          <w:rFonts w:ascii="Palatino Linotype" w:hAnsi="Palatino Linotype"/>
          <w:sz w:val="24"/>
          <w:szCs w:val="24"/>
          <w:lang w:bidi="en-US"/>
        </w:rPr>
        <w:fldChar w:fldCharType="end"/>
      </w:r>
      <w:r w:rsidR="00DE6303" w:rsidRPr="005B1CCB">
        <w:rPr>
          <w:rFonts w:ascii="Palatino Linotype" w:hAnsi="Palatino Linotype"/>
          <w:sz w:val="24"/>
          <w:szCs w:val="24"/>
          <w:lang w:bidi="en-US"/>
        </w:rPr>
        <w:t xml:space="preserve">.  Other studies </w:t>
      </w:r>
      <w:r w:rsidR="0007750F" w:rsidRPr="005B1CCB">
        <w:rPr>
          <w:rFonts w:ascii="Palatino Linotype" w:hAnsi="Palatino Linotype"/>
          <w:sz w:val="24"/>
          <w:szCs w:val="24"/>
          <w:lang w:bidi="en-US"/>
        </w:rPr>
        <w:t>suggested that plasma is the optimal specimen for analysis of ctDNA</w:t>
      </w:r>
      <w:r w:rsidR="00554241" w:rsidRPr="005B1CCB">
        <w:rPr>
          <w:rFonts w:ascii="Palatino Linotype" w:hAnsi="Palatino Linotype"/>
          <w:sz w:val="24"/>
          <w:szCs w:val="24"/>
          <w:lang w:bidi="en-US"/>
        </w:rPr>
        <w:t xml:space="preserve"> </w:t>
      </w:r>
      <w:r w:rsidR="0055424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{"citationItems":[{"id":"ITEM-1","itemData":{"DOI":"10.1016/j.jmoldx.2013.12.004","ISSN":"15251578","PMID":"24631158","abstract":"BRAF mutation testing from circulating free DNA (cfDNA) using the amplification refractory mutation testing system (ARMS) holds potential as a surrogate for tumor mutation testing. Robust assay validation is needed to establish the optimal clinical matrix for measurement and cfDNA-specific mutation calling criteria. Plasma- and serum-derived cfDNA samples from 221 advanced melanoma patients were analyzed for BRAF c.1799T&gt;A (p.V600E) mutation using ARMS in two stages in a blinded fashion. cfDNA-specific mutation calling criteria were defined in stage 1 and validated in stage 2. cfDNA concentrations in serum and plasma, and the sensitivities and specificities of BRAF mutation detection in these two clinical matrices were compared. Sensitivity of BRAF c.1799T&gt;A (p.V600E) mutation detection in cfDNA was increased by using mutation calling criteria optimized for cfDNA (these criteria were adjusted from those used for archival tumor biopsies) without compromising specificity. Sensitivity of BRAF mutation detection in serum was 44% (95% CI, 35% to 53%) and in plasma 52% (95% CI, 43% to 61%). Specificity was 96% (95% CI, 90% to 99%) in both matrices. Serum contains significantly higher total cfDNA than plasma, whereas the proportion of tumor-derived mutant DNA was significantly higher in plasma. Using mutation calling criteria optimized for cfDNA improves sensitivity of BRAF c.1799T&gt;A (p.V600E) mutation detection. The proportion of tumor-derived cfDNA in plasma was significantly higher than in serum. © 2014 American Society for Investigative Pathology and the Association for Molecular Pathology.","author":[{"dropping-particle":"","family":"Aung","given":"Kyaw L.","non-dropping-particle":"","parse-names":false,"suffix":""},{"dropping-particle":"","family":"Donald","given":"Emma","non-dropping-particle":"","parse-names":false,"suffix":""},{"dropping-particle":"","family":"Ellison","given":"Gillian","non-dropping-particle":"","parse-names":false,"suffix":""},{"dropping-particle":"","family":"Bujac","given":"Sarah","non-dropping-particle":"","parse-names":false,"suffix":""},{"dropping-particle":"","family":"Fletcher","given":"Lynn","non-dropping-particle":"","parse-names":false,"suffix":""},{"dropping-particle":"","family":"Cantarini","given":"Mireille","non-dropping-particle":"","parse-names":false,"suffix":""},{"dropping-particle":"","family":"Brady","given":"Ged","non-dropping-particle":"","parse-names":false,"suffix":""},{"dropping-particle":"","family":"Orr","given":"Maria","non-dropping-particle":"","parse-names":false,"suffix":""},{"dropping-particle":"","family":"Clack","given":"Glen","non-dropping-particle":"","parse-names":false,"suffix":""},{"dropping-particle":"","family":"Ranson","given":"Malcolm","non-dropping-particle":"","parse-names":false,"suffix":""},{"dropping-particle":"","family":"Dive","given":"Caroline","non-dropping-particle":"","parse-names":false,"suffix":""},{"dropping-particle":"","family":"Hughes","given":"Andrew","non-dropping-particle":"","parse-names":false,"suffix":""}],"container-title":"Journal of Molecular Diagnostics","id":"ITEM-1","issue":"3","issued":{"date-parts":[["2014"]]},"page":"343-349","publisher":"American Society for Investigative Pathology and the Association for Molecular Pathology","title":"Analytical validation of BRAF mutation testing from circulating free DNA using the amplification refractory mutation testing system","type":"article-journal","volume":"16"},"uris":["http://www.mendeley.com/documents/?uuid=2c9400c5-ea6a-4633-bcb2-2a8f2e22e3c4"]}],"mendeley":{"formattedCitation":"[50]","plainTextFormattedCitation":"[50]","previouslyFormattedCitation":"[50]"},"properties":{"noteIndex":0},"schema":"https://github.com/citation-style-language/schema/raw/master/csl-citation.json"}</w:instrText>
      </w:r>
      <w:r w:rsidR="0055424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[50]</w:t>
      </w:r>
      <w:r w:rsidR="00554241" w:rsidRPr="005B1CCB">
        <w:rPr>
          <w:rFonts w:ascii="Palatino Linotype" w:hAnsi="Palatino Linotype"/>
          <w:sz w:val="24"/>
          <w:szCs w:val="24"/>
          <w:lang w:bidi="en-US"/>
        </w:rPr>
        <w:fldChar w:fldCharType="end"/>
      </w:r>
      <w:r w:rsidR="00CD6EA4" w:rsidRPr="005B1CCB">
        <w:rPr>
          <w:rFonts w:ascii="Palatino Linotype" w:hAnsi="Palatino Linotype"/>
          <w:sz w:val="24"/>
          <w:szCs w:val="24"/>
          <w:lang w:bidi="en-US"/>
        </w:rPr>
        <w:t xml:space="preserve"> due to the large amounts of wild-type DNA released by white cells lysis during clotting</w:t>
      </w:r>
      <w:r w:rsidR="0007750F" w:rsidRPr="005B1CCB">
        <w:rPr>
          <w:rFonts w:ascii="Palatino Linotype" w:hAnsi="Palatino Linotype"/>
          <w:sz w:val="24"/>
          <w:szCs w:val="24"/>
          <w:lang w:bidi="en-US"/>
        </w:rPr>
        <w:t>.</w:t>
      </w:r>
      <w:r w:rsidR="00E66840" w:rsidRPr="005B1CCB">
        <w:rPr>
          <w:rFonts w:ascii="Palatino Linotype" w:hAnsi="Palatino Linotype"/>
          <w:sz w:val="24"/>
          <w:szCs w:val="24"/>
          <w:lang w:bidi="en-US"/>
        </w:rPr>
        <w:t xml:space="preserve"> </w:t>
      </w:r>
      <w:r w:rsidR="00CD6EA4" w:rsidRPr="00E27313">
        <w:rPr>
          <w:rFonts w:ascii="Palatino Linotype" w:hAnsi="Palatino Linotype"/>
          <w:sz w:val="24"/>
          <w:szCs w:val="24"/>
          <w:lang w:bidi="en-US"/>
        </w:rPr>
        <w:t>Studies have shown that it is important to process whole-blood samples for plasma retrieval immediately after collection, before in vitro cell lysis begins</w:t>
      </w:r>
      <w:r w:rsidR="00BD0A9B" w:rsidRPr="005B1CCB">
        <w:rPr>
          <w:rFonts w:ascii="Palatino Linotype" w:hAnsi="Palatino Linotype"/>
          <w:sz w:val="24"/>
          <w:szCs w:val="24"/>
          <w:lang w:bidi="en-US"/>
        </w:rPr>
        <w:t xml:space="preserve"> </w:t>
      </w:r>
      <w:r w:rsidR="00BD0A9B"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{"citationItems":[{"id":"ITEM-1","itemData":{"DOI":"https://doi.org/10.1016/j.cca.2013.05.022","ISSN":"0009-8981","abstract":"Despite the growing interest in circulating cell-free DNA (ccfDNA) analysis in various clinical fields, especially oncology and prenatal diagnosis, few studies on sample handling have been reported and no analytical consensus is available. The lack of consistency between the various protocols for sample handling and the techniques used for ccfDNA analysis is one of the major obstacles in translating ccfDNA analysis to clinical practice. Although this point is highlighted regularly in the published reviews on ccfDNA analysis, no standard operating procedure currently exists despite several ongoing clinical studies on ccfDNA analysis. This review examines the preanalytical parameters potentially affecting ccfDNA concentration and fragmentation at each preanalytical step from blood drawing to the storage of ccfDNA extracts. Analysis of data in the literature and our own observations revealed the influence of preanalytical factors on ccfDNA analysis. Based on these data, we determined the optimal preanalytical protocols for ccfDNA analysis and ultimately, a guideline for the translation of ccfDNA analysis in routine clinical practice.","author":[{"dropping-particle":"","family":"Messaoudi","given":"Safia","non-dropping-particle":"El","parse-names":false,"suffix":""},{"dropping-particle":"","family":"Rolet","given":"Fanny","non-dropping-particle":"","parse-names":false,"suffix":""},{"dropping-particle":"","family":"Mouliere","given":"Florent","non-dropping-particle":"","parse-names":false,"suffix":""},{"dropping-particle":"","family":"Thierry","given":"Alain R","non-dropping-particle":"","parse-names":false,"suffix":""}],"container-title":"Clinica Chimica Acta","id":"ITEM-1","issued":{"date-parts":[["2013"]]},"page":"222-230","title":"Circulating cell free DNA: Preanalytical considerations","type":"article-journal","volume":"424"},"uris":["http://www.mendeley.com/documents/?uuid=3204f445-f5a6-4a7c-8844-f232209e8d7b"]}],"mendeley":{"formattedCitation":"[51]","plainTextFormattedCitation":"[51]","previouslyFormattedCitation":"[51]"},"properties":{"noteIndex":0},"schema":"https://github.com/citation-style-language/schema/raw/master/csl-citation.json"}</w:instrText>
      </w:r>
      <w:r w:rsidR="00BD0A9B"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[51]</w:t>
      </w:r>
      <w:r w:rsidR="00BD0A9B" w:rsidRPr="005B1CCB">
        <w:rPr>
          <w:rFonts w:ascii="Palatino Linotype" w:hAnsi="Palatino Linotype"/>
          <w:sz w:val="24"/>
          <w:szCs w:val="24"/>
          <w:lang w:bidi="en-US"/>
        </w:rPr>
        <w:fldChar w:fldCharType="end"/>
      </w:r>
      <w:r w:rsidR="00BD0A9B" w:rsidRPr="005B1CCB">
        <w:rPr>
          <w:rFonts w:ascii="Palatino Linotype" w:hAnsi="Palatino Linotype"/>
          <w:sz w:val="24"/>
          <w:szCs w:val="24"/>
          <w:lang w:bidi="en-US"/>
        </w:rPr>
        <w:t xml:space="preserve"> </w:t>
      </w:r>
      <w:r w:rsidR="00BD0A9B"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{"citationItems":[{"id":"ITEM-1","itemData":{"DOI":"10.1371/journal.pone.0025202","ISSN":"1932-6203","abstract":"OBJECTIVE: Cell-free fetal DNA is a source of fetal genetic material that can be used for non-invasive prenatal diagnosis. Usually constituting less than 10% of the total cell free DNA in maternal plasma, the majority is maternal in origin. Optimizing conditions for maximizing yield of cell-free fetal DNA will be crucial for effective implementation of testing. We explore factors influencing yield of fetal DNA from maternal blood samples, including assessment of collection tubes containing cell-stabilizing agents, storage temperature, interval to sample processing and DNA extraction method used. METHODS: Microfluidic digital PCR was performed to precisely quantify male (fetal) DNA, total DNA and long DNA fragments (indicative of maternal cellular DNA). Real-time qPCR was used to assay for the presence of male SRY signal in samples. RESULTS: Total cell-free DNA quantity increased significantly with time in samples stored in K(3)EDTA tubes, but only minimally in cell stabilizing tubes. This increase was solely due to the presence of additional long fragment DNA, with no change in quantity of fetal or short DNA, resulting in a significant decrease in proportion of cell-free fetal DNA over time. Storage at 4 °C did not prevent these changes. CONCLUSION: When samples can be processed within eight hours of blood draw, K(3)EDTA tubes can be used. Prolonged transfer times in K(3)EDTA tubes should be avoided as the proportion of fetal DNA present decreases significantly; in these situations the use of cell stabilising tubes is preferable. The DNA extraction kit used may influence success rate of diagnostic tests.","author":[{"dropping-particle":"","family":"Barrett","given":"Angela N","non-dropping-particle":"","parse-names":false,"suffix":""},{"dropping-particle":"","family":"Zimmermann","given":"Bernhard G","non-dropping-particle":"","parse-names":false,"suffix":""},{"dropping-particle":"","family":"Wang","given":"Darrell","non-dropping-particle":"","parse-names":false,"suffix":""},{"dropping-particle":"","family":"Holloway","given":"Andrew","non-dropping-particle":"","parse-names":false,"suffix":""},{"dropping-particle":"","family":"Chitty","given":"Lyn S","non-dropping-particle":"","parse-names":false,"suffix":""}],"container-title":"PloS one","edition":"2011/10/04","id":"ITEM-1","issue":"10","issued":{"date-parts":[["2011"]]},"language":"eng","page":"e25202-e25202","publisher":"Public Library of Science","title":"Implementing prenatal diagnosis based on cell-free fetal DNA: accurate identification of factors affecting fetal DNA yield","type":"article-journal","volume":"6"},"uris":["http://www.mendeley.com/documents/?uuid=0e0d4c01-f75e-423f-8e65-d7e13f900ccd"]}],"mendeley":{"formattedCitation":"[52]","plainTextFormattedCitation":"[52]","previouslyFormattedCitation":"[52]"},"properties":{"noteIndex":0},"schema":"https://github.com/citation-style-language/schema/raw/master/csl-citation.json"}</w:instrText>
      </w:r>
      <w:r w:rsidR="00BD0A9B"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[52]</w:t>
      </w:r>
      <w:r w:rsidR="00BD0A9B" w:rsidRPr="005B1CCB">
        <w:rPr>
          <w:rFonts w:ascii="Palatino Linotype" w:hAnsi="Palatino Linotype"/>
          <w:sz w:val="24"/>
          <w:szCs w:val="24"/>
          <w:lang w:bidi="en-US"/>
        </w:rPr>
        <w:fldChar w:fldCharType="end"/>
      </w:r>
      <w:r w:rsidR="00CD6EA4" w:rsidRPr="005B1CCB">
        <w:rPr>
          <w:rFonts w:ascii="Palatino Linotype" w:hAnsi="Palatino Linotype"/>
          <w:sz w:val="24"/>
          <w:szCs w:val="24"/>
          <w:lang w:bidi="en-US"/>
        </w:rPr>
        <w:t>. A double-centrifugation protocol that initially slows centrifugation speed to separate plasma and then increases the speed to clear cellular material was also recommended</w:t>
      </w:r>
      <w:r w:rsidR="00BD0A9B" w:rsidRPr="005B1CCB">
        <w:rPr>
          <w:rFonts w:ascii="Palatino Linotype" w:hAnsi="Palatino Linotype"/>
          <w:sz w:val="24"/>
          <w:szCs w:val="24"/>
          <w:lang w:bidi="en-US"/>
        </w:rPr>
        <w:t xml:space="preserve"> </w:t>
      </w:r>
      <w:r w:rsidR="003840A3"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{"citationItems":[{"id":"ITEM-1","itemData":{"DOI":"https://doi.org/10.1016/j.cca.2013.05.022","ISSN":"0009-8981","abstract":"Despite the growing interest in circulating cell-free DNA (ccfDNA) analysis in various clinical fields, especially oncology and prenatal diagnosis, few studies on sample handling have been reported and no analytical consensus is available. The lack of consistency between the various protocols for sample handling and the techniques used for ccfDNA analysis is one of the major obstacles in translating ccfDNA analysis to clinical practice. Although this point is highlighted regularly in the published reviews on ccfDNA analysis, no standard operating procedure currently exists despite several ongoing clinical studies on ccfDNA analysis. This review examines the preanalytical parameters potentially affecting ccfDNA concentration and fragmentation at each preanalytical step from blood drawing to the storage of ccfDNA extracts. Analysis of data in the literature and our own observations revealed the influence of preanalytical factors on ccfDNA analysis. Based on these data, we determined the optimal preanalytical protocols for ccfDNA analysis and ultimately, a guideline for the translation of ccfDNA analysis in routine clinical practice.","author":[{"dropping-particle":"","family":"Messaoudi","given":"Safia","non-dropping-particle":"El","parse-names":false,"suffix":""},{"dropping-particle":"","family":"Rolet","given":"Fanny","non-dropping-particle":"","parse-names":false,"suffix":""},{"dropping-particle":"","family":"Mouliere","given":"Florent","non-dropping-particle":"","parse-names":false,"suffix":""},{"dropping-particle":"","family":"Thierry","given":"Alain R","non-dropping-particle":"","parse-names":false,"suffix":""}],"container-title":"Clinica Chimica Acta","id":"ITEM-1","issued":{"date-parts":[["2013"]]},"page":"222-230","title":"Circulating cell free DNA: Preanalytical considerations","type":"article-journal","volume":"424"},"uris":["http://www.mendeley.com/documents/?uuid=3204f445-f5a6-4a7c-8844-f232209e8d7b"]}],"mendeley":{"formattedCitation":"[51]","plainTextFormattedCitation":"[51]","previouslyFormattedCitation":"[51]"},"properties":{"noteIndex":0},"schema":"https://github.com/citation-style-language/schema/raw/master/csl-citation.json"}</w:instrText>
      </w:r>
      <w:r w:rsidR="003840A3"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[51]</w:t>
      </w:r>
      <w:r w:rsidR="003840A3" w:rsidRPr="005B1CCB">
        <w:rPr>
          <w:rFonts w:ascii="Palatino Linotype" w:hAnsi="Palatino Linotype"/>
          <w:sz w:val="24"/>
          <w:szCs w:val="24"/>
          <w:lang w:bidi="en-US"/>
        </w:rPr>
        <w:fldChar w:fldCharType="end"/>
      </w:r>
      <w:r w:rsidR="003840A3" w:rsidRPr="005B1CCB">
        <w:rPr>
          <w:rFonts w:ascii="Palatino Linotype" w:hAnsi="Palatino Linotype"/>
          <w:sz w:val="24"/>
          <w:szCs w:val="24"/>
          <w:lang w:bidi="en-US"/>
        </w:rPr>
        <w:t xml:space="preserve"> </w:t>
      </w:r>
      <w:r w:rsidR="003840A3"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{"citationItems":[{"id":"ITEM-1","itemData":{"DOI":"10.1371/journal.pone.0025202","ISSN":"1932-6203","abstract":"OBJECTIVE: Cell-free fetal DNA is a source of fetal genetic material that can be used for non-invasive prenatal diagnosis. Usually constituting less than 10% of the total cell free DNA in maternal plasma, the majority is maternal in origin. Optimizing conditions for maximizing yield of cell-free fetal DNA will be crucial for effective implementation of testing. We explore factors influencing yield of fetal DNA from maternal blood samples, including assessment of collection tubes containing cell-stabilizing agents, storage temperature, interval to sample processing and DNA extraction method used. METHODS: Microfluidic digital PCR was performed to precisely quantify male (fetal) DNA, total DNA and long DNA fragments (indicative of maternal cellular DNA). Real-time qPCR was used to assay for the presence of male SRY signal in samples. RESULTS: Total cell-free DNA quantity increased significantly with time in samples stored in K(3)EDTA tubes, but only minimally in cell stabilizing tubes. This increase was solely due to the presence of additional long fragment DNA, with no change in quantity of fetal or short DNA, resulting in a significant decrease in proportion of cell-free fetal DNA over time. Storage at 4 °C did not prevent these changes. CONCLUSION: When samples can be processed within eight hours of blood draw, K(3)EDTA tubes can be used. Prolonged transfer times in K(3)EDTA tubes should be avoided as the proportion of fetal DNA present decreases significantly; in these situations the use of cell stabilising tubes is preferable. The DNA extraction kit used may influence success rate of diagnostic tests.","author":[{"dropping-particle":"","family":"Barrett","given":"Angela N","non-dropping-particle":"","parse-names":false,"suffix":""},{"dropping-particle":"","family":"Zimmermann","given":"Bernhard G","non-dropping-particle":"","parse-names":false,"suffix":""},{"dropping-particle":"","family":"Wang","given":"Darrell","non-dropping-particle":"","parse-names":false,"suffix":""},{"dropping-particle":"","family":"Holloway","given":"Andrew","non-dropping-particle":"","parse-names":false,"suffix":""},{"dropping-particle":"","family":"Chitty","given":"Lyn S","non-dropping-particle":"","parse-names":false,"suffix":""}],"container-title":"PloS one","edition":"2011/10/04","id":"ITEM-1","issue":"10","issued":{"date-parts":[["2011"]]},"language":"eng","page":"e25202-e25202","publisher":"Public Library of Science","title":"Implementing prenatal diagnosis based on cell-free fetal DNA: accurate identification of factors affecting fetal DNA yield","type":"article-journal","volume":"6"},"uris":["http://www.mendeley.com/documents/?uuid=0e0d4c01-f75e-423f-8e65-d7e13f900ccd"]}],"mendeley":{"formattedCitation":"[52]","plainTextFormattedCitation":"[52]","previouslyFormattedCitation":"[52]"},"properties":{"noteIndex":0},"schema":"https://github.com/citation-style-language/schema/raw/master/csl-citation.json"}</w:instrText>
      </w:r>
      <w:r w:rsidR="003840A3"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[52]</w:t>
      </w:r>
      <w:r w:rsidR="003840A3" w:rsidRPr="005B1CCB">
        <w:rPr>
          <w:rFonts w:ascii="Palatino Linotype" w:hAnsi="Palatino Linotype"/>
          <w:sz w:val="24"/>
          <w:szCs w:val="24"/>
          <w:lang w:bidi="en-US"/>
        </w:rPr>
        <w:fldChar w:fldCharType="end"/>
      </w:r>
      <w:r w:rsidR="00CD6EA4" w:rsidRPr="005B1CCB">
        <w:rPr>
          <w:rFonts w:ascii="Palatino Linotype" w:hAnsi="Palatino Linotype"/>
          <w:sz w:val="24"/>
          <w:szCs w:val="24"/>
          <w:lang w:bidi="en-US"/>
        </w:rPr>
        <w:t>. To circumvent this</w:t>
      </w:r>
      <w:r w:rsidR="00CD6EA4" w:rsidRPr="00E27313">
        <w:rPr>
          <w:rFonts w:ascii="Palatino Linotype" w:hAnsi="Palatino Linotype"/>
          <w:sz w:val="24"/>
          <w:szCs w:val="24"/>
          <w:lang w:bidi="en-US"/>
        </w:rPr>
        <w:t xml:space="preserve">, </w:t>
      </w:r>
      <w:r w:rsidR="00BD0A9B" w:rsidRPr="00E27313">
        <w:rPr>
          <w:rFonts w:ascii="Palatino Linotype" w:hAnsi="Palatino Linotype"/>
          <w:sz w:val="24"/>
          <w:szCs w:val="24"/>
          <w:lang w:bidi="en-US"/>
        </w:rPr>
        <w:t xml:space="preserve">blood collection tubes </w:t>
      </w:r>
      <w:r w:rsidR="00D41621" w:rsidRPr="00E27313">
        <w:rPr>
          <w:rFonts w:ascii="Palatino Linotype" w:hAnsi="Palatino Linotype"/>
          <w:sz w:val="24"/>
          <w:szCs w:val="24"/>
          <w:lang w:bidi="en-US"/>
        </w:rPr>
        <w:t>coated with</w:t>
      </w:r>
      <w:r w:rsidR="00D41621" w:rsidRPr="005B1CCB">
        <w:rPr>
          <w:rFonts w:ascii="Palatino Linotype" w:hAnsi="Palatino Linotype"/>
          <w:sz w:val="24"/>
          <w:szCs w:val="24"/>
          <w:lang w:bidi="en-US"/>
        </w:rPr>
        <w:t xml:space="preserve"> e.g.</w:t>
      </w:r>
      <w:r w:rsidR="000115E1" w:rsidRPr="005B1CCB">
        <w:rPr>
          <w:rFonts w:ascii="Palatino Linotype" w:hAnsi="Palatino Linotype"/>
          <w:sz w:val="24"/>
          <w:szCs w:val="24"/>
          <w:lang w:bidi="en-US"/>
        </w:rPr>
        <w:t xml:space="preserve"> </w:t>
      </w:r>
      <w:r w:rsidR="00D41621" w:rsidRPr="005B1CCB">
        <w:rPr>
          <w:rFonts w:ascii="Palatino Linotype" w:hAnsi="Palatino Linotype"/>
          <w:sz w:val="24"/>
          <w:szCs w:val="24"/>
          <w:lang w:bidi="en-US"/>
        </w:rPr>
        <w:t>Ethylenediaminetetraacetic acid (</w:t>
      </w:r>
      <w:r w:rsidR="000115E1" w:rsidRPr="00E27313">
        <w:rPr>
          <w:rFonts w:ascii="Palatino Linotype" w:hAnsi="Palatino Linotype"/>
          <w:sz w:val="24"/>
          <w:szCs w:val="24"/>
          <w:lang w:bidi="en-US"/>
        </w:rPr>
        <w:t>EDTA</w:t>
      </w:r>
      <w:r w:rsidR="00D41621" w:rsidRPr="005B1CCB">
        <w:rPr>
          <w:rFonts w:ascii="Palatino Linotype" w:hAnsi="Palatino Linotype"/>
          <w:sz w:val="24"/>
          <w:szCs w:val="24"/>
          <w:lang w:bidi="en-US"/>
        </w:rPr>
        <w:t>)</w:t>
      </w:r>
      <w:r w:rsidR="000115E1" w:rsidRPr="005B1CCB">
        <w:rPr>
          <w:rFonts w:ascii="Palatino Linotype" w:hAnsi="Palatino Linotype"/>
          <w:sz w:val="24"/>
          <w:szCs w:val="24"/>
          <w:lang w:bidi="en-US"/>
        </w:rPr>
        <w:t xml:space="preserve"> </w:t>
      </w:r>
      <w:r w:rsidR="000115E1" w:rsidRPr="00E27313">
        <w:rPr>
          <w:rFonts w:ascii="Palatino Linotype" w:hAnsi="Palatino Linotype"/>
          <w:sz w:val="24"/>
          <w:szCs w:val="24"/>
          <w:lang w:bidi="en-US"/>
        </w:rPr>
        <w:t xml:space="preserve">and heparin </w:t>
      </w:r>
      <w:r w:rsidR="00D41621" w:rsidRPr="00E27313">
        <w:rPr>
          <w:rFonts w:ascii="Palatino Linotype" w:hAnsi="Palatino Linotype"/>
          <w:sz w:val="24"/>
          <w:szCs w:val="24"/>
          <w:lang w:bidi="en-US"/>
        </w:rPr>
        <w:t>can be used to stabilize</w:t>
      </w:r>
      <w:r w:rsidR="00BD0A9B" w:rsidRPr="00E27313">
        <w:rPr>
          <w:rFonts w:ascii="Palatino Linotype" w:hAnsi="Palatino Linotype"/>
          <w:sz w:val="24"/>
          <w:szCs w:val="24"/>
          <w:lang w:bidi="en-US"/>
        </w:rPr>
        <w:t xml:space="preserve"> cells in </w:t>
      </w:r>
      <w:r w:rsidR="00D41621" w:rsidRPr="00E27313">
        <w:rPr>
          <w:rFonts w:ascii="Palatino Linotype" w:hAnsi="Palatino Linotype"/>
          <w:sz w:val="24"/>
          <w:szCs w:val="24"/>
          <w:lang w:bidi="en-US"/>
        </w:rPr>
        <w:t xml:space="preserve">the event of </w:t>
      </w:r>
      <w:r w:rsidR="00BD0A9B" w:rsidRPr="00E27313">
        <w:rPr>
          <w:rFonts w:ascii="Palatino Linotype" w:hAnsi="Palatino Linotype"/>
          <w:sz w:val="24"/>
          <w:szCs w:val="24"/>
          <w:lang w:bidi="en-US"/>
        </w:rPr>
        <w:t>processing</w:t>
      </w:r>
      <w:r w:rsidR="00D41621" w:rsidRPr="00E27313">
        <w:rPr>
          <w:rFonts w:ascii="Palatino Linotype" w:hAnsi="Palatino Linotype"/>
          <w:sz w:val="24"/>
          <w:szCs w:val="24"/>
          <w:lang w:bidi="en-US"/>
        </w:rPr>
        <w:t xml:space="preserve"> delay</w:t>
      </w:r>
      <w:r w:rsidR="000115E1" w:rsidRPr="005B1CCB">
        <w:rPr>
          <w:rFonts w:ascii="Palatino Linotype" w:hAnsi="Palatino Linotype"/>
          <w:sz w:val="24"/>
          <w:szCs w:val="24"/>
          <w:lang w:bidi="en-US"/>
        </w:rPr>
        <w:t xml:space="preserve"> </w:t>
      </w:r>
      <w:r w:rsidR="000115E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{"citationItems":[{"id":"ITEM-1","itemData":{"DOI":"https://doi.org/10.1016/j.jmoldx.2020.05.006","ISSN":"1525-1578","abstract":"Liquid biopsies as a minimally invasive approach have the potential to revolutionize molecular diagnostics. Yet, although protocols for sample handling and the isolation of circulating tumor DNA (ctDNA) are numerous, comprehensive guidelines for diagnostics and research considering all aspects of real-life multicenter clinical studies are currently not available. These include limitations in sample volume, transport, and blood collection tubes. We tested the impact of commonly used (EDTA and heparin) and specialized blood collection tubes and storage conditions on the yield and purity of cell-free DNA for the application in down-stream analysis. Moreover, we evaluated the feasibility of a combined workflow for ctDNA and tumor cell genomic testing and parallel flow cytometric analysis of leukocytes. For genomic analyses, EDTA tubes showed good results if stored for a maximum of 4 hours at room temperature or for up to 24 hours when stored at 4°C. Spike-in experiments revealed that EDTA tubes in combination with density gradient centrifugation allowed the parallel isolation of ctDNA, leukocytes, and low amounts of tumor cells (0.1%) and their immunophenotyping by flow cytometry and down-stream genomic analysis by whole genome sequencing. In conclusion, adhering to time and temperature limits allows the use of routine EDTA blood samples for liquid biopsy analyses. We further provide a workflow enabling the parallel analysis of cell-free and cellular features for disease monitoring and for clonal evolution studies.","author":[{"dropping-particle":"","family":"Gerber","given":"Teresa","non-dropping-particle":"","parse-names":false,"suffix":""},{"dropping-particle":"","family":"Taschner-Mandl","given":"Sabine","non-dropping-particle":"","parse-names":false,"suffix":""},{"dropping-particle":"","family":"Saloberger-Sindhöringer","given":"Lisa","non-dropping-particle":"","parse-names":false,"suffix":""},{"dropping-particle":"","family":"Popitsch","given":"Niko","non-dropping-particle":"","parse-names":false,"suffix":""},{"dropping-particle":"","family":"Heitzer","given":"Ellen","non-dropping-particle":"","parse-names":false,"suffix":""},{"dropping-particle":"","family":"Witt","given":"Volker","non-dropping-particle":"","parse-names":false,"suffix":""},{"dropping-particle":"","family":"Geyeregger","given":"René","non-dropping-particle":"","parse-names":false,"suffix":""},{"dropping-particle":"","family":"Hutter","given":"Caroline","non-dropping-particle":"","parse-names":false,"suffix":""},{"dropping-particle":"","family":"Schwentner","given":"Raphaela","non-dropping-particle":"","parse-names":false,"suffix":""},{"dropping-particle":"","family":"Ambros","given":"Inge M","non-dropping-particle":"","parse-names":false,"suffix":""},{"dropping-particle":"","family":"Ambros","given":"Peter F","non-dropping-particle":"","parse-names":false,"suffix":""}],"container-title":"The Journal of Molecular Diagnostics","id":"ITEM-1","issue":"8","issued":{"date-parts":[["2020"]]},"page":"1070-1086","title":"Assessment of Pre-Analytical Sample Handling Conditions for Comprehensive Liquid Biopsy Analysis","type":"article-journal","volume":"22"},"uris":["http://www.mendeley.com/documents/?uuid=357c7778-6436-4af3-b097-c54be92f1072"]}],"mendeley":{"formattedCitation":"[53]","plainTextFormattedCitation":"[53]","previouslyFormattedCitation":"[53]"},"properties":{"noteIndex":0},"schema":"https://github.com/citation-style-language/schema/raw/master/csl-citation.json"}</w:instrText>
      </w:r>
      <w:r w:rsidR="000115E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[53]</w:t>
      </w:r>
      <w:r w:rsidR="000115E1" w:rsidRPr="005B1CCB">
        <w:rPr>
          <w:rFonts w:ascii="Palatino Linotype" w:hAnsi="Palatino Linotype"/>
          <w:sz w:val="24"/>
          <w:szCs w:val="24"/>
          <w:lang w:bidi="en-US"/>
        </w:rPr>
        <w:fldChar w:fldCharType="end"/>
      </w:r>
      <w:r w:rsidR="00BD0A9B" w:rsidRPr="005B1CCB">
        <w:rPr>
          <w:rFonts w:ascii="Palatino Linotype" w:hAnsi="Palatino Linotype"/>
          <w:sz w:val="24"/>
          <w:szCs w:val="24"/>
          <w:lang w:bidi="en-US"/>
        </w:rPr>
        <w:t xml:space="preserve">. </w:t>
      </w:r>
      <w:r w:rsidR="00E66840" w:rsidRPr="005B1CCB">
        <w:rPr>
          <w:rFonts w:ascii="Palatino Linotype" w:hAnsi="Palatino Linotype"/>
          <w:sz w:val="24"/>
          <w:szCs w:val="24"/>
          <w:lang w:bidi="en-US"/>
        </w:rPr>
        <w:t xml:space="preserve">An advantage </w:t>
      </w:r>
      <w:r w:rsidR="00554241" w:rsidRPr="005B1CCB">
        <w:rPr>
          <w:rFonts w:ascii="Palatino Linotype" w:hAnsi="Palatino Linotype"/>
          <w:sz w:val="24"/>
          <w:szCs w:val="24"/>
          <w:lang w:bidi="en-US"/>
        </w:rPr>
        <w:t>of</w:t>
      </w:r>
      <w:r w:rsidR="00E66840" w:rsidRPr="005B1CCB">
        <w:rPr>
          <w:rFonts w:ascii="Palatino Linotype" w:hAnsi="Palatino Linotype"/>
          <w:sz w:val="24"/>
          <w:szCs w:val="24"/>
          <w:lang w:bidi="en-US"/>
        </w:rPr>
        <w:t xml:space="preserve"> using plasma is that the dilution of tumour-derived DNA is minimised and the sensitivity of ctDNA analysis is optimised </w:t>
      </w:r>
      <w:r w:rsidR="00E66840"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doi:10.1515/cclm-2019-0896","author":[{"dropping-particle":"","family":"Lee","given":"Jee-Soo","non-dropping-particle":"","parse-names":false,"suffix":""},{"dropping-particle":"","family":"Kim","given":"Miyoung","non-dropping-particle":"","parse-names":false,"suffix":""},{"dropping-particle":"","family":"Seong","given":"Moon-Woo","non-dropping-particle":"","parse-names":false,"suffix":""},{"dropping-particle":"","family":"Kim","given":"Han-Sung","non-dropping-particle":"","parse-names":false,"suffix":""},{"dropping-particle":"","family":"Lee","given":"Young Kyung","non-dropping-particle":"","parse-names":false,"suffix":""},{"dropping-particle":"","family":"Kang","given":"Hee Jung","non-dropping-particle":"","parse-names":false,"suffix":""}],"container-title":"Clinical Chemistry and Laboratory Medicine (CCLM)","id":"ITEM-1","issue":"4","issued":{"date-parts":[["2020"]]},"page":"527-532","title":"Plasma vs. serum in circulating tumor DNA measurement: characterization by DNA fragment sizing and digital droplet polymerase chain reaction","type":"article-journal","volume":"58"},"uris":["http://www.mendeley.com/documents/?uuid=4fc0f84d-f9ac-43d1-9a1e-c1ce2cf71e35"]}],"mendeley":{"formattedCitation":"[54]","plainTextFormattedCitation":"[54]","previouslyFormattedCitation":"[54]"},"properties":{"noteIndex":0},"schema":"https://github.com/citation-style-language/schema/raw/master/csl-citation.json"}</w:instrText>
      </w:r>
      <w:r w:rsidR="00E66840"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[54]</w:t>
      </w:r>
      <w:r w:rsidR="00E66840" w:rsidRPr="005B1CCB">
        <w:rPr>
          <w:rFonts w:ascii="Palatino Linotype" w:hAnsi="Palatino Linotype"/>
          <w:sz w:val="24"/>
          <w:szCs w:val="24"/>
          <w:lang w:bidi="en-US"/>
        </w:rPr>
        <w:fldChar w:fldCharType="end"/>
      </w:r>
      <w:r w:rsidR="00E66840" w:rsidRPr="005B1CCB">
        <w:rPr>
          <w:rFonts w:ascii="Palatino Linotype" w:hAnsi="Palatino Linotype"/>
          <w:sz w:val="24"/>
          <w:szCs w:val="24"/>
          <w:lang w:bidi="en-US"/>
        </w:rPr>
        <w:t>.</w:t>
      </w:r>
    </w:p>
    <w:p w14:paraId="106EB57B" w14:textId="77777777" w:rsidR="00D7614F" w:rsidRPr="005B1CCB" w:rsidRDefault="00D7614F" w:rsidP="0007750F">
      <w:pPr>
        <w:spacing w:line="360" w:lineRule="auto"/>
        <w:jc w:val="both"/>
        <w:rPr>
          <w:rFonts w:ascii="Palatino Linotype" w:hAnsi="Palatino Linotype"/>
          <w:sz w:val="24"/>
          <w:szCs w:val="24"/>
          <w:lang w:bidi="en-US"/>
        </w:rPr>
      </w:pPr>
    </w:p>
    <w:p w14:paraId="0234DFB7" w14:textId="77777777" w:rsidR="008D1F28" w:rsidRPr="005B1CCB" w:rsidRDefault="00AA33F7" w:rsidP="0016033F">
      <w:pPr>
        <w:pStyle w:val="Heading4"/>
        <w:jc w:val="both"/>
        <w:rPr>
          <w:lang w:bidi="en-US"/>
        </w:rPr>
      </w:pPr>
      <w:r w:rsidRPr="005B1CCB">
        <w:rPr>
          <w:lang w:bidi="en-US"/>
        </w:rPr>
        <w:t xml:space="preserve">Blood </w:t>
      </w:r>
      <w:r w:rsidR="008D1F28" w:rsidRPr="005B1CCB">
        <w:rPr>
          <w:lang w:bidi="en-US"/>
        </w:rPr>
        <w:t>Serum</w:t>
      </w:r>
    </w:p>
    <w:p w14:paraId="41773384" w14:textId="49B8A356" w:rsidR="008D1F28" w:rsidRPr="005B1CCB" w:rsidRDefault="004569A7" w:rsidP="007A271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07750F" w:rsidRPr="005B1CCB">
        <w:rPr>
          <w:rFonts w:ascii="Palatino Linotype" w:hAnsi="Palatino Linotype"/>
          <w:sz w:val="24"/>
          <w:szCs w:val="24"/>
          <w:lang w:bidi="en-US"/>
        </w:rPr>
        <w:t>Recent studies have supported the clinical utility of serum-derived ctDNA</w:t>
      </w:r>
      <w:r w:rsidR="00C03EFE" w:rsidRPr="005B1CCB">
        <w:rPr>
          <w:rFonts w:ascii="Palatino Linotype" w:hAnsi="Palatino Linotype"/>
          <w:sz w:val="24"/>
          <w:szCs w:val="24"/>
          <w:lang w:bidi="en-US"/>
        </w:rPr>
        <w:t xml:space="preserve"> </w:t>
      </w:r>
      <w:r w:rsidR="00C03EF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{"citationItems":[{"id":"ITEM-1","itemData":{"DOI":"https://doi.org/10.1016/j.jmoldx.2020.05.006","ISSN":"1525-1578","abstract":"Liquid biopsies as a minimally invasive approach have the potential to revolutionize molecular diagnostics. Yet, although protocols for sample handling and the isolation of circulating tumor DNA (ctDNA) are numerous, comprehensive guidelines for diagnostics and research considering all aspects of real-life multicenter clinical studies are currently not available. These include limitations in sample volume, transport, and blood collection tubes. We tested the impact of commonly used (EDTA and heparin) and specialized blood collection tubes and storage conditions on the yield and purity of cell-free DNA for the application in down-stream analysis. Moreover, we evaluated the feasibility of a combined workflow for ctDNA and tumor cell genomic testing and parallel flow cytometric analysis of leukocytes. For genomic analyses, EDTA tubes showed good results if stored for a maximum of 4 hours at room temperature or for up to 24 hours when stored at 4°C. Spike-in experiments revealed that EDTA tubes in combination with density gradient centrifugation allowed the parallel isolation of ctDNA, leukocytes, and low amounts of tumor cells (0.1%) and their immunophenotyping by flow cytometry and down-stream genomic analysis by whole genome sequencing. In conclusion, adhering to time and temperature limits allows the use of routine EDTA blood samples for liquid biopsy analyses. We further provide a workflow enabling the parallel analysis of cell-free and cellular features for disease monitoring and for clonal evolution studies.","author":[{"dropping-particle":"","family":"Gerber","given":"Teresa","non-dropping-particle":"","parse-names":false,"suffix":""},{"dropping-particle":"","family":"Taschner-Mandl","given":"Sabine","non-dropping-particle":"","parse-names":false,"suffix":""},{"dropping-particle":"","family":"Saloberger-Sindhöringer","given":"Lisa","non-dropping-particle":"","parse-names":false,"suffix":""},{"dropping-particle":"","family":"Popitsch","given":"Niko","non-dropping-particle":"","parse-names":false,"suffix":""},{"dropping-particle":"","family":"Heitzer","given":"Ellen","non-dropping-particle":"","parse-names":false,"suffix":""},{"dropping-particle":"","family":"Witt","given":"Volker","non-dropping-particle":"","parse-names":false,"suffix":""},{"dropping-particle":"","family":"Geyeregger","given":"René","non-dropping-particle":"","parse-names":false,"suffix":""},{"dropping-particle":"","family":"Hutter","given":"Caroline","non-dropping-particle":"","parse-names":false,"suffix":""},{"dropping-particle":"","family":"Schwentner","given":"Raphaela","non-dropping-particle":"","parse-names":false,"suffix":""},{"dropping-particle":"","family":"Ambros","given":"Inge M","non-dropping-particle":"","parse-names":false,"suffix":""},{"dropping-particle":"","family":"Ambros","given":"Peter F","non-dropping-particle":"","parse-names":false,"suffix":""}],"container-title":"The Journal of Molecular Diagnostics","id":"ITEM-1","issue":"8","issued":{"date-parts":[["2020"]]},"page":"1070-1086","title":"Assessment of Pre-Analytical Sample Handling Conditions for Comprehensive Liquid Biopsy Analysis","type":"article-journal","volume":"22"},"uris":["http://www.mendeley.com/documents/?uuid=357c7778-6436-4af3-b097-c54be92f1072"]}],"mendeley":{"formattedCitation":"[53]","plainTextFormattedCitation":"[53]","previouslyFormattedCitation":"[53]"},"properties":{"noteIndex":0},"schema":"https://github.com/citation-style-language/schema/raw/master/csl-citation.json"}</w:instrText>
      </w:r>
      <w:r w:rsidR="00C03EF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[53]</w:t>
      </w:r>
      <w:r w:rsidR="00C03EFE" w:rsidRPr="005B1CCB">
        <w:rPr>
          <w:rFonts w:ascii="Palatino Linotype" w:hAnsi="Palatino Linotype"/>
          <w:sz w:val="24"/>
          <w:szCs w:val="24"/>
          <w:lang w:bidi="en-US"/>
        </w:rPr>
        <w:fldChar w:fldCharType="end"/>
      </w:r>
      <w:r w:rsidR="00C03EFE" w:rsidRPr="005B1CCB">
        <w:rPr>
          <w:rFonts w:ascii="Palatino Linotype" w:hAnsi="Palatino Linotype"/>
          <w:sz w:val="24"/>
          <w:szCs w:val="24"/>
          <w:lang w:bidi="en-US"/>
        </w:rPr>
        <w:t xml:space="preserve"> </w:t>
      </w:r>
      <w:r w:rsidR="00C03EF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{"citationItems":[{"id":"ITEM-1","itemData":{"DOI":"10.1093/clinchem/hvaa103","ISSN":"0009-9147","abstract":"Blood-based analysis of circulating tumor DNA (ctDNA) is a promising tool for cancer screening, monitoring relapse/recurrence and evaluating response to treatment. Although plasma is widely used to obtain ctDNA, biorepositories worldwide possess a huge number of serum samples and comparative studies on the use of serum vs plasma as ctDNA sources are essential.We analyzed cell-free DNA (cfDNA) from matched EDTA-plasma and serum samples from healthy donors and patients with colorectal or lung cancer, and used targeted next-generation sequencing to evaluate mutation detection efficiency and reproducibility. Matched samples from healthy individuals were spiked with reference oligonucleotides and sequenced using the Ion-S5 Oncomine-Pan-Cancer panel. Detection efficiency in matched samples from patients with cancer was evaluated using 2 distinct gene panels and compared to mutations found in tissue-biopsy samples at diagnosis.Mean total cfDNA was 55% higher in serum samples and the presence of longer DNA fragments was significantly increased in serum compared with plasma samples (P = 0.0001 to 0.015). Spiked mutated nucleotides were detected in both samples, but allele frequencies (AF) were approximately half in serum compared with plasma, suggesting ctDNA from serum was more diluted by DNA of noncancerous origins. Matched samples from patients with cancer revealed that up to 44.8% of mutations with low AF were missed in serum samples and concordance rates with somatic mutations found in tissue biopsy at diagnosis was better in plasma samples.The use of serum in retrospective studies should consider the limitations for detecting low AF mutations. Plasma is clearly preferable for prospective clinical applications of liquid biopsy.","author":[{"dropping-particle":"","family":"Pittella-Silva","given":"Fabio","non-dropping-particle":"","parse-names":false,"suffix":""},{"dropping-particle":"","family":"Chin","given":"Yoon Ming","non-dropping-particle":"","parse-names":false,"suffix":""},{"dropping-particle":"","family":"Chan","given":"Hiu Ting","non-dropping-particle":"","parse-names":false,"suffix":""},{"dropping-particle":"","family":"Nagayama","given":"Satoshi","non-dropping-particle":"","parse-names":false,"suffix":""},{"dropping-particle":"","family":"Miyauchi","given":"Eisaku","non-dropping-particle":"","parse-names":false,"suffix":""},{"dropping-particle":"","family":"Low","given":"Siew-Kee","non-dropping-particle":"","parse-names":false,"suffix":""},{"dropping-particle":"","family":"Nakamura","given":"Yusuke","non-dropping-particle":"","parse-names":false,"suffix":""}],"container-title":"Clinical Chemistry","id":"ITEM-1","issue":"7","issued":{"date-parts":[["2020","7","1"]]},"page":"946-957","title":"Plasma or Serum: Which Is Preferable for Mutation Detection in Liquid Biopsy?","type":"article-journal","volume":"66"},"uris":["http://www.mendeley.com/documents/?uuid=42acc7cf-4cea-4cff-a44f-d51875d6a3c7"]}],"mendeley":{"formattedCitation":"[55]","plainTextFormattedCitation":"[55]","previouslyFormattedCitation":"[55]"},"properties":{"noteIndex":0},"schema":"https://github.com/citation-style-language/schema/raw/master/csl-citation.json"}</w:instrText>
      </w:r>
      <w:r w:rsidR="00C03EF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[55]</w:t>
      </w:r>
      <w:r w:rsidR="00C03EFE" w:rsidRPr="005B1CCB">
        <w:rPr>
          <w:rFonts w:ascii="Palatino Linotype" w:hAnsi="Palatino Linotype"/>
          <w:sz w:val="24"/>
          <w:szCs w:val="24"/>
          <w:lang w:bidi="en-US"/>
        </w:rPr>
        <w:fldChar w:fldCharType="end"/>
      </w:r>
      <w:r w:rsidR="0007750F" w:rsidRPr="005B1CCB">
        <w:rPr>
          <w:rFonts w:ascii="Palatino Linotype" w:hAnsi="Palatino Linotype"/>
          <w:sz w:val="24"/>
          <w:szCs w:val="24"/>
          <w:lang w:bidi="en-US"/>
        </w:rPr>
        <w:t>.</w:t>
      </w:r>
      <w:r w:rsidR="006348C3" w:rsidRPr="005B1CCB">
        <w:rPr>
          <w:rFonts w:ascii="Palatino Linotype" w:hAnsi="Palatino Linotype"/>
          <w:sz w:val="24"/>
          <w:szCs w:val="24"/>
          <w:lang w:bidi="en-US"/>
        </w:rPr>
        <w:t xml:space="preserve"> </w:t>
      </w:r>
      <w:r w:rsidR="003E5B10" w:rsidRPr="005B1CCB">
        <w:rPr>
          <w:rFonts w:ascii="Palatino Linotype" w:hAnsi="Palatino Linotype"/>
          <w:sz w:val="24"/>
          <w:szCs w:val="24"/>
          <w:lang w:bidi="en-US"/>
        </w:rPr>
        <w:t xml:space="preserve">Serum is the fluid and solute from blood </w:t>
      </w:r>
      <w:r w:rsidR="009A4BD5" w:rsidRPr="005B1CCB">
        <w:rPr>
          <w:rFonts w:ascii="Palatino Linotype" w:hAnsi="Palatino Linotype"/>
          <w:sz w:val="24"/>
          <w:szCs w:val="24"/>
          <w:lang w:bidi="en-US"/>
        </w:rPr>
        <w:t>that includes proteins</w:t>
      </w:r>
      <w:r w:rsidR="00E82732" w:rsidRPr="005B1CCB">
        <w:rPr>
          <w:rFonts w:ascii="Palatino Linotype" w:hAnsi="Palatino Linotype"/>
          <w:sz w:val="24"/>
          <w:szCs w:val="24"/>
          <w:lang w:bidi="en-US"/>
        </w:rPr>
        <w:t xml:space="preserve"> not used in blood clotting, </w:t>
      </w:r>
      <w:r w:rsidR="009A4BD5" w:rsidRPr="005B1CCB">
        <w:rPr>
          <w:rFonts w:ascii="Palatino Linotype" w:hAnsi="Palatino Linotype"/>
          <w:sz w:val="24"/>
          <w:szCs w:val="24"/>
          <w:lang w:bidi="en-US"/>
        </w:rPr>
        <w:t xml:space="preserve">hormones, minerals and carbon dioxide </w:t>
      </w:r>
      <w:r w:rsidR="00E82732" w:rsidRPr="005B1CCB">
        <w:rPr>
          <w:rFonts w:ascii="Palatino Linotype" w:hAnsi="Palatino Linotype"/>
          <w:sz w:val="24"/>
          <w:szCs w:val="24"/>
          <w:lang w:bidi="en-US"/>
        </w:rPr>
        <w:t>but excludes red blood cells, white blood cells, platelets and clotting factors</w:t>
      </w:r>
      <w:r w:rsidR="00E03DED" w:rsidRPr="005B1CCB">
        <w:rPr>
          <w:rFonts w:ascii="Palatino Linotype" w:hAnsi="Palatino Linotype"/>
          <w:sz w:val="24"/>
          <w:szCs w:val="24"/>
          <w:lang w:bidi="en-US"/>
        </w:rPr>
        <w:t xml:space="preserve"> </w:t>
      </w:r>
      <w:r w:rsidR="00E03DE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{"citationItems":[{"id":"ITEM-1","itemData":{"DOI":"10.1080/00365510701809235","ISSN":"0036-5513","author":[{"dropping-particle":"","family":"Gislefoss","given":"Randi E","non-dropping-particle":"","parse-names":false,"suffix":""},{"dropping-particle":"","family":"Grimsrud","given":"Tom K","non-dropping-particle":"","parse-names":false,"suffix":""},{"dropping-particle":"","family":"Mørkrid","given":"Lars","non-dropping-particle":"","parse-names":false,"suffix":""}],"container-title":"Scandinavian Journal of Clinical and Laboratory Investigation","id":"ITEM-1","issue":"5","issued":{"date-parts":[["2008","1","1"]]},"note":"doi: 10.1080/00365510701809235","page":"402-409","publisher":"Taylor &amp; Francis","title":"Long‐term stability of serum components in the Janus Serum Bank","type":"article-journal","volume":"68"},"uris":["http://www.mendeley.com/documents/?uuid=3a972f1f-ef10-463b-b5bb-a50076a1d15f"]}],"mendeley":{"formattedCitation":"[56]","plainTextFormattedCitation":"[56]","previouslyFormattedCitation":"[56]"},"properties":{"noteIndex":0},"schema":"https://github.com/citation-style-language/schema/raw/master/csl-citation.json"}</w:instrText>
      </w:r>
      <w:r w:rsidR="00E03DE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[56]</w:t>
      </w:r>
      <w:r w:rsidR="00E03DED" w:rsidRPr="005B1CCB">
        <w:rPr>
          <w:rFonts w:ascii="Palatino Linotype" w:hAnsi="Palatino Linotype"/>
          <w:sz w:val="24"/>
          <w:szCs w:val="24"/>
          <w:lang w:bidi="en-US"/>
        </w:rPr>
        <w:fldChar w:fldCharType="end"/>
      </w:r>
      <w:r w:rsidR="003E5B10" w:rsidRPr="005B1CCB">
        <w:rPr>
          <w:rFonts w:ascii="Palatino Linotype" w:hAnsi="Palatino Linotype"/>
          <w:sz w:val="24"/>
          <w:szCs w:val="24"/>
          <w:lang w:bidi="en-US"/>
        </w:rPr>
        <w:t xml:space="preserve">. </w:t>
      </w:r>
      <w:r w:rsidR="00E82732" w:rsidRPr="00E27313">
        <w:rPr>
          <w:rFonts w:ascii="Palatino Linotype" w:hAnsi="Palatino Linotype"/>
          <w:sz w:val="24"/>
          <w:szCs w:val="24"/>
          <w:lang w:bidi="en-US"/>
        </w:rPr>
        <w:t>In order to procure human serum, blood sample is allowed to coagulate and then is centrifuged to remove the clot and cells</w:t>
      </w:r>
      <w:r w:rsidR="00957613" w:rsidRPr="005B1CCB">
        <w:rPr>
          <w:rFonts w:ascii="Palatino Linotype" w:hAnsi="Palatino Linotype"/>
          <w:sz w:val="24"/>
          <w:szCs w:val="24"/>
          <w:lang w:bidi="en-US"/>
        </w:rPr>
        <w:t xml:space="preserve"> </w:t>
      </w:r>
      <w:r w:rsidR="00957613"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{"citationItems":[{"id":"ITEM-1","itemData":{"DOI":"10.1128/cdli.9.6.1376-1378.2002","ISSN":"1071-412X","abstract":"Syphilitic plasma can be salvaged from discarded blood donations and converted to serum by defibrination. Sixty-nine units of plasma were treated with a stock solution of 100 U of thrombin per ml in 1 M calcium chloride and then with a 10% (wt/vol) solution of kaolin. Fibrinogen concentrations detected in initial plasma samples ranged from 94 to 4970 mg/liter (mean, 2532 mg/liter) for samples that were reactive by the rapid plasma reagin circle card test (RPR) and from 314 to 2742 mg/liter (mean 1528 mg/liter) for samples that were not reactive by the RPR. The treated samples showed no measurable fibrinogen remaining after the defibrination process. In the nontreponemal RPR for syphilis, 86% of the treated plasma samples retained the same endpoint titer as that of the initial plasma sample. When the Treponema pallidum passive-particle-agglutination test was used, 98% retained the same reactivity. In the Captia Syphilis-G enzyme immunoassay, 89% of the treated samples demonstrated no change in reactivity index, and in the fluorescent treponemal antibody absorption test, 96% showed no reduction in fluorescence. Human sera containing antibodies to syphilis are used at the Centers for Disease Control and Prevention for the preparation of reference controls or as samples for proficiency testing. Finding reactive sera is becoming more difficult due to the general decline of syphilis cases in the United States. The decreasing availability of these sera can be alleviated by salvaging plasma and converting it to serum.","author":[{"dropping-particle":"","family":"Castro","given":"Arnold R","non-dropping-particle":"","parse-names":false,"suffix":""},{"dropping-particle":"","family":"Kikkert","given":"Susan E","non-dropping-particle":"","parse-names":false,"suffix":""},{"dropping-particle":"","family":"Fears","given":"Martha B","non-dropping-particle":"","parse-names":false,"suffix":""},{"dropping-particle":"","family":"Pope","given":"Victoria","non-dropping-particle":"","parse-names":false,"suffix":""}],"container-title":"Clinical and diagnostic laboratory immunology","id":"ITEM-1","issue":"6","issued":{"date-parts":[["2002","11"]]},"language":"eng","page":"1376-1378","publisher":"American Society for Microbiology","title":"Defibrination of blood plasma for use in serological tests for syphilis","type":"article-journal","volume":"9"},"uris":["http://www.mendeley.com/documents/?uuid=f3970794-5992-461e-b126-92c1099a0f1e"]}],"mendeley":{"formattedCitation":"[57]","plainTextFormattedCitation":"[57]","previouslyFormattedCitation":"[57]"},"properties":{"noteIndex":0},"schema":"https://github.com/citation-style-language/schema/raw/master/csl-citation.json"}</w:instrText>
      </w:r>
      <w:r w:rsidR="00957613"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[57]</w:t>
      </w:r>
      <w:r w:rsidR="00957613" w:rsidRPr="005B1CCB">
        <w:rPr>
          <w:rFonts w:ascii="Palatino Linotype" w:hAnsi="Palatino Linotype"/>
          <w:sz w:val="24"/>
          <w:szCs w:val="24"/>
          <w:lang w:bidi="en-US"/>
        </w:rPr>
        <w:fldChar w:fldCharType="end"/>
      </w:r>
      <w:r w:rsidR="00E82732" w:rsidRPr="005B1CCB">
        <w:rPr>
          <w:rFonts w:ascii="Palatino Linotype" w:hAnsi="Palatino Linotype"/>
          <w:sz w:val="24"/>
          <w:szCs w:val="24"/>
          <w:lang w:bidi="en-US"/>
        </w:rPr>
        <w:t xml:space="preserve">. </w:t>
      </w:r>
      <w:r w:rsidR="003E5B10" w:rsidRPr="005B1CCB">
        <w:rPr>
          <w:rFonts w:ascii="Palatino Linotype" w:hAnsi="Palatino Linotype"/>
          <w:sz w:val="24"/>
          <w:szCs w:val="24"/>
          <w:lang w:bidi="en-US"/>
        </w:rPr>
        <w:t xml:space="preserve">Human serum can </w:t>
      </w:r>
      <w:r w:rsidR="00E82732" w:rsidRPr="005B1CCB">
        <w:rPr>
          <w:rFonts w:ascii="Palatino Linotype" w:hAnsi="Palatino Linotype"/>
          <w:sz w:val="24"/>
          <w:szCs w:val="24"/>
          <w:lang w:bidi="en-US"/>
        </w:rPr>
        <w:t xml:space="preserve">also </w:t>
      </w:r>
      <w:r w:rsidR="003E5B10" w:rsidRPr="005B1CCB">
        <w:rPr>
          <w:rFonts w:ascii="Palatino Linotype" w:hAnsi="Palatino Linotype"/>
          <w:sz w:val="24"/>
          <w:szCs w:val="24"/>
          <w:lang w:bidi="en-US"/>
        </w:rPr>
        <w:t xml:space="preserve">be obtained from blood plasma after the clotting factors and fibrinogen has been removed. </w:t>
      </w:r>
      <w:r w:rsidR="006348C3" w:rsidRPr="00E27313">
        <w:rPr>
          <w:rFonts w:ascii="Palatino Linotype" w:hAnsi="Palatino Linotype"/>
          <w:sz w:val="24"/>
          <w:szCs w:val="24"/>
          <w:lang w:bidi="en-US"/>
        </w:rPr>
        <w:t xml:space="preserve">Although serum samples have been shown to yield higher amounts of cfDNA, </w:t>
      </w:r>
      <w:r w:rsidR="00E04A6D" w:rsidRPr="00E27313">
        <w:rPr>
          <w:rFonts w:ascii="Palatino Linotype" w:hAnsi="Palatino Linotype"/>
          <w:sz w:val="24"/>
          <w:szCs w:val="24"/>
          <w:lang w:bidi="en-US"/>
        </w:rPr>
        <w:t>however they also contain higher concentrations of DNA released during the lysis of circulating white blood cells which may reduce the proportion of ctDNA</w:t>
      </w:r>
      <w:r w:rsidR="00356D56" w:rsidRPr="005B1CCB">
        <w:rPr>
          <w:rFonts w:ascii="Palatino Linotype" w:hAnsi="Palatino Linotype"/>
          <w:sz w:val="24"/>
          <w:szCs w:val="24"/>
          <w:lang w:bidi="en-US"/>
        </w:rPr>
        <w:t xml:space="preserve"> </w:t>
      </w:r>
      <w:r w:rsidR="00356D5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{"citationItems":[{"id":"ITEM-1","itemData":{"DOI":"10.1196/annals.1368.040","ISBN":"157331627X","ISSN":"17496632","PMID":"17108224","abstract":"Circulating DNA isolated from serum and plasma has been shown to be a useful biomarker in various diseases including cancer. Serum reportedly contains a higher amount of free circulating DNA than it does in plasma. The underlying reason for this is unclear, but important because it may have clinical implications in interpreting results and using the appropriate resource. Twenty-four pairs of serum and plasma samples were collected from patients with tumors, and free circulating DNA was quantified by real-time quantitative PCR (qPCR) for the ALU repeats, which had a sensitivity of 0.1 pg/μL of DNA in serum/plasma. The possibility of DNA loss was eliminated because ALU-qPCR does not require DNA purification from serum/plasma. The DNA concentrations of serum and plasma samples were 970 ± 730 pg/μL and 180 ± 150 pg/μL (mean ± SD), respectively. The amount of DNA in paired serum and plasma specimens was positively correlated (R = 0.72 and P = 0.0002). An estimated 8.2% of total DNA in serum was extraneous; the concentration of DNA was 6.1 ± 3.5 (mean ± SD)-fold higher in serum than in paired plasma after subtraction of it. Contribution of extraneous DNA from cells in blood ruptured during the separation step was minor for explaining the difference between serum and plasma. A possible explanation was unequal distribution of DNA during separation from whole blood. We advocate that serum is a better specimen source for circulating cancer-related DNA as a biomarker. © 2006 New York Academy of Sciences.","author":[{"dropping-particle":"","family":"Umetani","given":"Naoyuki","non-dropping-particle":"","parse-names":false,"suffix":""},{"dropping-particle":"","family":"Hiramatsu","given":"Suzanne","non-dropping-particle":"","parse-names":false,"suffix":""},{"dropping-particle":"","family":"Hoon","given":"Dave S.B.","non-dropping-particle":"","parse-names":false,"suffix":""}],"container-title":"Annals of the New York Academy of Sciences","id":"ITEM-1","issued":{"date-parts":[["2006"]]},"page":"299-307","title":"Higher amount of free circulating DNA in serum than in plasma is not mainly caused by contaminated extraneous DNA during separation","type":"article-journal","volume":"1075"},"uris":["http://www.mendeley.com/documents/?uuid=6218eeff-f4dd-45f7-9b23-2d298ec15b3c"]}],"mendeley":{"formattedCitation":"[58]","plainTextFormattedCitation":"[58]","previouslyFormattedCitation":"[58]"},"properties":{"noteIndex":0},"schema":"https://github.com/citation-style-language/schema/raw/master/csl-citation.json"}</w:instrText>
      </w:r>
      <w:r w:rsidR="00356D5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[58]</w:t>
      </w:r>
      <w:r w:rsidR="00356D56" w:rsidRPr="005B1CCB">
        <w:rPr>
          <w:rFonts w:ascii="Palatino Linotype" w:hAnsi="Palatino Linotype"/>
          <w:sz w:val="24"/>
          <w:szCs w:val="24"/>
          <w:lang w:bidi="en-US"/>
        </w:rPr>
        <w:fldChar w:fldCharType="end"/>
      </w:r>
      <w:r w:rsidR="00356D5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{"citationItems":[{"id":"ITEM-1","itemData":{"DOI":"10.1373/clinchem.2004.046219","ISSN":"0009-9147","abstract":"Recently, plasma DNA analysis has been increasingly explored for different clinical diagnostic purposes. Previous studies have shown that the concentration of plasma DNA is increased in patients with neoplastic diseases (1), pregnancy-related complications (2)(3), trauma(4), and certain autoimmune diseases (5). In addition to quantitative analysis, qualitative changes in plasma DNA have also been investigated in different physiologic and pathologic conditions. In this regard, our group has shown that fetal DNA is shorter than the maternal counterpart in the plasma of pregnant women (6), and this has allowed the enrichment of fetal DNA from maternal plasma by size fractionation (7). It has also been shown that plasma DNA fragments are longer in patients suffering from a variety of neoplastic diseases (8). In addition, circulating Epstein–Barr virus DNA molecules in patients with nasopharyngeal carcinoma have been found to consist mainly of short DNA fragments &amp;lt;180 bp in size (9). Because the samples collected from patients and healthy controls in these studies were usually collected at different time points and under different conditions, it is important to ensure that the observed variations in the sizes of plasma DNA are the result of biological changes rather than artifacts attributable to differences in sample handling. Therefore, in this study, we investigated the effects of several preanalytical factors, including clotting, delayed separation of blood cells from plasma, freezing–thawing, and storage, on the integrity of circulating cell-free DNA.","author":[{"dropping-particle":"","family":"Chan","given":"K C Allen","non-dropping-particle":"","parse-names":false,"suffix":""},{"dropping-particle":"","family":"Yeung","given":"Sze-Wan","non-dropping-particle":"","parse-names":false,"suffix":""},{"dropping-particle":"","family":"Lui","given":"Wing-Bong","non-dropping-particle":"","parse-names":false,"suffix":""},{"dropping-particle":"","family":"Rainer","given":"Timothy H","non-dropping-particle":"","parse-names":false,"suffix":""},{"dropping-particle":"","family":"Lo","given":"Y M Dennis","non-dropping-particle":"","parse-names":false,"suffix":""}],"container-title":"Clinical Chemistry","id":"ITEM-1","issue":"4","issued":{"date-parts":[["2005","4","1"]]},"page":"781-784","title":"Effects of Preanalytical Factors on the Molecular Size of Cell-Free DNA in Blood","type":"article-journal","volume":"51"},"uris":["http://www.mendeley.com/documents/?uuid=a9638b3e-2b5a-47ac-9f45-f4551dfd980d"]}],"mendeley":{"formattedCitation":"[59]","plainTextFormattedCitation":"[59]","previouslyFormattedCitation":"[59]"},"properties":{"noteIndex":0},"schema":"https://github.com/citation-style-language/schema/raw/master/csl-citation.json"}</w:instrText>
      </w:r>
      <w:r w:rsidR="00356D5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[59]</w:t>
      </w:r>
      <w:r w:rsidR="00356D56" w:rsidRPr="005B1CCB">
        <w:rPr>
          <w:rFonts w:ascii="Palatino Linotype" w:hAnsi="Palatino Linotype"/>
          <w:sz w:val="24"/>
          <w:szCs w:val="24"/>
          <w:lang w:bidi="en-US"/>
        </w:rPr>
        <w:fldChar w:fldCharType="end"/>
      </w:r>
      <w:r w:rsidR="00356D5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{"citationItems":[{"id":"ITEM-1","itemData":{"DOI":"10.1200/JCO.2004.11.123","ISSN":"0732-183X","abstract":"Purpose Circulating cell-free DNA is present in increased amounts in the blood of cancer patients, but the clinical relevance of this phenomenon remains unclear. We conducted a clinical study to assess the value of circulating DNA as a prognostic marker in patients with non?small-cell lung cancer (NSCLC). Patients and Methods A standard protocol for the quantification of circulating DNA by real-time polymerase chain reaction was set up and validated at two oncology units. One hundred eighty-five informed patients with NSCLC and 46 healthy controls were included in the study. DNA concentrations were determined in paired plasma and serum samples and analyzed for a relationship with leukocyte counts and lactate dehydrogenase (LDH) levels. DNA concentrations in healthy controls and in patients were compared, and cutoff levels for plasma and serum DNA were determined. Patient survival was analyzed relative to baseline DNA concentrations, and the relationship between tumor responses and changes in DNA concentrations was assessed in patients receiving chemotherapy. Results We found a significant correlation between increased plasma DNA concentrations and elevated LDH levels (P = .009), advanced tumor stage (P &lt; .003), and poor survival (P &lt; .001). Tumor progression after chemotherapy was significantly (P = .006) associated with increasing plasma DNA concentrations. Serum DNA concentrations strongly correlated (P &lt; .001) with leukocyte counts. Conclusion Our data demonstrate that quantification of plasma DNA is an accurate technique amenable to standardization, which might complement current methods for the prediction of patient survival. This approach might be considered for evaluation in large prospective studies.","author":[{"dropping-particle":"","family":"Gautschi","given":"Oliver","non-dropping-particle":"","parse-names":false,"suffix":""},{"dropping-particle":"","family":"Bigosch","given":"Colette","non-dropping-particle":"","parse-names":false,"suffix":""},{"dropping-particle":"","family":"Huegli","given":"Barbara","non-dropping-particle":"","parse-names":false,"suffix":""},{"dropping-particle":"","family":"Jermann","given":"Monika","non-dropping-particle":"","parse-names":false,"suffix":""},{"dropping-particle":"","family":"Marx","given":"Arthur","non-dropping-particle":"","parse-names":false,"suffix":""},{"dropping-particle":"","family":"Chassé","given":"Eveline","non-dropping-particle":"","parse-names":false,"suffix":""},{"dropping-particle":"","family":"Ratschiller","given":"Daniel","non-dropping-particle":"","parse-names":false,"suffix":""},{"dropping-particle":"","family":"Weder","given":"Walter","non-dropping-particle":"","parse-names":false,"suffix":""},{"dropping-particle":"","family":"Joerger","given":"Markus","non-dropping-particle":"","parse-names":false,"suffix":""},{"dropping-particle":"","family":"Betticher","given":"Daniel C","non-dropping-particle":"","parse-names":false,"suffix":""},{"dropping-particle":"","family":"Stahel","given":"Rolf A","non-dropping-particle":"","parse-names":false,"suffix":""},{"dropping-particle":"","family":"Ziegler","given":"Annemarie","non-dropping-particle":"","parse-names":false,"suffix":""}],"container-title":"Journal of Clinical Oncology","id":"ITEM-1","issue":"20","issued":{"date-parts":[["2004","10","15"]]},"note":"doi: 10.1200/JCO.2004.11.123","page":"4157-4164","publisher":"Wolters Kluwer","title":"Circulating Deoxyribonucleic Acid As Prognostic Marker in Non–Small-Cell Lung Cancer Patients Undergoing Chemotherapy","type":"article-journal","volume":"22"},"uris":["http://www.mendeley.com/documents/?uuid=0e826f1a-36c4-457a-841d-44abf3b47454"]}],"mendeley":{"formattedCitation":"[60]","plainTextFormattedCitation":"[60]","previouslyFormattedCitation":"[60]"},"properties":{"noteIndex":0},"schema":"https://github.com/citation-style-language/schema/raw/master/csl-citation.json"}</w:instrText>
      </w:r>
      <w:r w:rsidR="00356D5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[60]</w:t>
      </w:r>
      <w:r w:rsidR="00356D56" w:rsidRPr="005B1CCB">
        <w:rPr>
          <w:rFonts w:ascii="Palatino Linotype" w:hAnsi="Palatino Linotype"/>
          <w:sz w:val="24"/>
          <w:szCs w:val="24"/>
          <w:lang w:bidi="en-US"/>
        </w:rPr>
        <w:fldChar w:fldCharType="end"/>
      </w:r>
      <w:r w:rsidR="00E04A6D" w:rsidRPr="005B1CCB">
        <w:rPr>
          <w:rFonts w:ascii="Palatino Linotype" w:hAnsi="Palatino Linotype"/>
          <w:sz w:val="24"/>
          <w:szCs w:val="24"/>
          <w:lang w:bidi="en-US"/>
        </w:rPr>
        <w:t>.</w:t>
      </w:r>
      <w:r w:rsidR="007A2718" w:rsidRPr="005B1CCB">
        <w:rPr>
          <w:rFonts w:ascii="Palatino Linotype" w:hAnsi="Palatino Linotype"/>
          <w:sz w:val="24"/>
          <w:szCs w:val="24"/>
          <w:lang w:bidi="en-US"/>
        </w:rPr>
        <w:t xml:space="preserve"> Also, the retrieval of serum requires clotting at room temperature which increases the risk of cell lysis and the likelihood of ctDNA degradation</w:t>
      </w:r>
      <w:r w:rsidR="00356D56" w:rsidRPr="005B1CCB">
        <w:rPr>
          <w:rFonts w:ascii="Palatino Linotype" w:hAnsi="Palatino Linotype"/>
          <w:sz w:val="24"/>
          <w:szCs w:val="24"/>
          <w:lang w:bidi="en-US"/>
        </w:rPr>
        <w:t xml:space="preserve"> </w:t>
      </w:r>
      <w:r w:rsidR="00356D5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10.1373/49.6.1028","ISSN":"0009-9147","author":[{"dropping-particle":"","family":"Jung","given":"Monika","non-dropping-particle":"","parse-names":false,"suffix":""},{"dropping-particle":"","family":"Klotzek","given":"Silke","non-dropping-particle":"","parse-names":false,"suffix":""},{"dropping-particle":"","family":"Lewandowski","given":"Michaela","non-dropping-particle":"","parse-names":false,"suffix":""},{"dropping-particle":"","family":"Fleischhacker","given":"Michael","non-dropping-particle":"","parse-names":false,"suffix":""},{"dropping-particle":"","family":"Jung","given":"Klaus","non-dropping-particle":"","parse-names":false,"suffix":""}],"container-title":"Clinical Chemistry","id":"ITEM-1","issue":"6","issued":{"date-parts":[["2003","6","1"]]},"page":"1028-1029","title":"Changes in Concentration of DNA in Serum and Plasma during Storage of Blood Samples","type":"article-journal","volume":"49"},"uris":["http://www.mendeley.com/documents/?uuid=c87783d0-c0cd-4787-999d-a4b198cbf76b"]}],"mendeley":{"formattedCitation":"[61]","plainTextFormattedCitation":"[61]","previouslyFormattedCitation":"[61]"},"properties":{"noteIndex":0},"schema":"https://github.com/citation-style-language/schema/raw/master/csl-citation.json"}</w:instrText>
      </w:r>
      <w:r w:rsidR="00356D5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[61]</w:t>
      </w:r>
      <w:r w:rsidR="00356D56" w:rsidRPr="005B1CCB">
        <w:rPr>
          <w:rFonts w:ascii="Palatino Linotype" w:hAnsi="Palatino Linotype"/>
          <w:sz w:val="24"/>
          <w:szCs w:val="24"/>
          <w:lang w:bidi="en-US"/>
        </w:rPr>
        <w:fldChar w:fldCharType="end"/>
      </w:r>
      <w:r w:rsidR="007A2718" w:rsidRPr="005B1CCB">
        <w:rPr>
          <w:rFonts w:ascii="Palatino Linotype" w:hAnsi="Palatino Linotype"/>
          <w:sz w:val="24"/>
          <w:szCs w:val="24"/>
          <w:lang w:bidi="en-US"/>
        </w:rPr>
        <w:t>.</w:t>
      </w:r>
      <w:r w:rsidR="00705408">
        <w:rPr>
          <w:rFonts w:ascii="Palatino Linotype" w:hAnsi="Palatino Linotype"/>
          <w:sz w:val="24"/>
          <w:szCs w:val="24"/>
          <w:lang w:bidi="en-US"/>
        </w:rPr>
        <w:t xml:space="preserve"> The key differences between serum and plasma are highlighted in table 1 below.</w:t>
      </w:r>
    </w:p>
    <w:p w14:paraId="49C844EE" w14:textId="601F0C96" w:rsidR="009177B7" w:rsidRPr="00492F11" w:rsidRDefault="009177B7" w:rsidP="00492F11">
      <w:pPr>
        <w:keepNext/>
        <w:jc w:val="center"/>
        <w:rPr>
          <w:rFonts w:ascii="Palatino Linotype" w:hAnsi="Palatino Linotype"/>
          <w:sz w:val="24"/>
          <w:szCs w:val="24"/>
        </w:rPr>
      </w:pPr>
      <w:bookmarkStart w:id="29" w:name="_Toc84272322"/>
      <w:r w:rsidRPr="00492F11">
        <w:rPr>
          <w:rFonts w:ascii="Palatino Linotype" w:hAnsi="Palatino Linotype"/>
          <w:sz w:val="24"/>
          <w:szCs w:val="24"/>
        </w:rPr>
        <w:t xml:space="preserve">Table </w:t>
      </w:r>
      <w:r w:rsidRPr="00492F11">
        <w:rPr>
          <w:rFonts w:ascii="Palatino Linotype" w:hAnsi="Palatino Linotype"/>
          <w:sz w:val="24"/>
          <w:szCs w:val="24"/>
        </w:rPr>
        <w:fldChar w:fldCharType="begin"/>
      </w:r>
      <w:r w:rsidRPr="00492F11">
        <w:rPr>
          <w:rFonts w:ascii="Palatino Linotype" w:hAnsi="Palatino Linotype"/>
          <w:sz w:val="24"/>
          <w:szCs w:val="24"/>
        </w:rPr>
        <w:instrText xml:space="preserve"> SEQ Table \* ARABIC </w:instrText>
      </w:r>
      <w:r w:rsidRPr="00492F11">
        <w:rPr>
          <w:rFonts w:ascii="Palatino Linotype" w:hAnsi="Palatino Linotype"/>
          <w:sz w:val="24"/>
          <w:szCs w:val="24"/>
        </w:rPr>
        <w:fldChar w:fldCharType="separate"/>
      </w:r>
      <w:r w:rsidR="005355B6" w:rsidRPr="00492F11">
        <w:rPr>
          <w:rFonts w:ascii="Palatino Linotype" w:hAnsi="Palatino Linotype"/>
          <w:noProof/>
          <w:sz w:val="24"/>
          <w:szCs w:val="24"/>
        </w:rPr>
        <w:t>1</w:t>
      </w:r>
      <w:r w:rsidRPr="00492F11">
        <w:rPr>
          <w:rFonts w:ascii="Palatino Linotype" w:hAnsi="Palatino Linotype"/>
          <w:sz w:val="24"/>
          <w:szCs w:val="24"/>
        </w:rPr>
        <w:fldChar w:fldCharType="end"/>
      </w:r>
      <w:r w:rsidRPr="00492F11">
        <w:rPr>
          <w:rFonts w:ascii="Palatino Linotype" w:hAnsi="Palatino Linotype"/>
          <w:sz w:val="24"/>
          <w:szCs w:val="24"/>
        </w:rPr>
        <w:t>: Key characteristics between Serum and Plasma</w:t>
      </w:r>
      <w:bookmarkEnd w:id="29"/>
    </w:p>
    <w:tbl>
      <w:tblPr>
        <w:tblW w:w="0" w:type="auto"/>
        <w:jc w:val="center"/>
        <w:tblLook w:val="04A0" w:firstRow="1" w:lastRow="0" w:firstColumn="1" w:lastColumn="0" w:noHBand="0" w:noVBand="1"/>
      </w:tblPr>
      <w:tblGrid>
        <w:gridCol w:w="2831"/>
        <w:gridCol w:w="2831"/>
        <w:gridCol w:w="2832"/>
      </w:tblGrid>
      <w:tr w:rsidR="009177B7" w14:paraId="53154D3C" w14:textId="77777777" w:rsidTr="00492F11">
        <w:trPr>
          <w:trHeight w:val="493"/>
          <w:jc w:val="center"/>
        </w:trPr>
        <w:tc>
          <w:tcPr>
            <w:tcW w:w="2831" w:type="dxa"/>
          </w:tcPr>
          <w:p w14:paraId="023D9EA3" w14:textId="1A085897" w:rsidR="009177B7" w:rsidRPr="00492F11" w:rsidRDefault="009177B7" w:rsidP="00492F11">
            <w:pPr>
              <w:spacing w:line="360" w:lineRule="auto"/>
              <w:jc w:val="center"/>
              <w:rPr>
                <w:rFonts w:ascii="Palatino Linotype" w:hAnsi="Palatino Linotype"/>
                <w:b/>
                <w:sz w:val="24"/>
                <w:szCs w:val="24"/>
                <w:u w:val="single"/>
                <w:lang w:bidi="en-US"/>
              </w:rPr>
            </w:pPr>
            <w:r w:rsidRPr="00492F11">
              <w:rPr>
                <w:rFonts w:ascii="Palatino Linotype" w:hAnsi="Palatino Linotype"/>
                <w:b/>
                <w:sz w:val="24"/>
                <w:szCs w:val="24"/>
                <w:u w:val="single"/>
                <w:lang w:bidi="en-US"/>
              </w:rPr>
              <w:t>Characteristics</w:t>
            </w:r>
          </w:p>
        </w:tc>
        <w:tc>
          <w:tcPr>
            <w:tcW w:w="2831" w:type="dxa"/>
          </w:tcPr>
          <w:p w14:paraId="10FB7AC8" w14:textId="5C4E9B0F" w:rsidR="009177B7" w:rsidRPr="00492F11" w:rsidRDefault="009177B7" w:rsidP="00492F11">
            <w:pPr>
              <w:spacing w:line="360" w:lineRule="auto"/>
              <w:jc w:val="center"/>
              <w:rPr>
                <w:rFonts w:ascii="Palatino Linotype" w:hAnsi="Palatino Linotype"/>
                <w:b/>
                <w:sz w:val="24"/>
                <w:szCs w:val="24"/>
                <w:u w:val="single"/>
                <w:lang w:bidi="en-US"/>
              </w:rPr>
            </w:pPr>
            <w:r w:rsidRPr="00492F11">
              <w:rPr>
                <w:rFonts w:ascii="Palatino Linotype" w:hAnsi="Palatino Linotype"/>
                <w:b/>
                <w:sz w:val="24"/>
                <w:szCs w:val="24"/>
                <w:u w:val="single"/>
                <w:lang w:bidi="en-US"/>
              </w:rPr>
              <w:t>Serum</w:t>
            </w:r>
          </w:p>
        </w:tc>
        <w:tc>
          <w:tcPr>
            <w:tcW w:w="2832" w:type="dxa"/>
          </w:tcPr>
          <w:p w14:paraId="1AA1FA8A" w14:textId="530553B3" w:rsidR="009177B7" w:rsidRPr="00492F11" w:rsidRDefault="009177B7" w:rsidP="00492F11">
            <w:pPr>
              <w:spacing w:line="360" w:lineRule="auto"/>
              <w:jc w:val="center"/>
              <w:rPr>
                <w:rFonts w:ascii="Palatino Linotype" w:hAnsi="Palatino Linotype"/>
                <w:b/>
                <w:sz w:val="24"/>
                <w:szCs w:val="24"/>
                <w:u w:val="single"/>
                <w:lang w:bidi="en-US"/>
              </w:rPr>
            </w:pPr>
            <w:r w:rsidRPr="00492F11">
              <w:rPr>
                <w:rFonts w:ascii="Palatino Linotype" w:hAnsi="Palatino Linotype"/>
                <w:b/>
                <w:sz w:val="24"/>
                <w:szCs w:val="24"/>
                <w:u w:val="single"/>
                <w:lang w:bidi="en-US"/>
              </w:rPr>
              <w:t>Plasma</w:t>
            </w:r>
          </w:p>
        </w:tc>
      </w:tr>
      <w:tr w:rsidR="009177B7" w14:paraId="231C7A48" w14:textId="77777777" w:rsidTr="00492F11">
        <w:trPr>
          <w:jc w:val="center"/>
        </w:trPr>
        <w:tc>
          <w:tcPr>
            <w:tcW w:w="2831" w:type="dxa"/>
          </w:tcPr>
          <w:p w14:paraId="6D01BFB5" w14:textId="6073F907" w:rsidR="009177B7" w:rsidRDefault="009177B7"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Composition</w:t>
            </w:r>
          </w:p>
        </w:tc>
        <w:tc>
          <w:tcPr>
            <w:tcW w:w="2831" w:type="dxa"/>
          </w:tcPr>
          <w:p w14:paraId="77247517" w14:textId="7AEB29E6" w:rsidR="009177B7" w:rsidRDefault="00D001FA"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Water fluid from blood without clotting factors</w:t>
            </w:r>
          </w:p>
        </w:tc>
        <w:tc>
          <w:tcPr>
            <w:tcW w:w="2832" w:type="dxa"/>
          </w:tcPr>
          <w:p w14:paraId="4CACFAC0" w14:textId="163BFFAE" w:rsidR="009177B7" w:rsidRDefault="00D001FA"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 xml:space="preserve">Clear yellow fluid from </w:t>
            </w:r>
            <w:r w:rsidR="00650A6F">
              <w:rPr>
                <w:rFonts w:ascii="Palatino Linotype" w:hAnsi="Palatino Linotype"/>
                <w:sz w:val="24"/>
                <w:szCs w:val="24"/>
                <w:lang w:bidi="en-US"/>
              </w:rPr>
              <w:t>blood containing</w:t>
            </w:r>
            <w:r>
              <w:rPr>
                <w:rFonts w:ascii="Palatino Linotype" w:hAnsi="Palatino Linotype"/>
                <w:sz w:val="24"/>
                <w:szCs w:val="24"/>
                <w:lang w:bidi="en-US"/>
              </w:rPr>
              <w:t xml:space="preserve"> clotting agents</w:t>
            </w:r>
          </w:p>
        </w:tc>
      </w:tr>
      <w:tr w:rsidR="009177B7" w14:paraId="25B8E167" w14:textId="77777777" w:rsidTr="009177B7">
        <w:trPr>
          <w:jc w:val="center"/>
        </w:trPr>
        <w:tc>
          <w:tcPr>
            <w:tcW w:w="2831" w:type="dxa"/>
          </w:tcPr>
          <w:p w14:paraId="59E22A5C" w14:textId="2AC6D6AC" w:rsidR="009177B7" w:rsidRDefault="00650A6F" w:rsidP="009177B7">
            <w:pPr>
              <w:spacing w:line="360" w:lineRule="auto"/>
              <w:jc w:val="center"/>
              <w:rPr>
                <w:rFonts w:ascii="Palatino Linotype" w:hAnsi="Palatino Linotype"/>
                <w:sz w:val="24"/>
                <w:szCs w:val="24"/>
                <w:lang w:bidi="en-US"/>
              </w:rPr>
            </w:pPr>
            <w:r>
              <w:rPr>
                <w:rFonts w:ascii="Palatino Linotype" w:hAnsi="Palatino Linotype"/>
                <w:sz w:val="24"/>
                <w:szCs w:val="24"/>
                <w:lang w:bidi="en-US"/>
              </w:rPr>
              <w:t>Water content</w:t>
            </w:r>
          </w:p>
        </w:tc>
        <w:tc>
          <w:tcPr>
            <w:tcW w:w="2831" w:type="dxa"/>
          </w:tcPr>
          <w:p w14:paraId="547FE6AF" w14:textId="51875D73" w:rsidR="009177B7" w:rsidRDefault="00650A6F" w:rsidP="009177B7">
            <w:pPr>
              <w:spacing w:line="360" w:lineRule="auto"/>
              <w:jc w:val="center"/>
              <w:rPr>
                <w:rFonts w:ascii="Palatino Linotype" w:hAnsi="Palatino Linotype"/>
                <w:sz w:val="24"/>
                <w:szCs w:val="24"/>
                <w:lang w:bidi="en-US"/>
              </w:rPr>
            </w:pPr>
            <w:r>
              <w:rPr>
                <w:rFonts w:ascii="Palatino Linotype" w:hAnsi="Palatino Linotype"/>
                <w:sz w:val="24"/>
                <w:szCs w:val="24"/>
                <w:lang w:bidi="en-US"/>
              </w:rPr>
              <w:t>Serum contains 90% water</w:t>
            </w:r>
          </w:p>
        </w:tc>
        <w:tc>
          <w:tcPr>
            <w:tcW w:w="2832" w:type="dxa"/>
          </w:tcPr>
          <w:p w14:paraId="49C1AA8E" w14:textId="49D0E3EC" w:rsidR="009177B7" w:rsidRDefault="00650A6F" w:rsidP="009177B7">
            <w:pPr>
              <w:spacing w:line="360" w:lineRule="auto"/>
              <w:jc w:val="center"/>
              <w:rPr>
                <w:rFonts w:ascii="Palatino Linotype" w:hAnsi="Palatino Linotype"/>
                <w:sz w:val="24"/>
                <w:szCs w:val="24"/>
                <w:lang w:bidi="en-US"/>
              </w:rPr>
            </w:pPr>
            <w:r>
              <w:rPr>
                <w:rFonts w:ascii="Palatino Linotype" w:hAnsi="Palatino Linotype"/>
                <w:sz w:val="24"/>
                <w:szCs w:val="24"/>
                <w:lang w:bidi="en-US"/>
              </w:rPr>
              <w:t>Plasma contains 92-95% of water</w:t>
            </w:r>
          </w:p>
        </w:tc>
      </w:tr>
      <w:tr w:rsidR="009177B7" w14:paraId="638262C7" w14:textId="77777777" w:rsidTr="00492F11">
        <w:trPr>
          <w:jc w:val="center"/>
        </w:trPr>
        <w:tc>
          <w:tcPr>
            <w:tcW w:w="2831" w:type="dxa"/>
          </w:tcPr>
          <w:p w14:paraId="168BF087" w14:textId="69EA4648" w:rsidR="009177B7" w:rsidRDefault="009177B7"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Cell arrangement</w:t>
            </w:r>
          </w:p>
        </w:tc>
        <w:tc>
          <w:tcPr>
            <w:tcW w:w="2831" w:type="dxa"/>
          </w:tcPr>
          <w:p w14:paraId="119732C1" w14:textId="0C879863" w:rsidR="009177B7" w:rsidRDefault="00650A6F"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Due to clot formation, cells are usually attached together</w:t>
            </w:r>
          </w:p>
        </w:tc>
        <w:tc>
          <w:tcPr>
            <w:tcW w:w="2832" w:type="dxa"/>
          </w:tcPr>
          <w:p w14:paraId="7082C311" w14:textId="208AEB9F" w:rsidR="009177B7" w:rsidRDefault="00650A6F"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Cells are not attached together but are suspended in plasma</w:t>
            </w:r>
          </w:p>
        </w:tc>
      </w:tr>
      <w:tr w:rsidR="009177B7" w14:paraId="56A90D24" w14:textId="77777777" w:rsidTr="00492F11">
        <w:trPr>
          <w:jc w:val="center"/>
        </w:trPr>
        <w:tc>
          <w:tcPr>
            <w:tcW w:w="2831" w:type="dxa"/>
          </w:tcPr>
          <w:p w14:paraId="1C145306" w14:textId="6C12D03E" w:rsidR="009177B7" w:rsidRDefault="009177B7"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Volume in blood</w:t>
            </w:r>
          </w:p>
        </w:tc>
        <w:tc>
          <w:tcPr>
            <w:tcW w:w="2831" w:type="dxa"/>
          </w:tcPr>
          <w:p w14:paraId="52C1C1C7" w14:textId="1E16E3C2" w:rsidR="009177B7" w:rsidRDefault="00650A6F"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Volume is less in comparison to plasma</w:t>
            </w:r>
          </w:p>
        </w:tc>
        <w:tc>
          <w:tcPr>
            <w:tcW w:w="2832" w:type="dxa"/>
          </w:tcPr>
          <w:p w14:paraId="6E33DCC3" w14:textId="5F120070" w:rsidR="009177B7" w:rsidRDefault="00650A6F" w:rsidP="00492F11">
            <w:pPr>
              <w:spacing w:line="360" w:lineRule="auto"/>
              <w:jc w:val="center"/>
              <w:rPr>
                <w:rFonts w:ascii="Palatino Linotype" w:hAnsi="Palatino Linotype"/>
                <w:sz w:val="24"/>
                <w:szCs w:val="24"/>
                <w:lang w:bidi="en-US"/>
              </w:rPr>
            </w:pPr>
            <w:r>
              <w:rPr>
                <w:rFonts w:ascii="Palatino Linotype" w:hAnsi="Palatino Linotype"/>
                <w:sz w:val="24"/>
                <w:szCs w:val="24"/>
                <w:lang w:bidi="en-US"/>
              </w:rPr>
              <w:t>55% of total blood volume</w:t>
            </w:r>
          </w:p>
        </w:tc>
      </w:tr>
      <w:tr w:rsidR="009177B7" w14:paraId="576813CD" w14:textId="77777777" w:rsidTr="009177B7">
        <w:trPr>
          <w:jc w:val="center"/>
        </w:trPr>
        <w:tc>
          <w:tcPr>
            <w:tcW w:w="2831" w:type="dxa"/>
          </w:tcPr>
          <w:p w14:paraId="050D9767" w14:textId="6A36C01A" w:rsidR="009177B7" w:rsidRDefault="009177B7" w:rsidP="009177B7">
            <w:pPr>
              <w:spacing w:line="360" w:lineRule="auto"/>
              <w:jc w:val="center"/>
              <w:rPr>
                <w:rFonts w:ascii="Palatino Linotype" w:hAnsi="Palatino Linotype"/>
                <w:sz w:val="24"/>
                <w:szCs w:val="24"/>
                <w:lang w:bidi="en-US"/>
              </w:rPr>
            </w:pPr>
            <w:r>
              <w:rPr>
                <w:rFonts w:ascii="Palatino Linotype" w:hAnsi="Palatino Linotype"/>
                <w:sz w:val="24"/>
                <w:szCs w:val="24"/>
                <w:lang w:bidi="en-US"/>
              </w:rPr>
              <w:t>Storage</w:t>
            </w:r>
          </w:p>
        </w:tc>
        <w:tc>
          <w:tcPr>
            <w:tcW w:w="2831" w:type="dxa"/>
          </w:tcPr>
          <w:p w14:paraId="75760981" w14:textId="5C345A63" w:rsidR="009177B7" w:rsidRDefault="00E97047" w:rsidP="009177B7">
            <w:pPr>
              <w:spacing w:line="360" w:lineRule="auto"/>
              <w:jc w:val="center"/>
              <w:rPr>
                <w:rFonts w:ascii="Palatino Linotype" w:hAnsi="Palatino Linotype"/>
                <w:sz w:val="24"/>
                <w:szCs w:val="24"/>
                <w:lang w:bidi="en-US"/>
              </w:rPr>
            </w:pPr>
            <w:r>
              <w:rPr>
                <w:rFonts w:ascii="Palatino Linotype" w:hAnsi="Palatino Linotype"/>
                <w:sz w:val="24"/>
                <w:szCs w:val="24"/>
                <w:lang w:bidi="en-US"/>
              </w:rPr>
              <w:t xml:space="preserve">Serum can be stored </w:t>
            </w:r>
            <w:r w:rsidR="00650A6F">
              <w:rPr>
                <w:rFonts w:ascii="Palatino Linotype" w:hAnsi="Palatino Linotype"/>
                <w:sz w:val="24"/>
                <w:szCs w:val="24"/>
                <w:lang w:bidi="en-US"/>
              </w:rPr>
              <w:t>at 2-6</w:t>
            </w:r>
            <w:r w:rsidR="00650A6F" w:rsidRPr="00492F11">
              <w:rPr>
                <w:rFonts w:ascii="Palatino Linotype" w:hAnsi="Palatino Linotype"/>
                <w:sz w:val="24"/>
                <w:szCs w:val="24"/>
                <w:vertAlign w:val="superscript"/>
                <w:lang w:bidi="en-US"/>
              </w:rPr>
              <w:t>O</w:t>
            </w:r>
            <w:r w:rsidR="00650A6F">
              <w:rPr>
                <w:rFonts w:ascii="Palatino Linotype" w:hAnsi="Palatino Linotype"/>
                <w:sz w:val="24"/>
                <w:szCs w:val="24"/>
                <w:lang w:bidi="en-US"/>
              </w:rPr>
              <w:t>C for several days</w:t>
            </w:r>
          </w:p>
        </w:tc>
        <w:tc>
          <w:tcPr>
            <w:tcW w:w="2832" w:type="dxa"/>
          </w:tcPr>
          <w:p w14:paraId="4C5797D1" w14:textId="66B83478" w:rsidR="009177B7" w:rsidRDefault="00E97047" w:rsidP="009177B7">
            <w:pPr>
              <w:spacing w:line="360" w:lineRule="auto"/>
              <w:jc w:val="center"/>
              <w:rPr>
                <w:rFonts w:ascii="Palatino Linotype" w:hAnsi="Palatino Linotype"/>
                <w:sz w:val="24"/>
                <w:szCs w:val="24"/>
                <w:lang w:bidi="en-US"/>
              </w:rPr>
            </w:pPr>
            <w:r>
              <w:rPr>
                <w:rFonts w:ascii="Palatino Linotype" w:hAnsi="Palatino Linotype"/>
                <w:sz w:val="24"/>
                <w:szCs w:val="24"/>
                <w:lang w:bidi="en-US"/>
              </w:rPr>
              <w:t>Frozen plasma can be stored for up to one year</w:t>
            </w:r>
          </w:p>
        </w:tc>
      </w:tr>
    </w:tbl>
    <w:p w14:paraId="1500261A" w14:textId="77777777" w:rsidR="00D2057F" w:rsidRPr="005B1CCB" w:rsidRDefault="00D2057F" w:rsidP="007A2718">
      <w:pPr>
        <w:spacing w:line="360" w:lineRule="auto"/>
        <w:jc w:val="both"/>
        <w:rPr>
          <w:rFonts w:ascii="Palatino Linotype" w:hAnsi="Palatino Linotype"/>
          <w:sz w:val="24"/>
          <w:szCs w:val="24"/>
          <w:lang w:bidi="en-US"/>
        </w:rPr>
      </w:pPr>
    </w:p>
    <w:p w14:paraId="41C26114" w14:textId="77777777" w:rsidR="0016033F" w:rsidRPr="005B1CCB" w:rsidRDefault="00E267EB" w:rsidP="0016033F">
      <w:pPr>
        <w:pStyle w:val="Heading4"/>
        <w:jc w:val="both"/>
        <w:rPr>
          <w:lang w:bidi="en-US"/>
        </w:rPr>
      </w:pPr>
      <w:r w:rsidRPr="005B1CCB">
        <w:rPr>
          <w:lang w:bidi="en-US"/>
        </w:rPr>
        <w:t xml:space="preserve">Urine </w:t>
      </w:r>
    </w:p>
    <w:p w14:paraId="5913077E" w14:textId="0578C36B" w:rsidR="00E267EB" w:rsidRPr="005B1CCB" w:rsidRDefault="004569A7" w:rsidP="0016033F">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E267EB" w:rsidRPr="005B1CCB">
        <w:rPr>
          <w:rFonts w:ascii="Palatino Linotype" w:hAnsi="Palatino Linotype"/>
          <w:sz w:val="24"/>
          <w:szCs w:val="24"/>
          <w:lang w:bidi="en-US"/>
        </w:rPr>
        <w:t xml:space="preserve">Urine biomarkers </w:t>
      </w:r>
      <w:r w:rsidR="00014E06" w:rsidRPr="005B1CCB">
        <w:rPr>
          <w:rFonts w:ascii="Palatino Linotype" w:hAnsi="Palatino Linotype"/>
          <w:sz w:val="24"/>
          <w:szCs w:val="24"/>
          <w:lang w:bidi="en-US"/>
        </w:rPr>
        <w:t>may effectively capture the tumour burden in</w:t>
      </w:r>
      <w:r w:rsidR="00265339" w:rsidRPr="005B1CCB">
        <w:rPr>
          <w:rFonts w:ascii="Palatino Linotype" w:hAnsi="Palatino Linotype"/>
          <w:sz w:val="24"/>
          <w:szCs w:val="24"/>
          <w:lang w:bidi="en-US"/>
        </w:rPr>
        <w:t xml:space="preserve"> </w:t>
      </w:r>
      <w:r w:rsidR="00014E06" w:rsidRPr="005B1CCB">
        <w:rPr>
          <w:rFonts w:ascii="Palatino Linotype" w:hAnsi="Palatino Linotype"/>
          <w:sz w:val="24"/>
          <w:szCs w:val="24"/>
          <w:lang w:bidi="en-US"/>
        </w:rPr>
        <w:t xml:space="preserve">a given patient and </w:t>
      </w:r>
      <w:r w:rsidR="00E267EB" w:rsidRPr="005B1CCB">
        <w:rPr>
          <w:rFonts w:ascii="Palatino Linotype" w:hAnsi="Palatino Linotype"/>
          <w:sz w:val="24"/>
          <w:szCs w:val="24"/>
          <w:lang w:bidi="en-US"/>
        </w:rPr>
        <w:t xml:space="preserve">were first used in liquid biopsy in 1856 </w:t>
      </w:r>
      <w:r w:rsidR="00E26B85" w:rsidRPr="005B1CCB">
        <w:rPr>
          <w:rFonts w:ascii="Palatino Linotype" w:hAnsi="Palatino Linotype"/>
          <w:sz w:val="24"/>
          <w:szCs w:val="24"/>
          <w:lang w:bidi="en-US"/>
        </w:rPr>
        <w:t xml:space="preserve">by Lambl </w:t>
      </w:r>
      <w:r w:rsidR="00E26B8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{"citationItems":[{"id":"ITEM-1","itemData":{"DOI":"10.1016/B978-0-12-809939-1.00006-0","ISBN":"9780128099407","abstract":"Bladder cancer requires a close monitoring due to frequent recurrence. However, monitoring currently depends on urine cytology and cystoscopy. The contact between bladder tumors and urine suggests that urine should be a valuable source of biomarkers for diagnosis of bladder cancer. However, only a limited number of biomarkers have yet been used in clinical practice. Urinary cytology is undoubtedly effective for the detection of urothelial carcinomas, especially in high-grade cancer, but it has inherited limitation about the lower sensitivity. Other urinary biomarker assays that can be carried out in the clinic or laboratory each have strengths and weaknesses, and further validation will be needed before they can replace or fully complement urinary cytology. For routine use, these assays should reach quality criteria established by guidelines for the development of accurate biomarker tests. Therefore urologists and scientists should contribute to the standardization of detection techniques and conduct prospective randomized trials to determine the most appropriate urinary biomarkers for the detection of bladder cancer.","author":[{"dropping-particle":"","family":"Lee","given":"Ok Jun","non-dropping-particle":"","parse-names":false,"suffix":""},{"dropping-particle":"","family":"Kang","given":"Ho Won","non-dropping-particle":"","parse-names":false,"suffix":""},{"dropping-particle":"","family":"Yun","given":"Seok Joong","non-dropping-particle":"","parse-names":false,"suffix":""}],"container-title":"Bladder Cancer","id":"ITEM-1","issued":{"date-parts":[["2018"]]},"number-of-pages":"67-81","publisher":"Elsevier Inc.","title":"Urine Cytology and Urinary Biomarkers","type":"book"},"uris":["http://www.mendeley.com/documents/?uuid=c79da0f3-bc13-4b94-8d0f-5ba5d9d24d54"]}],"mendeley":{"formattedCitation":"[62]","plainTextFormattedCitation":"[62]","previouslyFormattedCitation":"[62]"},"properties":{"noteIndex":0},"schema":"https://github.com/citation-style-language/schema/raw/master/csl-citation.json"}</w:instrText>
      </w:r>
      <w:r w:rsidR="00E26B8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[62]</w:t>
      </w:r>
      <w:r w:rsidR="00E26B85" w:rsidRPr="005B1CCB">
        <w:rPr>
          <w:rFonts w:ascii="Palatino Linotype" w:hAnsi="Palatino Linotype"/>
          <w:sz w:val="24"/>
          <w:szCs w:val="24"/>
          <w:lang w:bidi="en-US"/>
        </w:rPr>
        <w:fldChar w:fldCharType="end"/>
      </w:r>
      <w:r w:rsidR="00E267EB" w:rsidRPr="005B1CCB">
        <w:rPr>
          <w:rFonts w:ascii="Palatino Linotype" w:hAnsi="Palatino Linotype"/>
          <w:sz w:val="24"/>
          <w:szCs w:val="24"/>
          <w:lang w:bidi="en-US"/>
        </w:rPr>
        <w:t xml:space="preserve"> while urine cytology became routine in urological cancer diagnosis in 1945. As urine cytology requires skilled practitioners to achieve acceptable diagnostic accuracy, emergence of new urine-based liquid biopsy tests based on new biomarkers </w:t>
      </w:r>
      <w:r w:rsidR="001E7B59" w:rsidRPr="005B1CCB">
        <w:rPr>
          <w:rFonts w:ascii="Palatino Linotype" w:hAnsi="Palatino Linotype"/>
          <w:sz w:val="24"/>
          <w:szCs w:val="24"/>
          <w:lang w:bidi="en-US"/>
        </w:rPr>
        <w:t>is proving</w:t>
      </w:r>
      <w:r w:rsidR="00E267EB" w:rsidRPr="005B1CCB">
        <w:rPr>
          <w:rFonts w:ascii="Palatino Linotype" w:hAnsi="Palatino Linotype"/>
          <w:sz w:val="24"/>
          <w:szCs w:val="24"/>
          <w:lang w:bidi="en-US"/>
        </w:rPr>
        <w:t xml:space="preserve"> to be promising especially in the non-invasive diagnosis of cancers like bladder cancer </w:t>
      </w:r>
      <w:r w:rsidR="0041089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{"citationItems":[{"id":"ITEM-1","itemData":{"DOI":"10.2147/RRU.S148429","ISSN":"2253-2447","abstract":"INTRODUCTION: Screening for bladder cancer in patients with neurogenic lower urinary tract dysfunction is a challenge. Cystoscopy alone is not sufficient to detect bladder tumors in this patient group. We investigated the usefulness of combined cystoscopy and urine cytology. MATERIALS AND METHODS: By a systematic chart review, we identified all patients with neurogenic lower urinary tract dysfunction who underwent combined cystoscopy and urine cytology testing. In patients with suspicious findings either in cytology or cystoscopy, transurethral resection was performed. RESULTS: Seventy-nine patients (age 54.8±14.3 years, 38 female, 41 male) were identified; 44 of these used indwelling catheters. Cystoscopy was suspicious in 25 patients and cytology was suspicious in 17 patients. Histologically, no tumor was found in 15 patients and bladder cancer was found in 6 patients. Sensitivity for both cytology and cystoscopy was 83.3%; specificity was 43.7% for cytology and 31.2% for cystoscopy. One bladder tumor was missed by cytology and three tumors were missed by cystoscopy. If a biopsy was taken only if both findings were suspicious, four patients would have been spared the procedure, and one tumor would not have been diagnosed. CONCLUSION: A combination of cystoscopy and urine cytology can improve bladder tumor detection rates and lower the number of unnecessary biopsies.","author":[{"dropping-particle":"","family":"Pannek","given":"Jürgen","non-dropping-particle":"","parse-names":false,"suffix":""},{"dropping-particle":"","family":"Rademacher","given":"Franziska","non-dropping-particle":"","parse-names":false,"suffix":""},{"dropping-particle":"","family":"Wöllner","given":"Jens","non-dropping-particle":"","parse-names":false,"suffix":""}],"container-title":"Research and reports in urology","id":"ITEM-1","issued":{"date-parts":[["2017","12","1"]]},"language":"eng","page":"219-223","publisher":"Dove Medical Press","title":"Clinical usefulness of urine cytology in the detection of bladder tumors in patients with neurogenic lower urinary tract dysfunction","type":"article-journal","volume":"9"},"uris":["http://www.mendeley.com/documents/?uuid=08681005-f5de-4aad-b38c-2ac8d7ead8be"]}],"mendeley":{"formattedCitation":"[63]","plainTextFormattedCitation":"[63]","previouslyFormattedCitation":"[63]"},"properties":{"noteIndex":0},"schema":"https://github.com/citation-style-language/schema/raw/master/csl-citation.json"}</w:instrText>
      </w:r>
      <w:r w:rsidR="0041089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[63]</w:t>
      </w:r>
      <w:r w:rsidR="00410897" w:rsidRPr="005B1CCB">
        <w:rPr>
          <w:rFonts w:ascii="Palatino Linotype" w:hAnsi="Palatino Linotype"/>
          <w:sz w:val="24"/>
          <w:szCs w:val="24"/>
          <w:lang w:bidi="en-US"/>
        </w:rPr>
        <w:fldChar w:fldCharType="end"/>
      </w:r>
      <w:r w:rsidR="00410897" w:rsidRPr="005B1CCB">
        <w:rPr>
          <w:rFonts w:ascii="Palatino Linotype" w:hAnsi="Palatino Linotype"/>
          <w:sz w:val="24"/>
          <w:szCs w:val="24"/>
          <w:lang w:bidi="en-US"/>
        </w:rPr>
        <w:t xml:space="preserve"> </w:t>
      </w:r>
      <w:r w:rsidR="0041089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{"citationItems":[{"id":"ITEM-1","itemData":{"DOI":"10.1309/AJCPPRZLG9KT9AXL","ISSN":"00029173","PMID":"19846822","abstract":"The \"atypical urothelial cell\" cytologic category is nonstandardized. We subclassify atypical cases to \"atypical, favor a reactive process\" or \"atypical, unclear if reactive or neoplastic.\" We evaluated the predictive significance of atypical cases by looking at their histologic follow-up. Among the 1,114 patients and 3,261 specimens included, 282 specimens had histologic follow-up. An atypical diagnosis did not carry a significant increased risk of urothelial neoplasia compared with the benign category. Although an \"atypical unclear\" diagnosis carried a higher rate of detection of high-grade cancer on follow-up biopsy in comparison with \"atypical reactive\" or \"negative\" diagnoses (26/58 [45%] vs 15/52 [29%] and 16/103 [15.5%], respectively), this difference was not statistically significant. These results suggest that dividing atypical cases into 2 categories based on the level of cytologic suspicion of cancer does not add clinically relevant information within the atypical category. They also raise the question of the significance of the atypical category altogether. © American Society for Clinical Pathology.","author":[{"dropping-particle":"","family":"Brimo","given":"Fadi","non-dropping-particle":"","parse-names":false,"suffix":""},{"dropping-particle":"","family":"Vollmer","given":"Robin T.","non-dropping-particle":"","parse-names":false,"suffix":""},{"dropping-particle":"","family":"Case","given":"Bruce","non-dropping-particle":"","parse-names":false,"suffix":""},{"dropping-particle":"","family":"Aprikian","given":"Armen","non-dropping-particle":"","parse-names":false,"suffix":""},{"dropping-particle":"","family":"Kassouf","given":"Wassim","non-dropping-particle":"","parse-names":false,"suffix":""},{"dropping-particle":"","family":"Auger","given":"Manon","non-dropping-particle":"","parse-names":false,"suffix":""}],"container-title":"American Journal of Clinical Pathology","id":"ITEM-1","issue":"5","issued":{"date-parts":[["2009"]]},"page":"785-793","title":"Accuracy of urine cytology and the significance of an atypical category","type":"article-journal","volume":"132"},"uris":["http://www.mendeley.com/documents/?uuid=1ad4aa22-4786-4308-aaee-22d7cc7bcf50"]}],"mendeley":{"formattedCitation":"[64]","plainTextFormattedCitation":"[64]","previouslyFormattedCitation":"[64]"},"properties":{"noteIndex":0},"schema":"https://github.com/citation-style-language/schema/raw/master/csl-citation.json"}</w:instrText>
      </w:r>
      <w:r w:rsidR="0041089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[64]</w:t>
      </w:r>
      <w:r w:rsidR="00410897" w:rsidRPr="005B1CCB">
        <w:rPr>
          <w:rFonts w:ascii="Palatino Linotype" w:hAnsi="Palatino Linotype"/>
          <w:sz w:val="24"/>
          <w:szCs w:val="24"/>
          <w:lang w:bidi="en-US"/>
        </w:rPr>
        <w:fldChar w:fldCharType="end"/>
      </w:r>
      <w:r w:rsidR="00E267EB" w:rsidRPr="005B1CCB">
        <w:rPr>
          <w:rFonts w:ascii="Palatino Linotype" w:hAnsi="Palatino Linotype"/>
          <w:sz w:val="24"/>
          <w:szCs w:val="24"/>
          <w:lang w:bidi="en-US"/>
        </w:rPr>
        <w:t xml:space="preserve">.  </w:t>
      </w:r>
      <w:r w:rsidR="00E267EB" w:rsidRPr="00E27313">
        <w:rPr>
          <w:rFonts w:ascii="Palatino Linotype" w:hAnsi="Palatino Linotype"/>
          <w:sz w:val="24"/>
          <w:szCs w:val="24"/>
          <w:lang w:bidi="en-US"/>
        </w:rPr>
        <w:t>An example of an important and stable urine biomarker used in cancer detection is MCM5 which is critical for DNA replication as all cancers requires MCM5 for cell division</w:t>
      </w:r>
      <w:r w:rsidR="00E267EB" w:rsidRPr="005B1CCB">
        <w:rPr>
          <w:rFonts w:ascii="Palatino Linotype" w:hAnsi="Palatino Linotype"/>
          <w:sz w:val="24"/>
          <w:szCs w:val="24"/>
          <w:lang w:bidi="en-US"/>
        </w:rPr>
        <w:t xml:space="preserve"> </w:t>
      </w:r>
      <w:r w:rsidR="00B32E9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{"citationItems":[{"id":"ITEM-1","itemData":{"DOI":"10.1186/s12885-020-07468-y","ISSN":"1471-2407","abstract":"MCM5 is a protein involved in DNA replication, facilitating cell proliferation. In normal epithelium MCM5 expression is restricted to the cells in the basal proliferative compartments, however in the presence of a tumour MCM5 positive cells are present at the surface epithelium and are shed into bodily fluids. The aim of this study was to determine the sensitivity of MCM5 as a biomarker for the detection of endometrial and ovarian cancer.","author":[{"dropping-particle":"","family":"Stockley","given":"J","non-dropping-particle":"","parse-names":false,"suffix":""},{"dropping-particle":"","family":"Akhand","given":"R","non-dropping-particle":"","parse-names":false,"suffix":""},{"dropping-particle":"","family":"Kennedy","given":"A","non-dropping-particle":"","parse-names":false,"suffix":""},{"dropping-particle":"","family":"Nyberg","given":"C","non-dropping-particle":"","parse-names":false,"suffix":""},{"dropping-particle":"","family":"Crosbie","given":"E J","non-dropping-particle":"","parse-names":false,"suffix":""},{"dropping-particle":"","family":"Edmondson","given":"R J","non-dropping-particle":"","parse-names":false,"suffix":""}],"container-title":"BMC Cancer","id":"ITEM-1","issue":"1","issued":{"date-parts":[["2020"]]},"page":"1000","title":"Detection of MCM5 as a novel non-invasive aid for the diagnosis of endometrial and ovarian tumours","type":"article-journal","volume":"20"},"uris":["http://www.mendeley.com/documents/?uuid=acba1e13-0427-4823-a708-c7fbfc789eba"]}],"mendeley":{"formattedCitation":"[65]","plainTextFormattedCitation":"[65]","previouslyFormattedCitation":"[65]"},"properties":{"noteIndex":0},"schema":"https://github.com/citation-style-language/schema/raw/master/csl-citation.json"}</w:instrText>
      </w:r>
      <w:r w:rsidR="00B32E9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[65]</w:t>
      </w:r>
      <w:r w:rsidR="00B32E9A" w:rsidRPr="005B1CCB">
        <w:rPr>
          <w:rFonts w:ascii="Palatino Linotype" w:hAnsi="Palatino Linotype"/>
          <w:sz w:val="24"/>
          <w:szCs w:val="24"/>
          <w:lang w:bidi="en-US"/>
        </w:rPr>
        <w:fldChar w:fldCharType="end"/>
      </w:r>
      <w:r w:rsidR="00316ACE" w:rsidRPr="005B1CCB">
        <w:rPr>
          <w:rFonts w:ascii="Palatino Linotype" w:hAnsi="Palatino Linotype"/>
          <w:sz w:val="24"/>
          <w:szCs w:val="24"/>
          <w:lang w:bidi="en-US"/>
        </w:rPr>
        <w:t>.</w:t>
      </w:r>
      <w:r w:rsidR="00E267EB" w:rsidRPr="005B1CCB">
        <w:rPr>
          <w:rFonts w:ascii="Palatino Linotype" w:hAnsi="Palatino Linotype"/>
          <w:sz w:val="24"/>
          <w:szCs w:val="24"/>
          <w:lang w:bidi="en-US"/>
        </w:rPr>
        <w:t xml:space="preserve"> The presence of </w:t>
      </w:r>
      <w:r w:rsidR="00E267EB" w:rsidRPr="00E27313">
        <w:rPr>
          <w:rFonts w:ascii="Palatino Linotype" w:hAnsi="Palatino Linotype"/>
          <w:sz w:val="24"/>
          <w:szCs w:val="24"/>
          <w:lang w:bidi="en-US"/>
        </w:rPr>
        <w:t>MCM5 can aid in the detection of bladder cancer in patients</w:t>
      </w:r>
      <w:r w:rsidR="00E267EB" w:rsidRPr="005B1CCB">
        <w:rPr>
          <w:rFonts w:ascii="Palatino Linotype" w:hAnsi="Palatino Linotype"/>
          <w:sz w:val="24"/>
          <w:szCs w:val="24"/>
          <w:lang w:bidi="en-US"/>
        </w:rPr>
        <w:t xml:space="preserve"> presenting with haematuria </w:t>
      </w:r>
      <w:r w:rsidR="00B233A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{"citationItems":[{"id":"ITEM-1","itemData":{"DOI":"10.1097/JU.0000000000001084","ISBN":"0000000000","ISSN":"15273792","PMID":"32314931","abstract":"PURPOSE: Detection of MCM5 containing cells in urine has been shown to be indicative of the presence of a bladder tumor on primary diagnosis. In this study we evaluate diagnostic performance of ADXBLADDER in patients undergoing cystoscopic surveillance in nonmuscle invasive bladder cancer followup. MATERIALS AND METHODS: A multicenter prospective blinded study was performed at 21 European centers with patients undergoing cystoscopy for nonmuscle invasive bladder cancer surveillance, diagnosed in the preceding 2 years. Urine was collected from all eligible patients and ADXBLADDER-MCM5 testing was performed. Performance characteristics were calculated by comparing MCM5 results to the outcome of cystoscopy plus pathological assessment. RESULTS: Of 1,431 eligible patients enrolled 127 were diagnosed with a bladder cancer recurrence. The overall sensitivity for the ADXBLADDER-MCM5 test in detecting bladder cancer recurrence was 44.9% (95% CI 36.1-54) with a 75.6% sensitivity for nonpTaLG tumors (95% CI 59.7-87.6). Specificity was 71.1% (95% CI 68.5-73.5). The overall negative predictive value was 93% (95% CI 91.2-94.5). However, ADXBLADDER was able to rule out the presence of a nonpTaLG recurrent tumor with a negative predictive value of 99.0% (95% CI 98.2-99.5). No statistically significant differences in the performance of ADXBLADDER were observed as a result of age or sex. CONCLUSIONS: This large blinded prospective study demonstrates that in the followup of patients with nonmuscle invasive bladder cancer ADXBLADDER is able to exclude the presence of the most aggressive tumors with a negative predictive value of 99%. These results indicate that ADXBLADDER could be incorporated in the followup strategy of nonmuscle invasive bladder cancer.","author":[{"dropping-particle":"","family":"Roupret","given":"Morgan","non-dropping-particle":"","parse-names":false,"suffix":""},{"dropping-particle":"","family":"Gontero","given":"Paolo","non-dropping-particle":"","parse-names":false,"suffix":""},{"dropping-particle":"","family":"McCracken","given":"Stuart R.C.","non-dropping-particle":"","parse-names":false,"suffix":""},{"dropping-particle":"","family":"Dudderidge","given":"Tim","non-dropping-particle":"","parse-names":false,"suffix":""},{"dropping-particle":"","family":"Stockley","given":"Jacqueline","non-dropping-particle":"","parse-names":false,"suffix":""},{"dropping-particle":"","family":"Kennedy","given":"Ashleigh","non-dropping-particle":"","parse-names":false,"suffix":""},{"dropping-particle":"","family":"Rodriguez","given":"Oscar","non-dropping-particle":"","parse-names":false,"suffix":""},{"dropping-particle":"","family":"Sieverink","given":"Caroline","non-dropping-particle":"","parse-names":false,"suffix":""},{"dropping-particle":"","family":"Vanié","given":"Felicien","non-dropping-particle":"","parse-names":false,"suffix":""},{"dropping-particle":"","family":"Allasia","given":"Marco","non-dropping-particle":"","parse-names":false,"suffix":""},{"dropping-particle":"","family":"Witjes","given":"J. Alfred","non-dropping-particle":"","parse-names":false,"suffix":""},{"dropping-particle":"","family":"Colombel","given":"Marc","non-dropping-particle":"","parse-names":false,"suffix":""},{"dropping-particle":"","family":"Sylvester","given":"Richard","non-dropping-particle":"","parse-names":false,"suffix":""},{"dropping-particle":"","family":"Longo","given":"Fabrizio","non-dropping-particle":"","parse-names":false,"suffix":""},{"dropping-particle":"","family":"Montanari","given":"Emanuele","non-dropping-particle":"","parse-names":false,"suffix":""},{"dropping-particle":"","family":"Palou","given":"Joan","non-dropping-particle":"","parse-names":false,"suffix":""}],"container-title":"The Journal of urology","id":"ITEM-1","issue":"4","issued":{"date-parts":[["2020"]]},"page":"685-690","title":"Diagnostic Accuracy of MCM5 for the Detection of Recurrence in Nonmuscle Invasive Bladder Cancer Followup: A Blinded, Prospective Cohort, Multicenter European Study","type":"article-journal","volume":"204"},"uris":["http://www.mendeley.com/documents/?uuid=e01411c7-d0fa-48c1-a036-ea339613c069"]}],"mendeley":{"formattedCitation":"[66]","plainTextFormattedCitation":"[66]","previouslyFormattedCitation":"[66]"},"properties":{"noteIndex":0},"schema":"https://github.com/citation-style-language/schema/raw/master/csl-citation.json"}</w:instrText>
      </w:r>
      <w:r w:rsidR="00B233A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[66]</w:t>
      </w:r>
      <w:r w:rsidR="00B233AD" w:rsidRPr="005B1CCB">
        <w:rPr>
          <w:rFonts w:ascii="Palatino Linotype" w:hAnsi="Palatino Linotype"/>
          <w:sz w:val="24"/>
          <w:szCs w:val="24"/>
          <w:lang w:bidi="en-US"/>
        </w:rPr>
        <w:fldChar w:fldCharType="end"/>
      </w:r>
      <w:r w:rsidR="00E267EB" w:rsidRPr="005B1CCB">
        <w:rPr>
          <w:rFonts w:ascii="Palatino Linotype" w:hAnsi="Palatino Linotype"/>
          <w:sz w:val="24"/>
          <w:szCs w:val="24"/>
          <w:lang w:bidi="en-US"/>
        </w:rPr>
        <w:t xml:space="preserve"> and also in monitoring cancer patients during follow-up </w:t>
      </w:r>
      <w:r w:rsidR="00CE1CA9"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{"citationItems":[{"id":"ITEM-1","itemData":{"DOI":"10.3233/CBM-200316","ISSN":"1875-8592","abstract":"BACKGROUND: Mini Chromosome Maintenance 5 (MCM5) is considered as a urinary biomarker of bladder cancer. ADXBLADDER is a commercially available test to detect MCM5 antibodies. OBJECTIVE: External validation of ADXBLADDER test as a urinary biomarker of histopathologically confirmed non-muscle invasive bladder cancer (NMIBC) recurrence. METHODS: The study enrolled 119 consecutive patients with a history of NMIBC and 37 healthy volunteers matched as controls. Single, full-void urine samples were collected from patients before cystoscopy ± TUR. To measure MCM5 expression, Arquer Diagnostics ADXBLADDER test was used. The study protocol was registered within the clinical trials database (NCT03796299). RESULTS: Among patients with NMIBC history, recurrence was diagnosed in 83 patients (69.7%). ADXBLADDER demonstrated sensitivity of 73.5% (95% confidence interval (CI) 62.7%–82.6%), specificity of 33.3% (95% CI 18.6% to 51%), overall negative predictive value (NPV) of 35.3% (95% CI 23.3% to 49.5%) and overall positive predictive value of 71.8% (95% CI 66.1% to 76.8%) for detecting recurrence. In a control group, false positive ADXBLADDER results were noticed in 18 patients (48.6%). The sensitivity and NPV were the highest in invasive tumors (100% and 100%, respectively) and in high-grade recurrences (81.8% and 94.1%, respectively). CONCLUSIONS: ADXBLADDER has a moderate sensitivity and poor specificity in detecting NMIBC recurrence. However, it properly diagnoses patients with T1+ stage recurrence or high-grade tumors.","author":[{"dropping-particle":"","family":"Białek","given":"Łukasz","non-dropping-particle":"","parse-names":false,"suffix":""},{"dropping-particle":"","family":"Czerwińska","given":"Katarzyna","non-dropping-particle":"","parse-names":false,"suffix":""},{"dropping-particle":"","family":"Fus","given":"Łukasz","non-dropping-particle":"","parse-names":false,"suffix":""},{"dropping-particle":"","family":"Krajewski","given":"Wojciech","non-dropping-particle":"","parse-names":false,"suffix":""},{"dropping-particle":"","family":"Sadowska","given":"Anna","non-dropping-particle":"","parse-names":false,"suffix":""},{"dropping-particle":"","family":"Radziszewski","given":"Piotr","non-dropping-particle":"","parse-names":false,"suffix":""},{"dropping-particle":"","family":"Dobruch","given":"Jakub","non-dropping-particle":"","parse-names":false,"suffix":""},{"dropping-particle":"","family":"Kryst","given":"Piotr","non-dropping-particle":"","parse-names":false,"suffix":""},{"dropping-particle":"","family":"Poletajew","given":"Sławomir","non-dropping-particle":"","parse-names":false,"suffix":""}],"container-title":"Cancer Biomarkers","id":"ITEM-1","issued":{"date-parts":[["2021"]]},"page":"139-143","publisher":"IOS Press","title":"MCM5 urine expression (ADXBLADDER) is a reliable biomarker of high-risk non- muscle-invasive bladder cancer recurrence: A prospective matched case-control study","type":"article-journal","volume":"30"},"uris":["http://www.mendeley.com/documents/?uuid=1c9597f1-d118-471c-90da-a6002b74ca62"]}],"mendeley":{"formattedCitation":"[67]","plainTextFormattedCitation":"[67]","previouslyFormattedCitation":"[67]"},"properties":{"noteIndex":0},"schema":"https://github.com/citation-style-language/schema/raw/master/csl-citation.json"}</w:instrText>
      </w:r>
      <w:r w:rsidR="00CE1CA9"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[67]</w:t>
      </w:r>
      <w:r w:rsidR="00CE1CA9" w:rsidRPr="005B1CCB">
        <w:rPr>
          <w:rFonts w:ascii="Palatino Linotype" w:hAnsi="Palatino Linotype"/>
          <w:sz w:val="24"/>
          <w:szCs w:val="24"/>
          <w:lang w:bidi="en-US"/>
        </w:rPr>
        <w:fldChar w:fldCharType="end"/>
      </w:r>
      <w:r w:rsidR="00E267EB" w:rsidRPr="005B1CCB">
        <w:rPr>
          <w:rFonts w:ascii="Palatino Linotype" w:hAnsi="Palatino Linotype"/>
          <w:sz w:val="24"/>
          <w:szCs w:val="24"/>
          <w:lang w:bidi="en-US"/>
        </w:rPr>
        <w:t xml:space="preserve">. ADXBLADDER is currently approved for detection of MCM5 protein in Europe </w:t>
      </w:r>
      <w:r w:rsidR="00CE1CA9"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{"citationItems":[{"id":"ITEM-1","itemData":{"DOI":"10.1097/JU.0000000000001084","ISBN":"0000000000","ISSN":"15273792","PMID":"32314931","abstract":"PURPOSE: Detection of MCM5 containing cells in urine has been shown to be indicative of the presence of a bladder tumor on primary diagnosis. In this study we evaluate diagnostic performance of ADXBLADDER in patients undergoing cystoscopic surveillance in nonmuscle invasive bladder cancer followup. MATERIALS AND METHODS: A multicenter prospective blinded study was performed at 21 European centers with patients undergoing cystoscopy for nonmuscle invasive bladder cancer surveillance, diagnosed in the preceding 2 years. Urine was collected from all eligible patients and ADXBLADDER-MCM5 testing was performed. Performance characteristics were calculated by comparing MCM5 results to the outcome of cystoscopy plus pathological assessment. RESULTS: Of 1,431 eligible patients enrolled 127 were diagnosed with a bladder cancer recurrence. The overall sensitivity for the ADXBLADDER-MCM5 test in detecting bladder cancer recurrence was 44.9% (95% CI 36.1-54) with a 75.6% sensitivity for nonpTaLG tumors (95% CI 59.7-87.6). Specificity was 71.1% (95% CI 68.5-73.5). The overall negative predictive value was 93% (95% CI 91.2-94.5). However, ADXBLADDER was able to rule out the presence of a nonpTaLG recurrent tumor with a negative predictive value of 99.0% (95% CI 98.2-99.5). No statistically significant differences in the performance of ADXBLADDER were observed as a result of age or sex. CONCLUSIONS: This large blinded prospective study demonstrates that in the followup of patients with nonmuscle invasive bladder cancer ADXBLADDER is able to exclude the presence of the most aggressive tumors with a negative predictive value of 99%. These results indicate that ADXBLADDER could be incorporated in the followup strategy of nonmuscle invasive bladder cancer.","author":[{"dropping-particle":"","family":"Roupret","given":"Morgan","non-dropping-particle":"","parse-names":false,"suffix":""},{"dropping-particle":"","family":"Gontero","given":"Paolo","non-dropping-particle":"","parse-names":false,"suffix":""},{"dropping-particle":"","family":"McCracken","given":"Stuart R.C.","non-dropping-particle":"","parse-names":false,"suffix":""},{"dropping-particle":"","family":"Dudderidge","given":"Tim","non-dropping-particle":"","parse-names":false,"suffix":""},{"dropping-particle":"","family":"Stockley","given":"Jacqueline","non-dropping-particle":"","parse-names":false,"suffix":""},{"dropping-particle":"","family":"Kennedy","given":"Ashleigh","non-dropping-particle":"","parse-names":false,"suffix":""},{"dropping-particle":"","family":"Rodriguez","given":"Oscar","non-dropping-particle":"","parse-names":false,"suffix":""},{"dropping-particle":"","family":"Sieverink","given":"Caroline","non-dropping-particle":"","parse-names":false,"suffix":""},{"dropping-particle":"","family":"Vanié","given":"Felicien","non-dropping-particle":"","parse-names":false,"suffix":""},{"dropping-particle":"","family":"Allasia","given":"Marco","non-dropping-particle":"","parse-names":false,"suffix":""},{"dropping-particle":"","family":"Witjes","given":"J. Alfred","non-dropping-particle":"","parse-names":false,"suffix":""},{"dropping-particle":"","family":"Colombel","given":"Marc","non-dropping-particle":"","parse-names":false,"suffix":""},{"dropping-particle":"","family":"Sylvester","given":"Richard","non-dropping-particle":"","parse-names":false,"suffix":""},{"dropping-particle":"","family":"Longo","given":"Fabrizio","non-dropping-particle":"","parse-names":false,"suffix":""},{"dropping-particle":"","family":"Montanari","given":"Emanuele","non-dropping-particle":"","parse-names":false,"suffix":""},{"dropping-particle":"","family":"Palou","given":"Joan","non-dropping-particle":"","parse-names":false,"suffix":""}],"container-title":"The Journal of urology","id":"ITEM-1","issue":"4","issued":{"date-parts":[["2020"]]},"page":"685-690","title":"Diagnostic Accuracy of MCM5 for the Detection of Recurrence in Nonmuscle Invasive Bladder Cancer Followup: A Blinded, Prospective Cohort, Multicenter European Study","type":"article-journal","volume":"204"},"uris":["http://www.mendeley.com/documents/?uuid=e01411c7-d0fa-48c1-a036-ea339613c069"]}],"mendeley":{"formattedCitation":"[66]","plainTextFormattedCitation":"[66]","previouslyFormattedCitation":"[66]"},"properties":{"noteIndex":0},"schema":"https://github.com/citation-style-language/schema/raw/master/csl-citation.json"}</w:instrText>
      </w:r>
      <w:r w:rsidR="00CE1CA9"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[66]</w:t>
      </w:r>
      <w:r w:rsidR="00CE1CA9" w:rsidRPr="005B1CCB">
        <w:rPr>
          <w:rFonts w:ascii="Palatino Linotype" w:hAnsi="Palatino Linotype"/>
          <w:sz w:val="24"/>
          <w:szCs w:val="24"/>
          <w:lang w:bidi="en-US"/>
        </w:rPr>
        <w:fldChar w:fldCharType="end"/>
      </w:r>
      <w:r w:rsidR="00F8264D" w:rsidRPr="005B1CCB">
        <w:rPr>
          <w:rFonts w:ascii="Palatino Linotype" w:hAnsi="Palatino Linotype"/>
          <w:sz w:val="24"/>
          <w:szCs w:val="24"/>
          <w:lang w:bidi="en-US"/>
        </w:rPr>
        <w:t xml:space="preserve"> and </w:t>
      </w:r>
      <w:r w:rsidR="00E267EB" w:rsidRPr="005B1CCB">
        <w:rPr>
          <w:rFonts w:ascii="Palatino Linotype" w:hAnsi="Palatino Linotype"/>
          <w:sz w:val="24"/>
          <w:szCs w:val="24"/>
          <w:lang w:bidi="en-US"/>
        </w:rPr>
        <w:t xml:space="preserve">ADXGYNAE is currently being explored for the detection of MCM5 in patients suspected to have endometrial cancer </w:t>
      </w:r>
      <w:r w:rsidR="00AE5EA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{"citationItems":[{"id":"ITEM-1","itemData":{"DOI":"10.1186/s12885-020-07468-y","ISSN":"1471-2407","abstract":"MCM5 is a protein involved in DNA replication, facilitating cell proliferation. In normal epithelium MCM5 expression is restricted to the cells in the basal proliferative compartments, however in the presence of a tumour MCM5 positive cells are present at the surface epithelium and are shed into bodily fluids. The aim of this study was to determine the sensitivity of MCM5 as a biomarker for the detection of endometrial and ovarian cancer.","author":[{"dropping-particle":"","family":"Stockley","given":"J","non-dropping-particle":"","parse-names":false,"suffix":""},{"dropping-particle":"","family":"Akhand","given":"R","non-dropping-particle":"","parse-names":false,"suffix":""},{"dropping-particle":"","family":"Kennedy","given":"A","non-dropping-particle":"","parse-names":false,"suffix":""},{"dropping-particle":"","family":"Nyberg","given":"C","non-dropping-particle":"","parse-names":false,"suffix":""},{"dropping-particle":"","family":"Crosbie","given":"E J","non-dropping-particle":"","parse-names":false,"suffix":""},{"dropping-particle":"","family":"Edmondson","given":"R J","non-dropping-particle":"","parse-names":false,"suffix":""}],"container-title":"BMC Cancer","id":"ITEM-1","issue":"1","issued":{"date-parts":[["2020"]]},"page":"1000","title":"Detection of MCM5 as a novel non-invasive aid for the diagnosis of endometrial and ovarian tumours","type":"article-journal","volume":"20"},"uris":["http://www.mendeley.com/documents/?uuid=acba1e13-0427-4823-a708-c7fbfc789eba"]}],"mendeley":{"formattedCitation":"[65]","plainTextFormattedCitation":"[65]","previouslyFormattedCitation":"[65]"},"properties":{"noteIndex":0},"schema":"https://github.com/citation-style-language/schema/raw/master/csl-citation.json"}</w:instrText>
      </w:r>
      <w:r w:rsidR="00AE5EA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[65]</w:t>
      </w:r>
      <w:r w:rsidR="00AE5EA5" w:rsidRPr="005B1CCB">
        <w:rPr>
          <w:rFonts w:ascii="Palatino Linotype" w:hAnsi="Palatino Linotype"/>
          <w:sz w:val="24"/>
          <w:szCs w:val="24"/>
          <w:lang w:bidi="en-US"/>
        </w:rPr>
        <w:fldChar w:fldCharType="end"/>
      </w:r>
      <w:r w:rsidR="00E267EB" w:rsidRPr="005B1CCB">
        <w:rPr>
          <w:rFonts w:ascii="Palatino Linotype" w:hAnsi="Palatino Linotype"/>
          <w:sz w:val="24"/>
          <w:szCs w:val="24"/>
          <w:lang w:bidi="en-US"/>
        </w:rPr>
        <w:t>.</w:t>
      </w:r>
    </w:p>
    <w:p w14:paraId="4A1354B3" w14:textId="77777777" w:rsidR="00E267EB" w:rsidRPr="005B1CCB" w:rsidRDefault="00E267EB" w:rsidP="00F871EA">
      <w:pPr>
        <w:spacing w:line="360" w:lineRule="auto"/>
        <w:rPr>
          <w:lang w:bidi="en-US"/>
        </w:rPr>
      </w:pPr>
    </w:p>
    <w:p w14:paraId="62A52E64" w14:textId="77777777" w:rsidR="00E267EB" w:rsidRPr="005B1CCB" w:rsidRDefault="00E267EB" w:rsidP="00E267EB">
      <w:pPr>
        <w:pStyle w:val="Heading4"/>
        <w:rPr>
          <w:lang w:bidi="en-US"/>
        </w:rPr>
      </w:pPr>
      <w:r w:rsidRPr="005B1CCB">
        <w:rPr>
          <w:lang w:bidi="en-US"/>
        </w:rPr>
        <w:t xml:space="preserve">Saliva </w:t>
      </w:r>
    </w:p>
    <w:p w14:paraId="532A2AC9" w14:textId="7670F602" w:rsidR="006236A0" w:rsidRPr="005B1CCB" w:rsidRDefault="004569A7" w:rsidP="00492F11">
      <w:pPr>
        <w:spacing w:line="360" w:lineRule="auto"/>
        <w:jc w:val="both"/>
        <w:rPr>
          <w:lang w:bidi="en-US"/>
        </w:rPr>
      </w:pPr>
      <w:r w:rsidRPr="005B1CCB">
        <w:rPr>
          <w:rFonts w:ascii="Palatino Linotype" w:hAnsi="Palatino Linotype"/>
          <w:sz w:val="24"/>
          <w:szCs w:val="24"/>
          <w:lang w:bidi="en-US"/>
        </w:rPr>
        <w:t xml:space="preserve">    </w:t>
      </w:r>
      <w:r w:rsidR="005621F3" w:rsidRPr="005B1CCB">
        <w:rPr>
          <w:rFonts w:ascii="Palatino Linotype" w:hAnsi="Palatino Linotype"/>
          <w:sz w:val="24"/>
          <w:szCs w:val="24"/>
          <w:lang w:bidi="en-US"/>
        </w:rPr>
        <w:t xml:space="preserve">Saliva </w:t>
      </w:r>
      <w:r w:rsidR="0085651A" w:rsidRPr="005B1CCB">
        <w:rPr>
          <w:rFonts w:ascii="Palatino Linotype" w:hAnsi="Palatino Linotype"/>
          <w:sz w:val="24"/>
          <w:szCs w:val="24"/>
          <w:lang w:bidi="en-US"/>
        </w:rPr>
        <w:t xml:space="preserve">is a slightly acidic oral fluid that consists of </w:t>
      </w:r>
      <w:r w:rsidR="004B52CD" w:rsidRPr="005B1CCB">
        <w:rPr>
          <w:rFonts w:ascii="Palatino Linotype" w:hAnsi="Palatino Linotype"/>
          <w:sz w:val="24"/>
          <w:szCs w:val="24"/>
          <w:lang w:bidi="en-US"/>
        </w:rPr>
        <w:t xml:space="preserve">94 </w:t>
      </w:r>
      <w:r w:rsidR="00D2057F" w:rsidRPr="005B1CCB">
        <w:rPr>
          <w:rFonts w:ascii="Palatino Linotype" w:hAnsi="Palatino Linotype"/>
          <w:sz w:val="24"/>
          <w:szCs w:val="24"/>
          <w:lang w:bidi="en-US"/>
        </w:rPr>
        <w:t xml:space="preserve">– </w:t>
      </w:r>
      <w:r w:rsidR="004B52CD" w:rsidRPr="005B1CCB">
        <w:rPr>
          <w:rFonts w:ascii="Palatino Linotype" w:hAnsi="Palatino Linotype"/>
          <w:sz w:val="24"/>
          <w:szCs w:val="24"/>
          <w:lang w:bidi="en-US"/>
        </w:rPr>
        <w:t>99</w:t>
      </w:r>
      <w:r w:rsidR="00D2057F" w:rsidRPr="005B1CCB">
        <w:rPr>
          <w:rFonts w:ascii="Palatino Linotype" w:hAnsi="Palatino Linotype"/>
          <w:sz w:val="24"/>
          <w:szCs w:val="24"/>
          <w:lang w:bidi="en-US"/>
        </w:rPr>
        <w:t xml:space="preserve"> </w:t>
      </w:r>
      <w:r w:rsidR="004B52CD" w:rsidRPr="005B1CCB">
        <w:rPr>
          <w:rFonts w:ascii="Palatino Linotype" w:hAnsi="Palatino Linotype"/>
          <w:sz w:val="24"/>
          <w:szCs w:val="24"/>
          <w:lang w:bidi="en-US"/>
        </w:rPr>
        <w:t xml:space="preserve">% </w:t>
      </w:r>
      <w:r w:rsidR="0085651A" w:rsidRPr="005B1CCB">
        <w:rPr>
          <w:rFonts w:ascii="Palatino Linotype" w:hAnsi="Palatino Linotype"/>
          <w:sz w:val="24"/>
          <w:szCs w:val="24"/>
          <w:lang w:bidi="en-US"/>
        </w:rPr>
        <w:t xml:space="preserve">water, organic and inorganic substances, proteins </w:t>
      </w:r>
      <w:r w:rsidR="00EB0A6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{"citationItems":[{"id":"ITEM-1","itemData":{"DOI":"10.4103/0976-9668.82322","ISSN":"2229-7707","abstract":"Saliva is a complex fluid, which influences oral health through specific and nonspecific physical and chemical properties. The importance of saliva in our everyday activities and the medicinal properties it possesses are often taken for granted. However, when disruptions in the quality or quantity of saliva do occur in an individual, it is likely that he or she will experience detrimental effects on oral and systemic health. Often head and neck radiotherapy has serious and detrimental side effects on the oral cavity including the loss of salivary gland function and a persistent complaint of a dry mouth (xerostomia). Thus, saliva has a myriad of beneficial functions that are essential to our well-being. Although saliva has been extensively investigated as a medium, few laboratories have studied saliva in the context of its role in maintaining oral and general health.","author":[{"dropping-particle":"","family":"Tiwari","given":"Manjul","non-dropping-particle":"","parse-names":false,"suffix":""}],"container-title":"Journal of natural science, biology, and medicine","id":"ITEM-1","issue":"1","issued":{"date-parts":[["2011","1"]]},"language":"eng","page":"53-58","publisher":"Medknow Publications &amp; Media Pvt Ltd","title":"Science behind human saliva","type":"article-journal","volume":"2"},"uris":["http://www.mendeley.com/documents/?uuid=b82067df-0324-4e3e-96e3-f13a5a26fa43"]}],"mendeley":{"formattedCitation":"[68]","plainTextFormattedCitation":"[68]","previouslyFormattedCitation":"[68]"},"properties":{"noteIndex":0},"schema":"https://github.com/citation-style-language/schema/raw/master/csl-citation.json"}</w:instrText>
      </w:r>
      <w:r w:rsidR="00EB0A6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[68]</w:t>
      </w:r>
      <w:r w:rsidR="00EB0A6E" w:rsidRPr="005B1CCB">
        <w:rPr>
          <w:rFonts w:ascii="Palatino Linotype" w:hAnsi="Palatino Linotype"/>
          <w:sz w:val="24"/>
          <w:szCs w:val="24"/>
          <w:lang w:bidi="en-US"/>
        </w:rPr>
        <w:fldChar w:fldCharType="end"/>
      </w:r>
      <w:r w:rsidR="000400D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{"citationItems":[{"id":"ITEM-1","itemData":{"ISSN":"0022-3913","PMID":"11208206","abstract":"An adequate supply of saliva is critical to the preservation and maintenance of oral tissue. Clinicians often do not value the many benefits of saliva until quantities are decreased. Much is written on the subject of salivary hypofunction, but little attention is paid to normal salivary flow and function. This article is a brief, up-to-date overview of the literature on the basics of normal salivary composition, flow, and function. A review of the literature was conducted using MEDLINE and Healthstar (1944 through 1999); articles were selected for inclusion on the basis of relevance and significance to the clinician.","author":[{"dropping-particle":"","family":"Humphrey","given":"Sue P","non-dropping-particle":"","parse-names":false,"suffix":""},{"dropping-particle":"","family":"Williamson","given":"Russell T","non-dropping-particle":"","parse-names":false,"suffix":""}],"container-title":"The Journal of Prosthetic Dentistry","id":"ITEM-1","issue":"2","issued":{"date-parts":[["2001"]]},"page":"162-169","title":"A review of saliva Normal composition, flow, and function. Humphrey, Williamson. 2001. Journal of Prosthetic Dentistry.pdf","type":"article-journal","volume":"85"},"uris":["http://www.mendeley.com/documents/?uuid=c0a69dd2-e8b3-4d00-a9ad-41473f35f8a3"]}],"mendeley":{"formattedCitation":"[69]","plainTextFormattedCitation":"[69]","previouslyFormattedCitation":"[69]"},"properties":{"noteIndex":0},"schema":"https://github.com/citation-style-language/schema/raw/master/csl-citation.json"}</w:instrText>
      </w:r>
      <w:r w:rsidR="000400D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[69]</w:t>
      </w:r>
      <w:r w:rsidR="000400D1" w:rsidRPr="005B1CCB">
        <w:rPr>
          <w:rFonts w:ascii="Palatino Linotype" w:hAnsi="Palatino Linotype"/>
          <w:sz w:val="24"/>
          <w:szCs w:val="24"/>
          <w:lang w:bidi="en-US"/>
        </w:rPr>
        <w:fldChar w:fldCharType="end"/>
      </w:r>
      <w:r w:rsidR="000400D1" w:rsidRPr="005B1CCB">
        <w:rPr>
          <w:rFonts w:ascii="Palatino Linotype" w:hAnsi="Palatino Linotype"/>
          <w:sz w:val="24"/>
          <w:szCs w:val="24"/>
          <w:lang w:bidi="en-US"/>
        </w:rPr>
        <w:t xml:space="preserve"> </w:t>
      </w:r>
      <w:r w:rsidR="0085651A" w:rsidRPr="005B1CCB">
        <w:rPr>
          <w:rFonts w:ascii="Palatino Linotype" w:hAnsi="Palatino Linotype"/>
          <w:sz w:val="24"/>
          <w:szCs w:val="24"/>
          <w:lang w:bidi="en-US"/>
        </w:rPr>
        <w:t xml:space="preserve">and a lot of cellular elements, including </w:t>
      </w:r>
      <w:r w:rsidR="005621F3" w:rsidRPr="005B1CCB">
        <w:rPr>
          <w:rFonts w:ascii="Palatino Linotype" w:hAnsi="Palatino Linotype"/>
          <w:sz w:val="24"/>
          <w:szCs w:val="24"/>
          <w:lang w:bidi="en-US"/>
        </w:rPr>
        <w:t xml:space="preserve">biomarkers like </w:t>
      </w:r>
      <w:r w:rsidR="0091315D" w:rsidRPr="005B1CCB">
        <w:rPr>
          <w:rFonts w:ascii="Palatino Linotype" w:hAnsi="Palatino Linotype"/>
          <w:sz w:val="24"/>
          <w:szCs w:val="24"/>
          <w:lang w:bidi="en-US"/>
        </w:rPr>
        <w:t xml:space="preserve">ctDNA, </w:t>
      </w:r>
      <w:r w:rsidR="007A7DD5" w:rsidRPr="005B1CCB">
        <w:rPr>
          <w:rFonts w:ascii="Palatino Linotype" w:hAnsi="Palatino Linotype"/>
          <w:sz w:val="24"/>
          <w:szCs w:val="24"/>
          <w:lang w:bidi="en-US"/>
        </w:rPr>
        <w:t xml:space="preserve">microRNA and </w:t>
      </w:r>
      <w:r w:rsidR="005621F3" w:rsidRPr="005B1CCB">
        <w:rPr>
          <w:rFonts w:ascii="Palatino Linotype" w:hAnsi="Palatino Linotype"/>
          <w:sz w:val="24"/>
          <w:szCs w:val="24"/>
          <w:lang w:bidi="en-US"/>
        </w:rPr>
        <w:t xml:space="preserve">exosomes </w:t>
      </w:r>
      <w:r w:rsidR="005621F3"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{"citationItems":[{"id":"ITEM-1","itemData":{"DOI":"10.3390/cancers13081874","ISSN":"20726694","abstract":"Head and neck cancers are the seventh most frequent malignancy worldwide, consisting of a heterogeneous group of cancers that develop in the oral cavity, pharynx, and larynx, with head and neck squamous cell carcinoma (HNSCC) being the most common pathology. Due to limitations with screening and physical examination, HNSCC often presents in advanced disease states and is thus associated with poor survival. In this setting, liquid biopsies, or obtaining patient bodily fluid samples for cancer diagnosis and prognosis, may play a dramatic role in optimizing care for HNSCC patients. In recent years, there have been dramatic advancements in investigations focused on optimizing and implementing liquid biopsies in general, and specifically for HNSCC patients. Moving forward, there remain significant challenges in liquid biopsy technological development, as well as opportunities for the development of HNSCC liquid biopsy clinical trials and treatment paradigms. In this review, we discuss the current state of liquid biopsy technologies via circulating tumor cells, circulating tumor DNA and exosomes, approaches in head and neck cancer, challenges to optimization and application of liquid biopsies for clinical study, and future prospects for this field of research as it applies to head and neck cancer.","author":[{"dropping-particle":"","family":"Kong","given":"Lingyi","non-dropping-particle":"","parse-names":false,"suffix":""},{"dropping-particle":"","family":"Birkeland","given":"Andrew C.","non-dropping-particle":"","parse-names":false,"suffix":""}],"container-title":"Cancers","id":"ITEM-1","issue":"8","issued":{"date-parts":[["2021"]]},"page":"1-16","title":"Liquid biopsies in head and neck cancer: Current state and future challenges","type":"article-journal","volume":"13"},"uris":["http://www.mendeley.com/documents/?uuid=5b97d419-b544-4f96-a14d-65c60a3b116c"]}],"mendeley":{"formattedCitation":"[44]","plainTextFormattedCitation":"[44]","previouslyFormattedCitation":"[44]"},"properties":{"noteIndex":0},"schema":"https://github.com/citation-style-language/schema/raw/master/csl-citation.json"}</w:instrText>
      </w:r>
      <w:r w:rsidR="005621F3"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[44]</w:t>
      </w:r>
      <w:r w:rsidR="005621F3" w:rsidRPr="005B1CCB">
        <w:rPr>
          <w:rFonts w:ascii="Palatino Linotype" w:hAnsi="Palatino Linotype"/>
          <w:sz w:val="24"/>
          <w:szCs w:val="24"/>
          <w:lang w:bidi="en-US"/>
        </w:rPr>
        <w:fldChar w:fldCharType="end"/>
      </w:r>
      <w:r w:rsidR="007A7DD5" w:rsidRPr="005B1CCB">
        <w:rPr>
          <w:rFonts w:ascii="Palatino Linotype" w:hAnsi="Palatino Linotype"/>
          <w:sz w:val="24"/>
          <w:szCs w:val="24"/>
          <w:lang w:bidi="en-US"/>
        </w:rPr>
        <w:t xml:space="preserve">. </w:t>
      </w:r>
      <w:r w:rsidR="0085651A" w:rsidRPr="00E27313">
        <w:rPr>
          <w:rFonts w:ascii="Palatino Linotype" w:hAnsi="Palatino Linotype"/>
          <w:sz w:val="24"/>
          <w:szCs w:val="24"/>
          <w:lang w:bidi="en-US"/>
        </w:rPr>
        <w:t xml:space="preserve">Saliva testing offers the practical advantage of </w:t>
      </w:r>
      <w:r w:rsidR="00CE28C9" w:rsidRPr="00E27313">
        <w:rPr>
          <w:rFonts w:ascii="Palatino Linotype" w:hAnsi="Palatino Linotype"/>
          <w:sz w:val="24"/>
          <w:szCs w:val="24"/>
          <w:lang w:bidi="en-US"/>
        </w:rPr>
        <w:t xml:space="preserve">ease of access, </w:t>
      </w:r>
      <w:r w:rsidR="0085651A" w:rsidRPr="00E27313">
        <w:rPr>
          <w:rFonts w:ascii="Palatino Linotype" w:hAnsi="Palatino Linotype"/>
          <w:sz w:val="24"/>
          <w:szCs w:val="24"/>
          <w:lang w:bidi="en-US"/>
        </w:rPr>
        <w:t>being non-invasive and cost effective</w:t>
      </w:r>
      <w:r w:rsidR="0085651A" w:rsidRPr="005B1CCB">
        <w:rPr>
          <w:rFonts w:ascii="Palatino Linotype" w:hAnsi="Palatino Linotype"/>
          <w:sz w:val="24"/>
          <w:szCs w:val="24"/>
          <w:lang w:bidi="en-US"/>
        </w:rPr>
        <w:t xml:space="preserve">. </w:t>
      </w:r>
      <w:r w:rsidR="007A7DD5" w:rsidRPr="00E27313">
        <w:rPr>
          <w:rFonts w:ascii="Palatino Linotype" w:hAnsi="Palatino Linotype"/>
          <w:sz w:val="24"/>
          <w:szCs w:val="24"/>
          <w:lang w:bidi="en-US"/>
        </w:rPr>
        <w:t xml:space="preserve">It </w:t>
      </w:r>
      <w:r w:rsidR="005F27A4" w:rsidRPr="00E27313">
        <w:rPr>
          <w:rFonts w:ascii="Palatino Linotype" w:hAnsi="Palatino Linotype"/>
          <w:sz w:val="24"/>
          <w:szCs w:val="24"/>
          <w:lang w:bidi="en-US"/>
        </w:rPr>
        <w:t>has shown to be useful</w:t>
      </w:r>
      <w:r w:rsidR="00265339" w:rsidRPr="00E27313">
        <w:rPr>
          <w:rFonts w:ascii="Palatino Linotype" w:hAnsi="Palatino Linotype"/>
          <w:sz w:val="24"/>
          <w:szCs w:val="24"/>
          <w:lang w:bidi="en-US"/>
        </w:rPr>
        <w:t xml:space="preserve"> for </w:t>
      </w:r>
      <w:r w:rsidR="005F27A4" w:rsidRPr="00E27313">
        <w:rPr>
          <w:rFonts w:ascii="Palatino Linotype" w:hAnsi="Palatino Linotype"/>
          <w:sz w:val="24"/>
          <w:szCs w:val="24"/>
          <w:lang w:bidi="en-US"/>
        </w:rPr>
        <w:t xml:space="preserve">the early detection and monitoring of </w:t>
      </w:r>
      <w:r w:rsidR="00265339" w:rsidRPr="00E27313">
        <w:rPr>
          <w:rFonts w:ascii="Palatino Linotype" w:hAnsi="Palatino Linotype"/>
          <w:sz w:val="24"/>
          <w:szCs w:val="24"/>
          <w:lang w:bidi="en-US"/>
        </w:rPr>
        <w:t>tumours affecting the head and neck</w:t>
      </w:r>
      <w:r w:rsidR="005F27A4" w:rsidRPr="00E27313">
        <w:rPr>
          <w:rFonts w:ascii="Palatino Linotype" w:hAnsi="Palatino Linotype"/>
          <w:sz w:val="24"/>
          <w:szCs w:val="24"/>
          <w:lang w:bidi="en-US"/>
        </w:rPr>
        <w:t>, brea</w:t>
      </w:r>
      <w:r w:rsidR="002B6376" w:rsidRPr="00E27313">
        <w:rPr>
          <w:rFonts w:ascii="Palatino Linotype" w:hAnsi="Palatino Linotype"/>
          <w:sz w:val="24"/>
          <w:szCs w:val="24"/>
          <w:lang w:bidi="en-US"/>
        </w:rPr>
        <w:t>st, lung, stomach and pancreas</w:t>
      </w:r>
      <w:r w:rsidR="002B6376" w:rsidRPr="005B1CCB">
        <w:rPr>
          <w:rFonts w:ascii="Palatino Linotype" w:hAnsi="Palatino Linotype"/>
          <w:sz w:val="24"/>
          <w:szCs w:val="24"/>
          <w:lang w:bidi="en-US"/>
        </w:rPr>
        <w:t xml:space="preserve"> </w:t>
      </w:r>
      <w:r w:rsidR="005F27A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{"citationItems":[{"id":"ITEM-1","itemData":{"DOI":"10.1016/j.bbcan.2019.05.007","ISSN":"1879-2561","abstract":"Cancer, a local disease at an early stage, systemically evolves as it progresses by triggering alterations in surrounding microenvironment, disturbing immune surveillance and further disseminating its molecular contents into circulation. This pathogenic characteristic of cancer makes the use of biofluids such as blood/serum/plasma, urine, tear and cerebrospinal fluids credible surrogates harboring tumor tissue-derived molecular alterations for the detection of cancer. Most importantly, a number of recent reports have credentialed the clinical validity of saliva for the detection of systemic diseases including cancers. In this review, we discussed the validity of saliva as credible biofluid and clinical sample type for the detection of cancers. We have presented the molecular constituents of saliva that could mirror the systemic status of our body and recent findings of salivaomics associated with cancers. Recently, liquid biopsy to detect cancer-derived circulating tumor DNA has emerged as a credible cancer-detection tool with potential benefits in screening, diagnosis and also risk management of cancers. We have further presented the clinical validity of saliva for liquid biopsy of cancers and a new technology platform based on electrochemical detection of cancer-derived ctDNA in saliva with superior sensitivity and point-of-care potential. The clinical utilities of saliva for the detection of cancers have been evidenced, but biological underpinning on the existence of molecular signatures of cancer-origin in saliva, such as via exosomal distribution, should be addressed in detail.","author":[{"dropping-particle":"","family":"Kaczor-Urbanowicz","given":"Karolina Elżbieta","non-dropping-particle":"","parse-names":false,"suffix":""},{"dropping-particle":"","family":"Wei","given":"Fang","non-dropping-particle":"","parse-names":false,"suffix":""},{"dropping-particle":"","family":"Rao","given":"Shannon Liu","non-dropping-particle":"","parse-names":false,"suffix":""},{"dropping-particle":"","family":"Kim","given":"Jinseok","non-dropping-particle":"","parse-names":false,"suffix":""},{"dropping-particle":"","family":"Shin","given":"Heebum","non-dropping-particle":"","parse-names":false,"suffix":""},{"dropping-particle":"","family":"Cheng","given":"Jordan","non-dropping-particle":"","parse-names":false,"suffix":""},{"dropping-particle":"","family":"Tu","given":"Michael","non-dropping-particle":"","parse-names":false,"suffix":""},{"dropping-particle":"","family":"Wong","given":"David T W","non-dropping-particle":"","parse-names":false,"suffix":""},{"dropping-particle":"","family":"Kim","given":"Yong","non-dropping-particle":"","parse-names":false,"suffix":""}],"container-title":"Biochimica et biophysica acta. Reviews on cancer","edition":"2019/05/30","id":"ITEM-1","issue":"1","issued":{"date-parts":[["2019","8"]]},"language":"eng","page":"49-59","title":"Clinical validity of saliva and novel technology for cancer detection","type":"article-journal","volume":"1872"},"uris":["http://www.mendeley.com/documents/?uuid=b9a416a6-964e-4b2f-9d26-c435e424a707"]}],"mendeley":{"formattedCitation":"[70]","plainTextFormattedCitation":"[70]","previouslyFormattedCitation":"[70]"},"properties":{"noteIndex":0},"schema":"https://github.com/citation-style-language/schema/raw/master/csl-citation.json"}</w:instrText>
      </w:r>
      <w:r w:rsidR="005F27A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[70]</w:t>
      </w:r>
      <w:r w:rsidR="005F27A4" w:rsidRPr="005B1CCB">
        <w:rPr>
          <w:rFonts w:ascii="Palatino Linotype" w:hAnsi="Palatino Linotype"/>
          <w:sz w:val="24"/>
          <w:szCs w:val="24"/>
          <w:lang w:bidi="en-US"/>
        </w:rPr>
        <w:fldChar w:fldCharType="end"/>
      </w:r>
      <w:r w:rsidR="002B6376" w:rsidRPr="005B1CCB">
        <w:rPr>
          <w:rFonts w:ascii="Palatino Linotype" w:hAnsi="Palatino Linotype"/>
          <w:sz w:val="24"/>
          <w:szCs w:val="24"/>
          <w:lang w:bidi="en-US"/>
        </w:rPr>
        <w:t xml:space="preserve">. Although saliva is easy to collect, it </w:t>
      </w:r>
      <w:r w:rsidR="005C70FA" w:rsidRPr="005B1CCB">
        <w:rPr>
          <w:rFonts w:ascii="Palatino Linotype" w:hAnsi="Palatino Linotype"/>
          <w:sz w:val="24"/>
          <w:szCs w:val="24"/>
          <w:lang w:bidi="en-US"/>
        </w:rPr>
        <w:t>has lower abundance</w:t>
      </w:r>
      <w:r w:rsidR="002B6376" w:rsidRPr="005B1CCB">
        <w:rPr>
          <w:rFonts w:ascii="Palatino Linotype" w:hAnsi="Palatino Linotype"/>
          <w:sz w:val="24"/>
          <w:szCs w:val="24"/>
          <w:lang w:bidi="en-US"/>
        </w:rPr>
        <w:t xml:space="preserve"> than blood </w:t>
      </w:r>
      <w:r w:rsidR="005C70FA" w:rsidRPr="005B1CCB">
        <w:rPr>
          <w:rFonts w:ascii="Palatino Linotype" w:hAnsi="Palatino Linotype"/>
          <w:sz w:val="24"/>
          <w:szCs w:val="24"/>
          <w:lang w:bidi="en-US"/>
        </w:rPr>
        <w:t>for typical</w:t>
      </w:r>
      <w:r w:rsidR="002B6376" w:rsidRPr="005B1CCB">
        <w:rPr>
          <w:rFonts w:ascii="Palatino Linotype" w:hAnsi="Palatino Linotype"/>
          <w:sz w:val="24"/>
          <w:szCs w:val="24"/>
          <w:lang w:bidi="en-US"/>
        </w:rPr>
        <w:t xml:space="preserve"> analytes, except for ctDNA from oral cancer</w:t>
      </w:r>
      <w:r w:rsidR="003B49ED" w:rsidRPr="005B1CCB">
        <w:rPr>
          <w:rFonts w:ascii="Palatino Linotype" w:hAnsi="Palatino Linotype"/>
          <w:sz w:val="24"/>
          <w:szCs w:val="24"/>
          <w:lang w:bidi="en-US"/>
        </w:rPr>
        <w:t xml:space="preserve"> </w:t>
      </w:r>
      <w:r w:rsidR="002B637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{"citationItems":[{"id":"ITEM-1","itemData":{"DOI":"10.1126/scitranslmed.aaa8507","ISSN":"1946-6242","abstract":"To explore the potential of tumor-specific DNA as a biomarker for head and neck squamous cell carcinomas (HNSCC), we queried DNA from saliva or plasma of 93 HNSCC patients. We searched for somatic mutations or human papillomavirus genes, collectively referred to as tumor DNA. When both plasma and saliva were tested, tumor DNA was detected in 96% of 47 patients. The fractions of patients with detectable tumor DNA in early- and late-stage disease were 100% (n = 10) and 95% (n = 37), respectively. When segregated by site, tumor DNA was detected in 100% (n = 15), 91% (n = 22), 100% (n = 7), and 100% (n = 3) of patients with tumors of the oral cavity, oropharynx, larynx, and hypopharynx, respectively. In saliva, tumor DNA was found in 100% of patients with oral cavity cancers and in 47 to 70% of patients with cancers of the other sites. In plasma, tumor DNA was found in 80% of patients with oral cavity cancers, and in 86 to 100% of patients with cancers of the other sites. Thus, saliva is preferentially enriched for tumor DNA from the oral cavity, whereas plasma is preferentially enriched for tumor DNA from the other sites. Tumor DNA in saliva was found postsurgically in three patients before clinical diagnosis of recurrence, but in none of the five patients without recurrence. Tumor DNA in the saliva and plasma appears to be a potentially valuable biomarker for detection of HNSCC.","author":[{"dropping-particle":"","family":"Wang","given":"Yuxuan","non-dropping-particle":"","parse-names":false,"suffix":""},{"dropping-particle":"","family":"Springer","given":"Simeon","non-dropping-particle":"","parse-names":false,"suffix":""},{"dropping-particle":"","family":"Mulvey","given":"Carolyn L","non-dropping-particle":"","parse-names":false,"suffix":""},{"dropping-particle":"","family":"Silliman","given":"Natalie","non-dropping-particle":"","parse-names":false,"suffix":""},{"dropping-particle":"","family":"Schaefer","given":"Joy","non-dropping-particle":"","parse-names":false,"suffix":""},{"dropping-particle":"","family":"Sausen","given":"Mark","non-dropping-particle":"","parse-names":false,"suffix":""},{"dropping-particle":"","family":"James","given":"Nathan","non-dropping-particle":"","parse-names":false,"suffix":""},{"dropping-particle":"","family":"Rettig","given":"Eleni M","non-dropping-particle":"","parse-names":false,"suffix":""},{"dropping-particle":"","family":"Guo","given":"Theresa","non-dropping-particle":"","parse-names":false,"suffix":""},{"dropping-particle":"","family":"Pickering","given":"Curtis R","non-dropping-particle":"","parse-names":false,"suffix":""},{"dropping-particle":"","family":"Bishop","given":"Justin A","non-dropping-particle":"","parse-names":false,"suffix":""},{"dropping-particle":"","family":"Chung","given":"Christine H","non-dropping-particle":"","parse-names":false,"suffix":""},{"dropping-particle":"","family":"Califano","given":"Joseph A","non-dropping-particle":"","parse-names":false,"suffix":""},{"dropping-particle":"","family":"Eisele","given":"David W","non-dropping-particle":"","parse-names":false,"suffix":""},{"dropping-particle":"","family":"Fakhry","given":"Carole","non-dropping-particle":"","parse-names":false,"suffix":""},{"dropping-particle":"","family":"Gourin","given":"Christine G","non-dropping-particle":"","parse-names":false,"suffix":""},{"dropping-particle":"","family":"Ha","given":"Patrick K","non-dropping-particle":"","parse-names":false,"suffix":""},{"dropping-particle":"","family":"Kang","given":"Hyunseok","non-dropping-particle":"","parse-names":false,"suffix":""},{"dropping-particle":"","family":"Kiess","given":"Ana","non-dropping-particle":"","parse-names":false,"suffix":""},{"dropping-particle":"","family":"Koch","given":"Wayne M","non-dropping-particle":"","parse-names":false,"suffix":""},{"dropping-particle":"","family":"Myers","given":"Jeffrey N","non-dropping-particle":"","parse-names":false,"suffix":""},{"dropping-particle":"","family":"Quon","given":"Harry","non-dropping-particle":"","parse-names":false,"suffix":""},{"dropping-particle":"","family":"Richmon","given":"Jeremy D","non-dropping-particle":"","parse-names":false,"suffix":""},{"dropping-particle":"","family":"Sidransky","given":"David","non-dropping-particle":"","parse-names":false,"suffix":""},{"dropping-particle":"","family":"Tufano","given":"Ralph P","non-dropping-particle":"","parse-names":false,"suffix":""},{"dropping-particle":"","family":"Westra","given":"William H","non-dropping-particle":"","parse-names":false,"suffix":""},{"dropping-particle":"","family":"Bettegowda","given":"Chetan","non-dropping-particle":"","parse-names":false,"suffix":""},{"dropping-particle":"","family":"Diaz  Jr","given":"Luis A","non-dropping-particle":"","parse-names":false,"suffix":""},{"dropping-particle":"","family":"Papadopoulos","given":"Nickolas","non-dropping-particle":"","parse-names":false,"suffix":""},{"dropping-particle":"","family":"Kinzler","given":"Kenneth W","non-dropping-particle":"","parse-names":false,"suffix":""},{"dropping-particle":"","family":"Vogelstein","given":"Bert","non-dropping-particle":"","parse-names":false,"suffix":""},{"dropping-particle":"","family":"Agrawal","given":"Nishant","non-dropping-particle":"","parse-names":false,"suffix":""}],"container-title":"Science translational medicine","id":"ITEM-1","issue":"293","issued":{"date-parts":[["2015","6","24"]]},"language":"eng","page":"293ra104-293ra104","title":"Detection of somatic mutations and HPV in the saliva and plasma of patients with head and neck squamous cell carcinomas","type":"article-journal","volume":"7"},"uris":["http://www.mendeley.com/documents/?uuid=c65955a8-6d20-4a96-b63b-6016bb88ba7a"]}],"mendeley":{"formattedCitation":"[71]","plainTextFormattedCitation":"[71]","previouslyFormattedCitation":"[71]"},"properties":{"noteIndex":0},"schema":"https://github.com/citation-style-language/schema/raw/master/csl-citation.json"}</w:instrText>
      </w:r>
      <w:r w:rsidR="002B637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[71]</w:t>
      </w:r>
      <w:r w:rsidR="002B6376" w:rsidRPr="005B1CCB">
        <w:rPr>
          <w:rFonts w:ascii="Palatino Linotype" w:hAnsi="Palatino Linotype"/>
          <w:sz w:val="24"/>
          <w:szCs w:val="24"/>
          <w:lang w:bidi="en-US"/>
        </w:rPr>
        <w:fldChar w:fldCharType="end"/>
      </w:r>
      <w:r w:rsidR="002B6376" w:rsidRPr="005B1CCB">
        <w:rPr>
          <w:rFonts w:ascii="Palatino Linotype" w:hAnsi="Palatino Linotype"/>
          <w:sz w:val="24"/>
          <w:szCs w:val="24"/>
          <w:lang w:bidi="en-US"/>
        </w:rPr>
        <w:t>.</w:t>
      </w:r>
    </w:p>
    <w:p w14:paraId="307FDD5F" w14:textId="65F946C6" w:rsidR="00E07E27" w:rsidRPr="00E07E27" w:rsidRDefault="0052461A" w:rsidP="00492F11">
      <w:pPr>
        <w:pStyle w:val="Heading3"/>
      </w:pPr>
      <w:bookmarkStart w:id="30" w:name="_Toc84528042"/>
      <w:r>
        <w:t>Current liquid biopsy detection platforms</w:t>
      </w:r>
      <w:bookmarkEnd w:id="30"/>
    </w:p>
    <w:p w14:paraId="1FDEC2C4" w14:textId="024CCFE3" w:rsidR="00B21B4B" w:rsidRPr="005B1CCB" w:rsidRDefault="00B21B4B" w:rsidP="00E07E27">
      <w:pPr>
        <w:pStyle w:val="Heading4"/>
        <w:rPr>
          <w:lang w:bidi="en-US"/>
        </w:rPr>
      </w:pPr>
      <w:r w:rsidRPr="00E27313">
        <w:rPr>
          <w:lang w:bidi="en-US"/>
        </w:rPr>
        <w:t>Real-time</w:t>
      </w:r>
      <w:r w:rsidR="002D66A7" w:rsidRPr="00E27313">
        <w:rPr>
          <w:lang w:bidi="en-US"/>
        </w:rPr>
        <w:t xml:space="preserve"> quantitative Polymerase Chain Reaction</w:t>
      </w:r>
      <w:r w:rsidRPr="005B1CCB">
        <w:rPr>
          <w:lang w:bidi="en-US"/>
        </w:rPr>
        <w:t xml:space="preserve"> </w:t>
      </w:r>
      <w:r w:rsidR="002D66A7" w:rsidRPr="005B1CCB">
        <w:rPr>
          <w:lang w:bidi="en-US"/>
        </w:rPr>
        <w:t>(RT-q</w:t>
      </w:r>
      <w:r w:rsidRPr="005B1CCB">
        <w:rPr>
          <w:lang w:bidi="en-US"/>
        </w:rPr>
        <w:t>PCR</w:t>
      </w:r>
      <w:r w:rsidR="002D66A7" w:rsidRPr="005B1CCB">
        <w:rPr>
          <w:lang w:bidi="en-US"/>
        </w:rPr>
        <w:t>)</w:t>
      </w:r>
    </w:p>
    <w:p w14:paraId="3FE29A9E" w14:textId="37B0D857" w:rsidR="00F05FDE" w:rsidRPr="005B1CCB" w:rsidRDefault="004569A7" w:rsidP="001C7F7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1C7F78" w:rsidRPr="005B1CCB">
        <w:rPr>
          <w:rFonts w:ascii="Palatino Linotype" w:hAnsi="Palatino Linotype"/>
          <w:sz w:val="24"/>
          <w:szCs w:val="24"/>
          <w:lang w:bidi="en-US"/>
        </w:rPr>
        <w:t>This</w:t>
      </w:r>
      <w:r w:rsidR="002D66A7" w:rsidRPr="005B1CCB">
        <w:rPr>
          <w:rFonts w:ascii="Palatino Linotype" w:hAnsi="Palatino Linotype"/>
          <w:sz w:val="24"/>
          <w:szCs w:val="24"/>
          <w:lang w:bidi="en-US"/>
        </w:rPr>
        <w:t xml:space="preserve"> </w:t>
      </w:r>
      <w:r w:rsidR="001C7F78" w:rsidRPr="005B1CCB">
        <w:rPr>
          <w:rFonts w:ascii="Palatino Linotype" w:hAnsi="Palatino Linotype"/>
          <w:sz w:val="24"/>
          <w:szCs w:val="24"/>
          <w:lang w:bidi="en-US"/>
        </w:rPr>
        <w:t xml:space="preserve">technique </w:t>
      </w:r>
      <w:r w:rsidR="001C7F78" w:rsidRPr="00E27313">
        <w:rPr>
          <w:rFonts w:ascii="Palatino Linotype" w:hAnsi="Palatino Linotype"/>
          <w:sz w:val="24"/>
          <w:szCs w:val="24"/>
          <w:lang w:bidi="en-US"/>
        </w:rPr>
        <w:t>involves the collection of data throughout the PCR process</w:t>
      </w:r>
      <w:r w:rsidR="00FF147A" w:rsidRPr="00E27313">
        <w:rPr>
          <w:rFonts w:ascii="Palatino Linotype" w:hAnsi="Palatino Linotype"/>
          <w:sz w:val="24"/>
          <w:szCs w:val="24"/>
          <w:lang w:bidi="en-US"/>
        </w:rPr>
        <w:t xml:space="preserve"> using fluorescent labelling</w:t>
      </w:r>
      <w:r w:rsidR="001C7F78" w:rsidRPr="00E27313">
        <w:rPr>
          <w:rFonts w:ascii="Palatino Linotype" w:hAnsi="Palatino Linotype"/>
          <w:sz w:val="24"/>
          <w:szCs w:val="24"/>
          <w:lang w:bidi="en-US"/>
        </w:rPr>
        <w:t>, thus combining amplification and detection in one step</w:t>
      </w:r>
      <w:r w:rsidR="001C7F78" w:rsidRPr="005B1CCB">
        <w:rPr>
          <w:rFonts w:ascii="Palatino Linotype" w:hAnsi="Palatino Linotype"/>
          <w:sz w:val="24"/>
          <w:szCs w:val="24"/>
          <w:lang w:bidi="en-US"/>
        </w:rPr>
        <w:t>.</w:t>
      </w:r>
      <w:r w:rsidR="00C73B80" w:rsidRPr="005B1CCB">
        <w:rPr>
          <w:rFonts w:ascii="Palatino Linotype" w:hAnsi="Palatino Linotype"/>
          <w:sz w:val="24"/>
          <w:szCs w:val="24"/>
          <w:lang w:bidi="en-US"/>
        </w:rPr>
        <w:t xml:space="preserve"> </w:t>
      </w:r>
      <w:r w:rsidR="00F5362E" w:rsidRPr="005B1CCB">
        <w:rPr>
          <w:rFonts w:ascii="Palatino Linotype" w:hAnsi="Palatino Linotype"/>
          <w:sz w:val="24"/>
          <w:szCs w:val="24"/>
          <w:lang w:bidi="en-US"/>
        </w:rPr>
        <w:t xml:space="preserve">The limit of ctDNA detection that has been observed is </w:t>
      </w:r>
      <w:r w:rsidR="00F5362E" w:rsidRPr="00E27313">
        <w:rPr>
          <w:rFonts w:ascii="Palatino Linotype" w:hAnsi="Palatino Linotype"/>
          <w:sz w:val="24"/>
          <w:szCs w:val="24"/>
          <w:lang w:bidi="en-US"/>
        </w:rPr>
        <w:t>0.1</w:t>
      </w:r>
      <w:r w:rsidR="00D2057F" w:rsidRPr="00E27313">
        <w:rPr>
          <w:rFonts w:ascii="Palatino Linotype" w:hAnsi="Palatino Linotype"/>
          <w:sz w:val="24"/>
          <w:szCs w:val="24"/>
          <w:lang w:bidi="en-US"/>
        </w:rPr>
        <w:t xml:space="preserve"> </w:t>
      </w:r>
      <w:r w:rsidR="00F5362E" w:rsidRPr="00E27313">
        <w:rPr>
          <w:rFonts w:ascii="Palatino Linotype" w:hAnsi="Palatino Linotype"/>
          <w:sz w:val="24"/>
          <w:szCs w:val="24"/>
          <w:lang w:bidi="en-US"/>
        </w:rPr>
        <w:t>%</w:t>
      </w:r>
      <w:r w:rsidR="00F5362E" w:rsidRPr="005B1CCB">
        <w:rPr>
          <w:rFonts w:ascii="Palatino Linotype" w:hAnsi="Palatino Linotype"/>
          <w:sz w:val="24"/>
          <w:szCs w:val="24"/>
          <w:lang w:bidi="en-US"/>
        </w:rPr>
        <w:t xml:space="preserve"> </w:t>
      </w:r>
      <w:r w:rsidR="00F5362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{"citationItems":[{"id":"ITEM-1","itemData":{"DOI":"10.1007/s11523-021-00795-5","ISSN":"1776-260X","abstract":"Liquid biopsy recently gained widespread attention as a noninvasive alternative/complementary technique to tissue biopsy in patients with cancer. As technological advances have improved both feasibility and turnaround time, liquid biopsy has expanded tumor molecular analysis with acknowledgement of both spatial and temporal heterogeneity, overcoming many limitations of traditional tissue biopsy. Because of its diagnostic, prognostic, and predictive value, liquid biopsy has been extensively studied also in metastatic colorectal cancer. Indeed, as personalized medicine establishes its role in cancer treatment, genetic biomarkers unveiling the emergence of early resistance are needed. Among the wide variety of tumor analytes amenable to collection, circulating DNA and circulating tumor cells are the most adopted approaches, and both carry clinical relevance in colorectal cancer. However, few studies focused on comparing feasibility between these two approaches. In this review, we discuss the potential implications of liquid biopsy in metastatic colorectal cancer, assessing the advantages and drawbacks of circulating DNA and circulating tumor cells, and highlighting the most relevant trials for clinical practice.","author":[{"dropping-particle":"","family":"Patelli","given":"Giorgio","non-dropping-particle":"","parse-names":false,"suffix":""},{"dropping-particle":"","family":"Vaghi","given":"Caterina","non-dropping-particle":"","parse-names":false,"suffix":""},{"dropping-particle":"","family":"Tosi","given":"Federica","non-dropping-particle":"","parse-names":false,"suffix":""},{"dropping-particle":"","family":"Mauri","given":"Gianluca","non-dropping-particle":"","parse-names":false,"suffix":""},{"dropping-particle":"","family":"Amatu","given":"Alessio","non-dropping-particle":"","parse-names":false,"suffix":""},{"dropping-particle":"","family":"Massihnia","given":"Daniela","non-dropping-particle":"","parse-names":false,"suffix":""},{"dropping-particle":"","family":"Ghezzi","given":"Silvia","non-dropping-particle":"","parse-names":false,"suffix":""},{"dropping-particle":"","family":"Bonazzina","given":"Erica","non-dropping-particle":"","parse-names":false,"suffix":""},{"dropping-particle":"","family":"Bencardino","given":"Katia","non-dropping-particle":"","parse-names":false,"suffix":""},{"dropping-particle":"","family":"Cerea","given":"Giulio","non-dropping-particle":"","parse-names":false,"suffix":""},{"dropping-particle":"","family":"Siena","given":"Salvatore","non-dropping-particle":"","parse-names":false,"suffix":""},{"dropping-particle":"","family":"Sartore-Bianchi","given":"Andrea","non-dropping-particle":"","parse-names":false,"suffix":""}],"container-title":"Targeted Oncology","id":"ITEM-1","issue":"3","issued":{"date-parts":[["2021"]]},"page":"309-324","title":"Liquid Biopsy for Prognosis and Treatment in Metastatic Colorectal Cancer: Circulating Tumor Cells vs Circulating Tumor DNA","type":"article-journal","volume":"16"},"uris":["http://www.mendeley.com/documents/?uuid=77dc5246-0205-4349-a97c-b2d4e1c36103"]}],"mendeley":{"formattedCitation":"[72]","plainTextFormattedCitation":"[72]","previouslyFormattedCitation":"[72]"},"properties":{"noteIndex":0},"schema":"https://github.com/citation-style-language/schema/raw/master/csl-citation.json"}</w:instrText>
      </w:r>
      <w:r w:rsidR="00F5362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[72]</w:t>
      </w:r>
      <w:r w:rsidR="00F5362E" w:rsidRPr="005B1CCB">
        <w:rPr>
          <w:rFonts w:ascii="Palatino Linotype" w:hAnsi="Palatino Linotype"/>
          <w:sz w:val="24"/>
          <w:szCs w:val="24"/>
          <w:lang w:bidi="en-US"/>
        </w:rPr>
        <w:fldChar w:fldCharType="end"/>
      </w:r>
      <w:r w:rsidR="00734E2A" w:rsidRPr="005B1CCB">
        <w:rPr>
          <w:rFonts w:ascii="Palatino Linotype" w:hAnsi="Palatino Linotype"/>
          <w:sz w:val="24"/>
          <w:szCs w:val="24"/>
          <w:lang w:bidi="en-US"/>
        </w:rPr>
        <w:t xml:space="preserve"> </w:t>
      </w:r>
      <w:r w:rsidR="00734E2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{"citationItems":[{"id":"ITEM-1","itemData":{"DOI":"10.1371/journal.pone.0025191","ISSN":"1932-6203","abstract":"EGFR mutations correlate with improved clinical outcome whereas KRAS mutations are associated with lack of response to tyrosine kinase inhibitors in patients with non-small cell lung cancer (NSCLC). Endobronchial ultrasound (EBUS)-transbronchial needle aspiration (TBNA) is being increasingly used in the management of NSCLC. Co-amplification at lower denaturation temperature (COLD)-polymerase chain reaction (PCR) (COLD-PCR) is a sensitive assay for the detection of genetic mutations in solid tumours. This study assessed the feasibility of using COLD-PCR to screen for EGFR and KRAS mutations in cytology samples obtained by EBUS-TBNA in routine clinical practice. Samples obtained from NSCLC patients undergoing EBUS-TBNA were evaluated according to our standard clinical protocols. DNA extracted from these samples was subjected to COLD-PCR to amplify exons 18-21 of EGFR and exons two and three of KRAS followed by direct sequencing. Mutation analysis was performed in 131 of 132 (99.3%) NSCLC patients (70F/62M) with confirmed lymph node metastases (94/132 (71.2%) adenocarcinoma; 17/132 (12.8%) squamous cell; 2/132 (0.15%) large cell neuroendocrine; 1/132 (0.07%) large cell carcinoma; 18/132 (13.6%) NSCL-not otherwise specified (NOS)). Molecular analysis of all EGFR and KRAS target sequences was achieved in 126 of 132 (95.5%) and 130 of 132 (98.4%) of cases respectively. EGFR mutations were identified in 13 (10.5%) of fully evaluated cases (11 in adenocarcinoma and two in NSCLC-NOS) including two novel mutations. KRAS mutations were identified in 23 (17.5%) of fully analysed patient samples (18 adenocarcinoma and five NSCLC-NOS). We conclude that EBUS-TBNA of lymph nodes infiltrated by NSCLC can provide sufficient tumour material for EGFR and KRAS mutation analysis in most patients, and that COLD-PCR and sequencing is a robust screening assay for EGFR and KRAS mutation analysis in this clinical context.","author":[{"dropping-particle":"","family":"Santis","given":"George","non-dropping-particle":"","parse-names":false,"suffix":""},{"dropping-particle":"","family":"Angell","given":"Roger","non-dropping-particle":"","parse-names":false,"suffix":""},{"dropping-particle":"","family":"Nickless","given":"Guillermina","non-dropping-particle":"","parse-names":false,"suffix":""},{"dropping-particle":"","family":"Quinn","given":"Alison","non-dropping-particle":"","parse-names":false,"suffix":""},{"dropping-particle":"","family":"Herbert","given":"Amanda","non-dropping-particle":"","parse-names":false,"suffix":""},{"dropping-particle":"","family":"Cane","given":"Paul","non-dropping-particle":"","parse-names":false,"suffix":""},{"dropping-particle":"","family":"Spicer","given":"James","non-dropping-particle":"","parse-names":false,"suffix":""},{"dropping-particle":"","family":"Breen","given":"Ronan","non-dropping-particle":"","parse-names":false,"suffix":""},{"dropping-particle":"","family":"McLean","given":"Emma","non-dropping-particle":"","parse-names":false,"suffix":""},{"dropping-particle":"","family":"Tobal","given":"Khalid","non-dropping-particle":"","parse-names":false,"suffix":""}],"container-title":"PloS one","edition":"2011/09/19","id":"ITEM-1","issue":"9","issued":{"date-parts":[["2011"]]},"language":"eng","page":"e25191-e25191","publisher":"Public Library of Science","title":"Screening for EGFR and KRAS mutations in endobronchial ultrasound derived transbronchial needle aspirates in non-small cell lung cancer using COLD-PCR","type":"article-journal","volume":"6"},"uris":["http://www.mendeley.com/documents/?uuid=68a56619-d79b-4e8c-b40b-450c10f0064a"]}],"mendeley":{"formattedCitation":"[73]","plainTextFormattedCitation":"[73]","previouslyFormattedCitation":"[73]"},"properties":{"noteIndex":0},"schema":"https://github.com/citation-style-language/schema/raw/master/csl-citation.json"}</w:instrText>
      </w:r>
      <w:r w:rsidR="00734E2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[73]</w:t>
      </w:r>
      <w:r w:rsidR="00734E2A" w:rsidRPr="005B1CCB">
        <w:rPr>
          <w:rFonts w:ascii="Palatino Linotype" w:hAnsi="Palatino Linotype"/>
          <w:sz w:val="24"/>
          <w:szCs w:val="24"/>
          <w:lang w:bidi="en-US"/>
        </w:rPr>
        <w:fldChar w:fldCharType="end"/>
      </w:r>
      <w:r w:rsidR="00F5362E" w:rsidRPr="005B1CCB">
        <w:rPr>
          <w:rFonts w:ascii="Palatino Linotype" w:hAnsi="Palatino Linotype"/>
          <w:sz w:val="24"/>
          <w:szCs w:val="24"/>
          <w:lang w:bidi="en-US"/>
        </w:rPr>
        <w:t xml:space="preserve">. </w:t>
      </w:r>
      <w:r w:rsidR="00C73B80" w:rsidRPr="00E27313">
        <w:rPr>
          <w:rFonts w:ascii="Palatino Linotype" w:hAnsi="Palatino Linotype"/>
          <w:sz w:val="24"/>
          <w:szCs w:val="24"/>
          <w:lang w:bidi="en-US"/>
        </w:rPr>
        <w:t>Although qPCR is commonly used because it is fast, it can only detect mutant allele fraction that is greater than 10%</w:t>
      </w:r>
      <w:r w:rsidR="007F02E1" w:rsidRPr="005B1CCB">
        <w:rPr>
          <w:rFonts w:ascii="Palatino Linotype" w:hAnsi="Palatino Linotype"/>
          <w:sz w:val="24"/>
          <w:szCs w:val="24"/>
          <w:lang w:bidi="en-US"/>
        </w:rPr>
        <w:t xml:space="preserve"> </w:t>
      </w:r>
      <w:r w:rsidR="007F02E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{"citationItems":[{"id":"ITEM-1","itemData":{"DOI":"10.1186/s40246-019-0220-8","ISSN":"1479-7364","abstract":"In recent years, the rapid development of next-generation sequencing (NGS) technologies has led to a significant reduction in sequencing cost with improved accuracy. In the area of liquid biopsy, NGS has been applied to sequence circulating tumor DNA (ctDNA). Since ctDNA is the DNA fragments released by tumor cells, it can provide a molecular profile of cancer. Liquid biopsy can be applied to all stages of cancer diagnosis and treatment, allowing non-invasive and real-time monitoring of disease development. The most promising aspects of liquid biopsy in cancer applications are cancer screening and early diagnosis because they can lead to better survival results and less disease burden. Although many ctDNA sequencing methods have enough sensitivity to detect extremely low levels of mutation frequency at the early stage of cancer, how to effectively implement them in population screening settings remains challenging. This paper focuses on the application of liquid biopsy in the early screening and diagnosis of cancer, introduces NGS-related methods, reviews recent progress, summarizes challenges, and discusses future research directions.","author":[{"dropping-particle":"","family":"Chen","given":"Ming","non-dropping-particle":"","parse-names":false,"suffix":""},{"dropping-particle":"","family":"Zhao","given":"Hongyu","non-dropping-particle":"","parse-names":false,"suffix":""}],"container-title":"Human Genomics","id":"ITEM-1","issue":"1","issued":{"date-parts":[["2019"]]},"page":"34","title":"Next-generation sequencing in liquid biopsy: cancer screening and early detection","type":"article-journal","volume":"13"},"uris":["http://www.mendeley.com/documents/?uuid=5bcdfd8a-4b54-4b76-b871-639dfeeab78e"]}],"mendeley":{"formattedCitation":"[74]","plainTextFormattedCitation":"[74]","previouslyFormattedCitation":"[74]"},"properties":{"noteIndex":0},"schema":"https://github.com/citation-style-language/schema/raw/master/csl-citation.json"}</w:instrText>
      </w:r>
      <w:r w:rsidR="007F02E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[74]</w:t>
      </w:r>
      <w:r w:rsidR="007F02E1" w:rsidRPr="005B1CCB">
        <w:rPr>
          <w:rFonts w:ascii="Palatino Linotype" w:hAnsi="Palatino Linotype"/>
          <w:sz w:val="24"/>
          <w:szCs w:val="24"/>
          <w:lang w:bidi="en-US"/>
        </w:rPr>
        <w:fldChar w:fldCharType="end"/>
      </w:r>
      <w:r w:rsidR="00C73B80" w:rsidRPr="005B1CCB">
        <w:rPr>
          <w:rFonts w:ascii="Palatino Linotype" w:hAnsi="Palatino Linotype"/>
          <w:sz w:val="24"/>
          <w:szCs w:val="24"/>
          <w:lang w:bidi="en-US"/>
        </w:rPr>
        <w:t>.</w:t>
      </w:r>
      <w:r w:rsidR="00C7217D" w:rsidRPr="005B1CCB">
        <w:rPr>
          <w:rFonts w:ascii="Palatino Linotype" w:hAnsi="Palatino Linotype"/>
          <w:sz w:val="24"/>
          <w:szCs w:val="24"/>
          <w:lang w:bidi="en-US"/>
        </w:rPr>
        <w:t xml:space="preserve"> </w:t>
      </w:r>
      <w:r w:rsidR="00F05FDE" w:rsidRPr="005B1CCB">
        <w:rPr>
          <w:rFonts w:ascii="Palatino Linotype" w:hAnsi="Palatino Linotype"/>
          <w:sz w:val="24"/>
          <w:szCs w:val="24"/>
          <w:lang w:bidi="en-US"/>
        </w:rPr>
        <w:t xml:space="preserve">In </w:t>
      </w:r>
      <w:r w:rsidR="00F37B6A">
        <w:rPr>
          <w:rFonts w:ascii="Palatino Linotype" w:hAnsi="Palatino Linotype"/>
          <w:sz w:val="24"/>
          <w:szCs w:val="24"/>
          <w:lang w:bidi="en-US"/>
        </w:rPr>
        <w:t xml:space="preserve">its </w:t>
      </w:r>
      <w:r w:rsidR="00F05FDE" w:rsidRPr="005B1CCB">
        <w:rPr>
          <w:rFonts w:ascii="Palatino Linotype" w:hAnsi="Palatino Linotype"/>
          <w:sz w:val="24"/>
          <w:szCs w:val="24"/>
          <w:lang w:bidi="en-US"/>
        </w:rPr>
        <w:t>liquid biopsy</w:t>
      </w:r>
      <w:r w:rsidR="00F37B6A">
        <w:rPr>
          <w:rFonts w:ascii="Palatino Linotype" w:hAnsi="Palatino Linotype"/>
          <w:sz w:val="24"/>
          <w:szCs w:val="24"/>
          <w:lang w:bidi="en-US"/>
        </w:rPr>
        <w:t xml:space="preserve"> application</w:t>
      </w:r>
      <w:r w:rsidR="00F05FDE" w:rsidRPr="005B1CCB">
        <w:rPr>
          <w:rFonts w:ascii="Palatino Linotype" w:hAnsi="Palatino Linotype"/>
          <w:sz w:val="24"/>
          <w:szCs w:val="24"/>
          <w:lang w:bidi="en-US"/>
        </w:rPr>
        <w:t>, besides the i</w:t>
      </w:r>
      <w:r w:rsidR="00000E58">
        <w:rPr>
          <w:rFonts w:ascii="Palatino Linotype" w:hAnsi="Palatino Linotype"/>
          <w:sz w:val="24"/>
          <w:szCs w:val="24"/>
          <w:lang w:bidi="en-US"/>
        </w:rPr>
        <w:t>ssue with cost due to the large</w:t>
      </w:r>
      <w:r w:rsidR="00F05FDE" w:rsidRPr="005B1CCB">
        <w:rPr>
          <w:rFonts w:ascii="Palatino Linotype" w:hAnsi="Palatino Linotype"/>
          <w:sz w:val="24"/>
          <w:szCs w:val="24"/>
          <w:lang w:bidi="en-US"/>
        </w:rPr>
        <w:t xml:space="preserve"> </w:t>
      </w:r>
      <w:r w:rsidR="008B6F62" w:rsidRPr="005B1CCB">
        <w:rPr>
          <w:rFonts w:ascii="Palatino Linotype" w:hAnsi="Palatino Linotype"/>
          <w:sz w:val="24"/>
          <w:szCs w:val="24"/>
          <w:lang w:bidi="en-US"/>
        </w:rPr>
        <w:t>volumes of</w:t>
      </w:r>
      <w:r w:rsidR="00F05FDE" w:rsidRPr="005B1CCB">
        <w:rPr>
          <w:rFonts w:ascii="Palatino Linotype" w:hAnsi="Palatino Linotype"/>
          <w:sz w:val="24"/>
          <w:szCs w:val="24"/>
          <w:lang w:bidi="en-US"/>
        </w:rPr>
        <w:t xml:space="preserve"> expensive consumables required, other known issues include sensitivity, specificity </w:t>
      </w:r>
      <w:r w:rsidR="00696B6F"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{"citationItems":[{"id":"ITEM-1","itemData":{"DOI":"10.1016/j.ebiom.2020.103100","ISSN":"23523964","PMID":"33161226","abstract":"Breast cancer is the most common cancer type in women worldwide and its early detection is crucial to curing the disease. Tissue biopsy, currently the method of choice to obtain tumour molecular information, is invasive and might be affected by tumour heterogeneity rendering it incapable to portray the complete molecular picture. Liquid biopsy permits to study disease features in a more comprehensive manner by sampling biofluids and extracting tumour components such as circulating-tumour DNA (ctDNA), circulating-tumour cells (CTCs), and/or circulating-tumour RNA (ctRNA) amongst others in a monitoring-compatible manner. In this review, we describe the recent progress in the utilization of the circulating tumour components using early breast cancer samples. We review the most important analytes and technologies employed for their study.","author":[{"dropping-particle":"","family":"Alba-Bernal","given":"Alfonso","non-dropping-particle":"","parse-names":false,"suffix":""},{"dropping-particle":"","family":"Lavado-Valenzuela","given":"Rocío","non-dropping-particle":"","parse-names":false,"suffix":""},{"dropping-particle":"","family":"Domínguez-Recio","given":"María Emilia","non-dropping-particle":"","parse-names":false,"suffix":""},{"dropping-particle":"","family":"Jiménez-Rodriguez","given":"Begoña","non-dropping-particle":"","parse-names":false,"suffix":""},{"dropping-particle":"","family":"Queipo-Ortuño","given":"María Isabel","non-dropping-particle":"","parse-names":false,"suffix":""},{"dropping-particle":"","family":"Alba","given":"Emilio","non-dropping-particle":"","parse-names":false,"suffix":""},{"dropping-particle":"","family":"Comino-Méndez","given":"Iñaki","non-dropping-particle":"","parse-names":false,"suffix":""}],"container-title":"EBioMedicine","id":"ITEM-1","issued":{"date-parts":[["2020"]]},"title":"Challenges and achievements of liquid biopsy technologies employed in early breast cancer","type":"article-journal","volume":"62"},"uris":["http://www.mendeley.com/documents/?uuid=ae0832e8-5a73-43d2-9c94-598f00c8ede3"]}],"mendeley":{"formattedCitation":"[75]","plainTextFormattedCitation":"[75]","previouslyFormattedCitation":"[75]"},"properties":{"noteIndex":0},"schema":"https://github.com/citation-style-language/schema/raw/master/csl-citation.json"}</w:instrText>
      </w:r>
      <w:r w:rsidR="00696B6F"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[75]</w:t>
      </w:r>
      <w:r w:rsidR="00696B6F" w:rsidRPr="005B1CCB">
        <w:rPr>
          <w:rFonts w:ascii="Palatino Linotype" w:hAnsi="Palatino Linotype"/>
          <w:sz w:val="24"/>
          <w:szCs w:val="24"/>
          <w:lang w:bidi="en-US"/>
        </w:rPr>
        <w:fldChar w:fldCharType="end"/>
      </w:r>
      <w:r w:rsidR="00F05FDE" w:rsidRPr="005B1CCB">
        <w:rPr>
          <w:rFonts w:ascii="Palatino Linotype" w:hAnsi="Palatino Linotype"/>
          <w:sz w:val="24"/>
          <w:szCs w:val="24"/>
          <w:lang w:bidi="en-US"/>
        </w:rPr>
        <w:t xml:space="preserve">, and miniaturisation making it not easily applicable for use in PoC. </w:t>
      </w:r>
    </w:p>
    <w:p w14:paraId="735268D3" w14:textId="77777777" w:rsidR="00B21B4B" w:rsidRPr="005B1CCB" w:rsidRDefault="00B21B4B" w:rsidP="00B21B4B">
      <w:pPr>
        <w:rPr>
          <w:lang w:bidi="en-US"/>
        </w:rPr>
      </w:pPr>
    </w:p>
    <w:p w14:paraId="3B8C6728" w14:textId="77777777" w:rsidR="00FB2135" w:rsidRPr="005B1CCB" w:rsidRDefault="00FB2135" w:rsidP="0029506E">
      <w:pPr>
        <w:pStyle w:val="Heading4"/>
        <w:rPr>
          <w:lang w:bidi="en-US"/>
        </w:rPr>
      </w:pPr>
      <w:r w:rsidRPr="005B1CCB">
        <w:rPr>
          <w:lang w:bidi="en-US"/>
        </w:rPr>
        <w:t>D</w:t>
      </w:r>
      <w:r w:rsidR="004F2EA6" w:rsidRPr="005B1CCB">
        <w:rPr>
          <w:lang w:bidi="en-US"/>
        </w:rPr>
        <w:t xml:space="preserve">roplet </w:t>
      </w:r>
      <w:r w:rsidR="00B21B4B" w:rsidRPr="005B1CCB">
        <w:rPr>
          <w:lang w:bidi="en-US"/>
        </w:rPr>
        <w:t>Digital</w:t>
      </w:r>
      <w:r w:rsidRPr="005B1CCB">
        <w:rPr>
          <w:lang w:bidi="en-US"/>
        </w:rPr>
        <w:t>-</w:t>
      </w:r>
      <w:r w:rsidR="008A6D7A" w:rsidRPr="005B1CCB">
        <w:rPr>
          <w:lang w:bidi="en-US"/>
        </w:rPr>
        <w:t xml:space="preserve">Polymerase Chain Reaction </w:t>
      </w:r>
      <w:r w:rsidR="004F2EA6" w:rsidRPr="005B1CCB">
        <w:rPr>
          <w:lang w:bidi="en-US"/>
        </w:rPr>
        <w:t>(ddPCR)</w:t>
      </w:r>
    </w:p>
    <w:p w14:paraId="145E30CB" w14:textId="63720180" w:rsidR="006058ED" w:rsidRPr="005B1CCB" w:rsidRDefault="005D36FF" w:rsidP="006C6CA6">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8A6D7A" w:rsidRPr="00E27313">
        <w:rPr>
          <w:rFonts w:ascii="Palatino Linotype" w:hAnsi="Palatino Linotype"/>
          <w:sz w:val="24"/>
          <w:szCs w:val="24"/>
          <w:lang w:bidi="en-US"/>
        </w:rPr>
        <w:t>ddPCR is a method</w:t>
      </w:r>
      <w:r w:rsidR="00255094" w:rsidRPr="00E27313">
        <w:rPr>
          <w:rFonts w:ascii="Palatino Linotype" w:hAnsi="Palatino Linotype"/>
          <w:sz w:val="24"/>
          <w:szCs w:val="24"/>
          <w:lang w:bidi="en-US"/>
        </w:rPr>
        <w:t xml:space="preserve"> </w:t>
      </w:r>
      <w:r w:rsidR="006058ED" w:rsidRPr="00E27313">
        <w:rPr>
          <w:rFonts w:ascii="Palatino Linotype" w:hAnsi="Palatino Linotype"/>
          <w:sz w:val="24"/>
          <w:szCs w:val="24"/>
          <w:lang w:bidi="en-US"/>
        </w:rPr>
        <w:t>used to precisely quantify nucleic acid sequences with mutations</w:t>
      </w:r>
      <w:r w:rsidR="009A5239" w:rsidRPr="005B1CCB">
        <w:rPr>
          <w:rFonts w:ascii="Palatino Linotype" w:hAnsi="Palatino Linotype"/>
          <w:sz w:val="24"/>
          <w:szCs w:val="24"/>
          <w:lang w:bidi="en-US"/>
        </w:rPr>
        <w:t xml:space="preserve">, where </w:t>
      </w:r>
      <w:r w:rsidR="009A5239" w:rsidRPr="00E27313">
        <w:rPr>
          <w:rFonts w:ascii="Palatino Linotype" w:hAnsi="Palatino Linotype"/>
          <w:sz w:val="24"/>
          <w:szCs w:val="24"/>
          <w:lang w:bidi="en-US"/>
        </w:rPr>
        <w:t>a sample molecule can be fractionated into millions of individual reactions to enable efficiency of the technique</w:t>
      </w:r>
      <w:r w:rsidR="009A5239" w:rsidRPr="005B1CCB">
        <w:rPr>
          <w:rFonts w:ascii="Palatino Linotype" w:hAnsi="Palatino Linotype"/>
          <w:sz w:val="24"/>
          <w:szCs w:val="24"/>
          <w:lang w:bidi="en-US"/>
        </w:rPr>
        <w:t xml:space="preserve"> </w:t>
      </w:r>
      <w:r w:rsidR="006C6CA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{"citationItems":[{"id":"ITEM-1","itemData":{"DOI":"10.1016/j.bbcan.2019.05.007","ISSN":"1879-2561","abstract":"Cancer, a local disease at an early stage, systemically evolves as it progresses by triggering alterations in surrounding microenvironment, disturbing immune surveillance and further disseminating its molecular contents into circulation. This pathogenic characteristic of cancer makes the use of biofluids such as blood/serum/plasma, urine, tear and cerebrospinal fluids credible surrogates harboring tumor tissue-derived molecular alterations for the detection of cancer. Most importantly, a number of recent reports have credentialed the clinical validity of saliva for the detection of systemic diseases including cancers. In this review, we discussed the validity of saliva as credible biofluid and clinical sample type for the detection of cancers. We have presented the molecular constituents of saliva that could mirror the systemic status of our body and recent findings of salivaomics associated with cancers. Recently, liquid biopsy to detect cancer-derived circulating tumor DNA has emerged as a credible cancer-detection tool with potential benefits in screening, diagnosis and also risk management of cancers. We have further presented the clinical validity of saliva for liquid biopsy of cancers and a new technology platform based on electrochemical detection of cancer-derived ctDNA in saliva with superior sensitivity and point-of-care potential. The clinical utilities of saliva for the detection of cancers have been evidenced, but biological underpinning on the existence of molecular signatures of cancer-origin in saliva, such as via exosomal distribution, should be addressed in detail.","author":[{"dropping-particle":"","family":"Kaczor-Urbanowicz","given":"Karolina Elżbieta","non-dropping-particle":"","parse-names":false,"suffix":""},{"dropping-particle":"","family":"Wei","given":"Fang","non-dropping-particle":"","parse-names":false,"suffix":""},{"dropping-particle":"","family":"Rao","given":"Shannon Liu","non-dropping-particle":"","parse-names":false,"suffix":""},{"dropping-particle":"","family":"Kim","given":"Jinseok","non-dropping-particle":"","parse-names":false,"suffix":""},{"dropping-particle":"","family":"Shin","given":"Heebum","non-dropping-particle":"","parse-names":false,"suffix":""},{"dropping-particle":"","family":"Cheng","given":"Jordan","non-dropping-particle":"","parse-names":false,"suffix":""},{"dropping-particle":"","family":"Tu","given":"Michael","non-dropping-particle":"","parse-names":false,"suffix":""},{"dropping-particle":"","family":"Wong","given":"David T W","non-dropping-particle":"","parse-names":false,"suffix":""},{"dropping-particle":"","family":"Kim","given":"Yong","non-dropping-particle":"","parse-names":false,"suffix":""}],"container-title":"Biochimica et biophysica acta. Reviews on cancer","edition":"2019/05/30","id":"ITEM-1","issue":"1","issued":{"date-parts":[["2019","8"]]},"language":"eng","page":"49-59","title":"Clinical validity of saliva and novel technology for cancer detection","type":"article-journal","volume":"1872"},"uris":["http://www.mendeley.com/documents/?uuid=b9a416a6-964e-4b2f-9d26-c435e424a707"]}],"mendeley":{"formattedCitation":"[70]","plainTextFormattedCitation":"[70]","previouslyFormattedCitation":"[70]"},"properties":{"noteIndex":0},"schema":"https://github.com/citation-style-language/schema/raw/master/csl-citation.json"}</w:instrText>
      </w:r>
      <w:r w:rsidR="006C6CA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[70]</w:t>
      </w:r>
      <w:r w:rsidR="006C6CA6" w:rsidRPr="005B1CCB">
        <w:rPr>
          <w:rFonts w:ascii="Palatino Linotype" w:hAnsi="Palatino Linotype"/>
          <w:sz w:val="24"/>
          <w:szCs w:val="24"/>
          <w:lang w:bidi="en-US"/>
        </w:rPr>
        <w:fldChar w:fldCharType="end"/>
      </w:r>
      <w:r w:rsidR="009A5239" w:rsidRPr="005B1CCB">
        <w:rPr>
          <w:rFonts w:ascii="Palatino Linotype" w:hAnsi="Palatino Linotype"/>
          <w:sz w:val="24"/>
          <w:szCs w:val="24"/>
          <w:lang w:bidi="en-US"/>
        </w:rPr>
        <w:t>.</w:t>
      </w:r>
      <w:r w:rsidR="00EF1130" w:rsidRPr="005B1CCB">
        <w:rPr>
          <w:rFonts w:ascii="Palatino Linotype" w:hAnsi="Palatino Linotype"/>
          <w:sz w:val="24"/>
          <w:szCs w:val="24"/>
          <w:lang w:bidi="en-US"/>
        </w:rPr>
        <w:t xml:space="preserve"> </w:t>
      </w:r>
      <w:r w:rsidR="008C7CEE" w:rsidRPr="005B1CCB">
        <w:rPr>
          <w:rFonts w:ascii="Palatino Linotype" w:hAnsi="Palatino Linotype"/>
          <w:sz w:val="24"/>
          <w:szCs w:val="24"/>
          <w:lang w:bidi="en-US"/>
        </w:rPr>
        <w:t xml:space="preserve">This technology was the </w:t>
      </w:r>
      <w:r w:rsidR="008C7CEE" w:rsidRPr="00E27313">
        <w:rPr>
          <w:rFonts w:ascii="Palatino Linotype" w:hAnsi="Palatino Linotype"/>
          <w:sz w:val="24"/>
          <w:szCs w:val="24"/>
          <w:lang w:bidi="en-US"/>
        </w:rPr>
        <w:t>first that was used to characterise very low levels of mutated DNA</w:t>
      </w:r>
      <w:r w:rsidR="008C7CEE" w:rsidRPr="005B1CCB">
        <w:rPr>
          <w:rFonts w:ascii="Palatino Linotype" w:hAnsi="Palatino Linotype"/>
          <w:sz w:val="24"/>
          <w:szCs w:val="24"/>
          <w:lang w:bidi="en-US"/>
        </w:rPr>
        <w:t xml:space="preserve">.  </w:t>
      </w:r>
      <w:r w:rsidR="003D4B2B" w:rsidRPr="005B1CCB">
        <w:rPr>
          <w:rFonts w:ascii="Palatino Linotype" w:hAnsi="Palatino Linotype"/>
          <w:sz w:val="24"/>
          <w:szCs w:val="24"/>
          <w:lang w:bidi="en-US"/>
        </w:rPr>
        <w:t xml:space="preserve">The technology is </w:t>
      </w:r>
      <w:r w:rsidR="003D4B2B" w:rsidRPr="00E27313">
        <w:rPr>
          <w:rFonts w:ascii="Palatino Linotype" w:hAnsi="Palatino Linotype"/>
          <w:sz w:val="24"/>
          <w:szCs w:val="24"/>
          <w:lang w:bidi="en-US"/>
        </w:rPr>
        <w:t>based on water-oil emulsion droplet technology where PCR amplification of each template occurs in the individual DNA sample droplet</w:t>
      </w:r>
      <w:r w:rsidR="00811FA1" w:rsidRPr="005B1CCB">
        <w:rPr>
          <w:rFonts w:ascii="Palatino Linotype" w:hAnsi="Palatino Linotype"/>
          <w:sz w:val="24"/>
          <w:szCs w:val="24"/>
          <w:lang w:bidi="en-US"/>
        </w:rPr>
        <w:t xml:space="preserve"> </w:t>
      </w:r>
      <w:r w:rsidR="00811FA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{"citationItems":[{"id":"ITEM-1","itemData":{"ISBN":"2296-634X","abstract":"The clonal evolution of acute myeloid leukemia (AML), an oligoclonal hematological malignancy, is driven by a plethora of cytogenetic abnormalities, gene mutations, abnormal epigenetic patterns, and aberrant gene expressions. These alterations in the leukemic blasts promote clinically diverse manifestations with common characteristics of high relapse and drug resistance. Defining and real-time monitoring of a personalized panel of these predictive genetic biomarkers is rapidly being adapted in clinical setting for diagnostic, prognostic, and therapeutic decision-making in AML. A major challenge remains the frequency of invasive biopsy procedures that can be routinely performed for monitoring of AML disease progression. Moreover, a single-site biopsy is not representative of the tumor heterogeneity as it is spatially and temporally constrained and necessitates the understanding of longitudinal and spatial subclonal dynamics in AML. Hematopoietic cells are a major contributor to plasma cell-free DNA, which also contain leukemia-specific aberrations as the circulating tumor-derived DNA (ctDNA) fraction. Plasma cell-free DNA analysis holds immense potential as a minimally invasive tool for genomic profiling at diagnosis as well as clonal evolution during AML disease progression. With the technological advances and increasing sensitivity for detection of ctDNA, both genetic and epigenetic aberrations can be qualitatively and quantitatively evaluated. However, challenges remain in validating the utility of liquid biopsy tools in clinics, and universal recommendations are still awaited towards reliable diagnostics and prognostics. Here, we provide an overview on the scope of ctDNA analyses for prognosis, assessment of response to treatment and measurable residual disease, prediction of disease relapse, development of acquired resistance and beyond in AML.","author":[{"dropping-particle":"","family":"Thakral","given":"Deepshi","non-dropping-particle":"","parse-names":false,"suffix":""},{"dropping-particle":"","family":"Gupta","given":"Ritu","non-dropping-particle":"","parse-names":false,"suffix":""},{"dropping-particle":"","family":"Sahoo","given":"Ranjit Kumar","non-dropping-particle":"","parse-names":false,"suffix":""},{"dropping-particle":"","family":"Verma","given":"Pramod","non-dropping-particle":"","parse-names":false,"suffix":""},{"dropping-particle":"","family":"Kumar","given":"Indresh","non-dropping-particle":"","parse-names":false,"suffix":""},{"dropping-particle":"","family":"Vashishtha","given":"Sangeeta","non-dropping-particle":"","parse-names":false,"suffix":""}],"container-title":"Frontiers in Cell and Developmental Biology  ","id":"ITEM-1","issued":{"date-parts":[["2020"]]},"page":"1328","title":"Real-Time Molecular Monitoring in Acute Myeloid Leukemia With Circulating Tumor DNA   ","type":"article","volume":"8      "},"uris":["http://www.mendeley.com/documents/?uuid=e732e714-c5aa-4c89-8124-15d3aca5c10b"]}],"mendeley":{"formattedCitation":"[76]","plainTextFormattedCitation":"[76]","previouslyFormattedCitation":"[76]"},"properties":{"noteIndex":0},"schema":"https://github.com/citation-style-language/schema/raw/master/csl-citation.json"}</w:instrText>
      </w:r>
      <w:r w:rsidR="00811FA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[76]</w:t>
      </w:r>
      <w:r w:rsidR="00811FA1" w:rsidRPr="005B1CCB">
        <w:rPr>
          <w:rFonts w:ascii="Palatino Linotype" w:hAnsi="Palatino Linotype"/>
          <w:sz w:val="24"/>
          <w:szCs w:val="24"/>
          <w:lang w:bidi="en-US"/>
        </w:rPr>
        <w:fldChar w:fldCharType="end"/>
      </w:r>
      <w:r w:rsidR="003D4B2B" w:rsidRPr="005B1CCB">
        <w:rPr>
          <w:rFonts w:ascii="Palatino Linotype" w:hAnsi="Palatino Linotype"/>
          <w:sz w:val="24"/>
          <w:szCs w:val="24"/>
          <w:lang w:bidi="en-US"/>
        </w:rPr>
        <w:t xml:space="preserve">. </w:t>
      </w:r>
      <w:r w:rsidR="008C7CEE" w:rsidRPr="005B1CCB">
        <w:rPr>
          <w:rFonts w:ascii="Palatino Linotype" w:hAnsi="Palatino Linotype"/>
          <w:sz w:val="24"/>
          <w:szCs w:val="24"/>
          <w:lang w:bidi="en-US"/>
        </w:rPr>
        <w:t xml:space="preserve">The fluorescence of each </w:t>
      </w:r>
      <w:r w:rsidR="004D7FBF" w:rsidRPr="005B1CCB">
        <w:rPr>
          <w:rFonts w:ascii="Palatino Linotype" w:hAnsi="Palatino Linotype"/>
          <w:sz w:val="24"/>
          <w:szCs w:val="24"/>
          <w:lang w:bidi="en-US"/>
        </w:rPr>
        <w:t>droplet</w:t>
      </w:r>
      <w:r w:rsidR="008C7CEE" w:rsidRPr="005B1CCB">
        <w:rPr>
          <w:rFonts w:ascii="Palatino Linotype" w:hAnsi="Palatino Linotype"/>
          <w:sz w:val="24"/>
          <w:szCs w:val="24"/>
          <w:lang w:bidi="en-US"/>
        </w:rPr>
        <w:t xml:space="preserve"> is then measured using flow cytometry to quantify the number of fluorescent droplets containing mutated copies of DNA </w:t>
      </w:r>
      <w:r w:rsidR="008C7CE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{"citationItems":[{"id":"ITEM-1","itemData":{"DOI":"10.2147/CMAR.S170380","ISSN":"1179-1322","abstract":"In recent years, new therapeutic options have become available for prostate cancer (PC) patients, generating an urgent need for better biomarkers to guide the choice of therapy and monitor treatment response. Liquid biopsies, including circulating tumor cells (CTCs), circulating nucleic acids, and exosomes, have been developed as minimally invasive assays allowing oncologists to monitor PC patients with real-time cellular or molecular information. While CTC counts remain the most extensively validated prognostic biomarker to monitor treatment response, recent advances demonstrate that CTC morphology and androgen receptor characterization can provide additional information to guide the choice of treatment. Characterization of cell-free DNA (cfDNA) is another rapidly emerging field with novel technologies capable of monitoring the evolution of treatment relevant alterations such as those in DNA damage repair genes for poly (ADP-ribose) polymerase (PARP) inhibition. In addition, several new liquid biopsy fields are emerging, including the characterization of heterogeneity, CTC RNA sequencing, the culture and xenografting of CTCs, and the characterization of extracellular vesicles (EVs) and circulating microRNAs. This review describes the clinical utilization of liquid biopsies in the management of PC patients and emerging liquid biopsy technologies with the potential to advance personalized cancer therapy.","author":[{"dropping-particle":"","family":"Lu","given":"Yi-Tsung","non-dropping-particle":"","parse-names":false,"suffix":""},{"dropping-particle":"","family":"Delijani","given":"Kevin","non-dropping-particle":"","parse-names":false,"suffix":""},{"dropping-particle":"","family":"Mecum","given":"Andrew","non-dropping-particle":"","parse-names":false,"suffix":""},{"dropping-particle":"","family":"Goldkorn","given":"Amir","non-dropping-particle":"","parse-names":false,"suffix":""}],"container-title":"Cancer management and research","id":"ITEM-1","issued":{"date-parts":[["2019","6","6"]]},"language":"eng","page":"5271-5291","publisher":"Dove","title":"Current status of liquid biopsies for the detection and management of prostate cancer","type":"article-journal","volume":"11"},"uris":["http://www.mendeley.com/documents/?uuid=bf4ae8ea-24a2-404f-a134-bc19ad72f9c2"]}],"mendeley":{"formattedCitation":"[47]","plainTextFormattedCitation":"[47]","previouslyFormattedCitation":"[47]"},"properties":{"noteIndex":0},"schema":"https://github.com/citation-style-language/schema/raw/master/csl-citation.json"}</w:instrText>
      </w:r>
      <w:r w:rsidR="008C7CE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[47]</w:t>
      </w:r>
      <w:r w:rsidR="008C7CEE" w:rsidRPr="005B1CCB">
        <w:rPr>
          <w:rFonts w:ascii="Palatino Linotype" w:hAnsi="Palatino Linotype"/>
          <w:sz w:val="24"/>
          <w:szCs w:val="24"/>
          <w:lang w:bidi="en-US"/>
        </w:rPr>
        <w:fldChar w:fldCharType="end"/>
      </w:r>
      <w:r w:rsidR="008C7CEE" w:rsidRPr="005B1CCB">
        <w:rPr>
          <w:rFonts w:ascii="Palatino Linotype" w:hAnsi="Palatino Linotype"/>
          <w:sz w:val="24"/>
          <w:szCs w:val="24"/>
          <w:lang w:bidi="en-US"/>
        </w:rPr>
        <w:t xml:space="preserve">. </w:t>
      </w:r>
      <w:r w:rsidR="00EF1130" w:rsidRPr="00E27313">
        <w:rPr>
          <w:rFonts w:ascii="Palatino Linotype" w:hAnsi="Palatino Linotype"/>
          <w:sz w:val="24"/>
          <w:szCs w:val="24"/>
          <w:lang w:bidi="en-US"/>
        </w:rPr>
        <w:t>Compared to real-time quantitative PCR, ddPCR is better at detecting rare genetic variants making it less susceptible to inhibitors</w:t>
      </w:r>
      <w:r w:rsidR="000D15BD" w:rsidRPr="005B1CCB">
        <w:rPr>
          <w:rFonts w:ascii="Palatino Linotype" w:hAnsi="Palatino Linotype"/>
          <w:sz w:val="24"/>
          <w:szCs w:val="24"/>
          <w:lang w:bidi="en-US"/>
        </w:rPr>
        <w:t xml:space="preserve"> </w:t>
      </w:r>
      <w:r w:rsidR="000D15B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{"citationItems":[{"id":"ITEM-1","itemData":{"DOI":"10.1373/clinchem.2013.214742","ISSN":"0009-9147","abstract":"The latest incarnation of PCR, digital PCR (dPCR),2 takes 2 decades of development in enzyme chemistry and assay design and applies them with formidable precision and sensitivity. dPCR is achieved by performing a limiting dilution of DNA into a succession of individual PCR reactions (or partitions). Limiting dilution, made practical by advances in partitioning with nanofluidics and emulsion chemistries, capitalizes on the random distribution of the DNA template and the fact that Poisson statistics can be used to measure the quantities of DNA present for a given proportion of positive partitions. And what is more, it appears to work; results obtained with the technique are linear, and it is capable of detecting and quantifying miniscule amounts of template (1, 2).","author":[{"dropping-particle":"","family":"Huggett","given":"Jim F","non-dropping-particle":"","parse-names":false,"suffix":""},{"dropping-particle":"","family":"Whale","given":"Alexandra","non-dropping-particle":"","parse-names":false,"suffix":""}],"container-title":"Clinical Chemistry","id":"ITEM-1","issue":"12","issued":{"date-parts":[["2013","12","1"]]},"page":"1691-1693","title":"Digital PCR as a Novel Technology and Its Potential Implications for Molecular Diagnostics","type":"article-journal","volume":"59"},"uris":["http://www.mendeley.com/documents/?uuid=cd541726-504f-4244-83ad-d501d8e9de56"]}],"mendeley":{"formattedCitation":"[77]","plainTextFormattedCitation":"[77]","previouslyFormattedCitation":"[77]"},"properties":{"noteIndex":0},"schema":"https://github.com/citation-style-language/schema/raw/master/csl-citation.json"}</w:instrText>
      </w:r>
      <w:r w:rsidR="000D15B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[77]</w:t>
      </w:r>
      <w:r w:rsidR="000D15BD" w:rsidRPr="005B1CCB">
        <w:rPr>
          <w:rFonts w:ascii="Palatino Linotype" w:hAnsi="Palatino Linotype"/>
          <w:sz w:val="24"/>
          <w:szCs w:val="24"/>
          <w:lang w:bidi="en-US"/>
        </w:rPr>
        <w:fldChar w:fldCharType="end"/>
      </w:r>
      <w:r w:rsidR="00EF1130" w:rsidRPr="005B1CCB">
        <w:rPr>
          <w:rFonts w:ascii="Palatino Linotype" w:hAnsi="Palatino Linotype"/>
          <w:sz w:val="24"/>
          <w:szCs w:val="24"/>
          <w:lang w:bidi="en-US"/>
        </w:rPr>
        <w:t>.</w:t>
      </w:r>
      <w:r w:rsidR="00C06998" w:rsidRPr="005B1CCB">
        <w:rPr>
          <w:rFonts w:ascii="Palatino Linotype" w:hAnsi="Palatino Linotype"/>
          <w:sz w:val="24"/>
          <w:szCs w:val="24"/>
          <w:lang w:bidi="en-US"/>
        </w:rPr>
        <w:t xml:space="preserve"> </w:t>
      </w:r>
      <w:r w:rsidR="00F5362E" w:rsidRPr="00E27313">
        <w:rPr>
          <w:rFonts w:ascii="Palatino Linotype" w:hAnsi="Palatino Linotype"/>
          <w:sz w:val="24"/>
          <w:szCs w:val="24"/>
          <w:lang w:bidi="en-US"/>
        </w:rPr>
        <w:t>The limit of ctDNA detection that has been observed is 0.</w:t>
      </w:r>
      <w:r w:rsidR="00771B6E" w:rsidRPr="00E27313">
        <w:rPr>
          <w:rFonts w:ascii="Palatino Linotype" w:hAnsi="Palatino Linotype"/>
          <w:sz w:val="24"/>
          <w:szCs w:val="24"/>
          <w:lang w:bidi="en-US"/>
        </w:rPr>
        <w:t>005</w:t>
      </w:r>
      <w:r w:rsidR="00D2057F" w:rsidRPr="00E27313">
        <w:rPr>
          <w:rFonts w:ascii="Palatino Linotype" w:hAnsi="Palatino Linotype"/>
          <w:sz w:val="24"/>
          <w:szCs w:val="24"/>
          <w:lang w:bidi="en-US"/>
        </w:rPr>
        <w:t xml:space="preserve"> </w:t>
      </w:r>
      <w:r w:rsidR="00F5362E" w:rsidRPr="00E27313">
        <w:rPr>
          <w:rFonts w:ascii="Palatino Linotype" w:hAnsi="Palatino Linotype"/>
          <w:sz w:val="24"/>
          <w:szCs w:val="24"/>
          <w:lang w:bidi="en-US"/>
        </w:rPr>
        <w:t>%</w:t>
      </w:r>
      <w:r w:rsidR="00F5362E" w:rsidRPr="005B1CCB">
        <w:rPr>
          <w:rFonts w:ascii="Palatino Linotype" w:hAnsi="Palatino Linotype"/>
          <w:sz w:val="24"/>
          <w:szCs w:val="24"/>
          <w:lang w:bidi="en-US"/>
        </w:rPr>
        <w:t xml:space="preserve"> </w:t>
      </w:r>
      <w:r w:rsidR="00F5362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{"citationItems":[{"id":"ITEM-1","itemData":{"DOI":"10.1007/s11523-021-00795-5","ISSN":"1776-260X","abstract":"Liquid biopsy recently gained widespread attention as a noninvasive alternative/complementary technique to tissue biopsy in patients with cancer. As technological advances have improved both feasibility and turnaround time, liquid biopsy has expanded tumor molecular analysis with acknowledgement of both spatial and temporal heterogeneity, overcoming many limitations of traditional tissue biopsy. Because of its diagnostic, prognostic, and predictive value, liquid biopsy has been extensively studied also in metastatic colorectal cancer. Indeed, as personalized medicine establishes its role in cancer treatment, genetic biomarkers unveiling the emergence of early resistance are needed. Among the wide variety of tumor analytes amenable to collection, circulating DNA and circulating tumor cells are the most adopted approaches, and both carry clinical relevance in colorectal cancer. However, few studies focused on comparing feasibility between these two approaches. In this review, we discuss the potential implications of liquid biopsy in metastatic colorectal cancer, assessing the advantages and drawbacks of circulating DNA and circulating tumor cells, and highlighting the most relevant trials for clinical practice.","author":[{"dropping-particle":"","family":"Patelli","given":"Giorgio","non-dropping-particle":"","parse-names":false,"suffix":""},{"dropping-particle":"","family":"Vaghi","given":"Caterina","non-dropping-particle":"","parse-names":false,"suffix":""},{"dropping-particle":"","family":"Tosi","given":"Federica","non-dropping-particle":"","parse-names":false,"suffix":""},{"dropping-particle":"","family":"Mauri","given":"Gianluca","non-dropping-particle":"","parse-names":false,"suffix":""},{"dropping-particle":"","family":"Amatu","given":"Alessio","non-dropping-particle":"","parse-names":false,"suffix":""},{"dropping-particle":"","family":"Massihnia","given":"Daniela","non-dropping-particle":"","parse-names":false,"suffix":""},{"dropping-particle":"","family":"Ghezzi","given":"Silvia","non-dropping-particle":"","parse-names":false,"suffix":""},{"dropping-particle":"","family":"Bonazzina","given":"Erica","non-dropping-particle":"","parse-names":false,"suffix":""},{"dropping-particle":"","family":"Bencardino","given":"Katia","non-dropping-particle":"","parse-names":false,"suffix":""},{"dropping-particle":"","family":"Cerea","given":"Giulio","non-dropping-particle":"","parse-names":false,"suffix":""},{"dropping-particle":"","family":"Siena","given":"Salvatore","non-dropping-particle":"","parse-names":false,"suffix":""},{"dropping-particle":"","family":"Sartore-Bianchi","given":"Andrea","non-dropping-particle":"","parse-names":false,"suffix":""}],"container-title":"Targeted Oncology","id":"ITEM-1","issue":"3","issued":{"date-parts":[["2021"]]},"page":"309-324","title":"Liquid Biopsy for Prognosis and Treatment in Metastatic Colorectal Cancer: Circulating Tumor Cells vs Circulating Tumor DNA","type":"article-journal","volume":"16"},"uris":["http://www.mendeley.com/documents/?uuid=77dc5246-0205-4349-a97c-b2d4e1c36103"]}],"mendeley":{"formattedCitation":"[72]","plainTextFormattedCitation":"[72]","previouslyFormattedCitation":"[72]"},"properties":{"noteIndex":0},"schema":"https://github.com/citation-style-language/schema/raw/master/csl-citation.json"}</w:instrText>
      </w:r>
      <w:r w:rsidR="00F5362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[72]</w:t>
      </w:r>
      <w:r w:rsidR="00F5362E" w:rsidRPr="005B1CCB">
        <w:rPr>
          <w:rFonts w:ascii="Palatino Linotype" w:hAnsi="Palatino Linotype"/>
          <w:sz w:val="24"/>
          <w:szCs w:val="24"/>
          <w:lang w:bidi="en-US"/>
        </w:rPr>
        <w:fldChar w:fldCharType="end"/>
      </w:r>
      <w:r w:rsidR="00771B6E" w:rsidRPr="005B1CCB">
        <w:rPr>
          <w:rFonts w:ascii="Palatino Linotype" w:hAnsi="Palatino Linotype"/>
          <w:sz w:val="24"/>
          <w:szCs w:val="24"/>
          <w:lang w:bidi="en-US"/>
        </w:rPr>
        <w:t xml:space="preserve"> </w:t>
      </w:r>
      <w:r w:rsidR="00771B6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{"citationItems":[{"id":"ITEM-1","itemData":{"DOI":"10.1373/clinchem.2014.230235","ISSN":"0009-9147","abstract":"Around 50% of cutaneous melanomas harbor the BRAFV600E mutation and can be treated with BRAF inhibitors. DNA carrying this mutation can be released into circulation as cell-free BRAFV600E (cfBRAFV600E). Droplet digital PCR (ddPCR) is an analytically sensitive technique for quantifying small concentrations of DNA. We studied the plasma concentrations of cfBRAFV600E by ddPCR in patients with melanoma during therapy with BRAF inhibitors.Plasma concentrations of cfBRAFV600E were measured in 8 controls and 20 patients with advanced melanoma having the BRAFV600E mutation during treatment with BRAF inhibitors at baseline, first month, best response, and progression.The BRAFV600E mutation was detected by ddPCR even at a fractional abundance of 0.005% in the wild-type gene. Agreement between tumor tissue BRAFV600E and plasma cfBRAFV600E was 84.3%. Baseline cfBRAFV600E correlated with tumor burden (r = 0.742, P &amp;lt; 0.001). cfBRAFV600E concentrations decreased significantly at the first month of therapy (basal median, 216 copies/mL; Q1–Q3, 27–647 copies/mL; first response median, 0 copies/mL; Q1–Q3, 0–49 copies/mL; P &amp;lt; 0.01) and at the moment of best response (median, 0 copies/mL; Q1–Q3, 0–33 copies/mL; P &amp;lt; 0.01). At progression, there was a significant increase in the concentration of cfBRAFV600E compared with best response (median, 115 copies/mL; Q1–Q3, 3–707 copies/mL; P = 0.013). Lower concentrations of basal cfBRAFV600E were significantly associated with longer overall survival and progression-free survival (27.7 months and 9 months, respectively) than higher basal concentrations (8.6 months and 3 months, P &amp;lt; 0.001 and P = 0.024, respectively).cfBRAFV600E quantification in plasma by ddPCR is useful as a follow-up to treatment response in patients with advanced melanoma.","author":[{"dropping-particle":"","family":"Sanmamed","given":"Miguel F","non-dropping-particle":"","parse-names":false,"suffix":""},{"dropping-particle":"","family":"Fernández-Landázuri","given":"Sara","non-dropping-particle":"","parse-names":false,"suffix":""},{"dropping-particle":"","family":"Rodríguez","given":"Carmen","non-dropping-particle":"","parse-names":false,"suffix":""},{"dropping-particle":"","family":"Zárate","given":"Ruth","non-dropping-particle":"","parse-names":false,"suffix":""},{"dropping-particle":"","family":"Lozano","given":"María D","non-dropping-particle":"","parse-names":false,"suffix":""},{"dropping-particle":"","family":"Zubiri","given":"Leyre","non-dropping-particle":"","parse-names":false,"suffix":""},{"dropping-particle":"","family":"Perez-Gracia","given":"José Luis","non-dropping-particle":"","parse-names":false,"suffix":""},{"dropping-particle":"","family":"Martín-Algarra","given":"Salvador","non-dropping-particle":"","parse-names":false,"suffix":""},{"dropping-particle":"","family":"González","given":"Alvaro","non-dropping-particle":"","parse-names":false,"suffix":""}],"container-title":"Clinical Chemistry","id":"ITEM-1","issue":"1","issued":{"date-parts":[["2015","1","1"]]},"page":"297-304","title":"Quantitative Cell-Free Circulating BRAFV600E Mutation Analysis by Use of Droplet Digital PCR in the Follow-up of Patients with Melanoma Being Treated with BRAF Inhibitors","type":"article-journal","volume":"61"},"uris":["http://www.mendeley.com/documents/?uuid=54e02d2c-22be-4795-a695-89923a802a8b"]}],"mendeley":{"formattedCitation":"[78]","plainTextFormattedCitation":"[78]","previouslyFormattedCitation":"[78]"},"properties":{"noteIndex":0},"schema":"https://github.com/citation-style-language/schema/raw/master/csl-citation.json"}</w:instrText>
      </w:r>
      <w:r w:rsidR="00771B6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[78]</w:t>
      </w:r>
      <w:r w:rsidR="00771B6E" w:rsidRPr="005B1CCB">
        <w:rPr>
          <w:rFonts w:ascii="Palatino Linotype" w:hAnsi="Palatino Linotype"/>
          <w:sz w:val="24"/>
          <w:szCs w:val="24"/>
          <w:lang w:bidi="en-US"/>
        </w:rPr>
        <w:fldChar w:fldCharType="end"/>
      </w:r>
      <w:r w:rsidR="00F5362E" w:rsidRPr="005B1CCB">
        <w:rPr>
          <w:rFonts w:ascii="Palatino Linotype" w:hAnsi="Palatino Linotype"/>
          <w:sz w:val="24"/>
          <w:szCs w:val="24"/>
          <w:lang w:bidi="en-US"/>
        </w:rPr>
        <w:t xml:space="preserve">. </w:t>
      </w:r>
      <w:r w:rsidR="00C06998" w:rsidRPr="005B1CCB">
        <w:rPr>
          <w:rFonts w:ascii="Palatino Linotype" w:hAnsi="Palatino Linotype"/>
          <w:sz w:val="24"/>
          <w:szCs w:val="24"/>
          <w:lang w:bidi="en-US"/>
        </w:rPr>
        <w:t xml:space="preserve">A limitation with this technique is that it only detects specific genomic loci and is limited in multiplexing </w:t>
      </w:r>
      <w:r w:rsidR="00892CD2" w:rsidRPr="005B1CCB">
        <w:rPr>
          <w:rFonts w:ascii="Palatino Linotype" w:hAnsi="Palatino Linotype"/>
          <w:sz w:val="24"/>
          <w:szCs w:val="24"/>
          <w:lang w:bidi="en-US"/>
        </w:rPr>
        <w:t xml:space="preserve">and PoC applications </w:t>
      </w:r>
      <w:r w:rsidR="00C06998"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{"citationItems":[{"id":"ITEM-1","itemData":{"DOI":"10.1016/j.csbj.2018.10.002","ISSN":"20010370","abstract":"Precision medicine in the clinical management of cancer may be achieved through the diagnostic platform called “liquid biopsy”. This method utilizes the detection of biomarkers in blood for prognostic and predictive purposes. One of the latest blood born markers under investigation in the field of liquid biopsy in cancer patients is circulating tumor DNA (ctDNA). ctDNA is released by tumor cells through different mechanisms and can therefore provide information about the genomic make-up of the tumor currently present in the patient. Through longitudinal ctDNA-based liquid biopsies, tumor dynamics may be monitored to predict and assess drug response and/or resistance. However, because ctDNA is highly fragmented and because its concentration can be extremely low in a high background of normal circulating DNA, screening for clinical relevant mutations is challenging. Although significant progress has been made in advancing the detection and analysis of ctDNA in the last few years, the current challenges include standardization and increasing current techniques to single molecule sensitivity in combination with perfect specificity. This review focuses on the potential role of ctDNA in the clinical management of cancer patients, the current technologies that are being employed, and the hurdles that still need to be taken to achieve ctDNA-based liquid biopsy towards precision medicine.","author":[{"dropping-particle":"","family":"Elazezy","given":"Maha","non-dropping-particle":"","parse-names":false,"suffix":""},{"dropping-particle":"","family":"Joosse","given":"Simon A.","non-dropping-particle":"","parse-names":false,"suffix":""}],"container-title":"Computational and Structural Biotechnology Journal","id":"ITEM-1","issued":{"date-parts":[["2018"]]},"page":"370-378","publisher":"The Authors","title":"Techniques of using circulating tumor DNA as a liquid biopsy component in cancer management","type":"article-journal","volume":"16"},"uris":["http://www.mendeley.com/documents/?uuid=37b06e44-83f6-44d1-aa10-3885a16439b3"]}],"mendeley":{"formattedCitation":"[79]","plainTextFormattedCitation":"[79]","previouslyFormattedCitation":"[79]"},"properties":{"noteIndex":0},"schema":"https://github.com/citation-style-language/schema/raw/master/csl-citation.json"}</w:instrText>
      </w:r>
      <w:r w:rsidR="00C06998"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[79]</w:t>
      </w:r>
      <w:r w:rsidR="00C06998" w:rsidRPr="005B1CCB">
        <w:rPr>
          <w:rFonts w:ascii="Palatino Linotype" w:hAnsi="Palatino Linotype"/>
          <w:sz w:val="24"/>
          <w:szCs w:val="24"/>
          <w:lang w:bidi="en-US"/>
        </w:rPr>
        <w:fldChar w:fldCharType="end"/>
      </w:r>
      <w:r w:rsidR="00C06998" w:rsidRPr="005B1CCB">
        <w:rPr>
          <w:rFonts w:ascii="Palatino Linotype" w:hAnsi="Palatino Linotype"/>
          <w:sz w:val="24"/>
          <w:szCs w:val="24"/>
          <w:lang w:bidi="en-US"/>
        </w:rPr>
        <w:t>.</w:t>
      </w:r>
    </w:p>
    <w:p w14:paraId="7C828541" w14:textId="77777777" w:rsidR="00D2057F" w:rsidRPr="005B1CCB" w:rsidRDefault="00D2057F" w:rsidP="006C6CA6">
      <w:pPr>
        <w:spacing w:line="360" w:lineRule="auto"/>
        <w:jc w:val="both"/>
        <w:rPr>
          <w:rFonts w:ascii="Palatino Linotype" w:hAnsi="Palatino Linotype"/>
          <w:sz w:val="24"/>
          <w:szCs w:val="24"/>
          <w:lang w:bidi="en-US"/>
        </w:rPr>
      </w:pPr>
    </w:p>
    <w:p w14:paraId="363F0095" w14:textId="77777777" w:rsidR="004C3154" w:rsidRPr="005B1CCB" w:rsidRDefault="008C7CEE" w:rsidP="00492F11">
      <w:pPr>
        <w:pStyle w:val="Heading4"/>
        <w:rPr>
          <w:lang w:bidi="en-US"/>
        </w:rPr>
      </w:pPr>
      <w:r w:rsidRPr="005B1CCB">
        <w:rPr>
          <w:lang w:bidi="en-US"/>
        </w:rPr>
        <w:t>Next-generation sequencing (</w:t>
      </w:r>
      <w:r w:rsidR="00FB2135" w:rsidRPr="005B1CCB">
        <w:rPr>
          <w:lang w:bidi="en-US"/>
        </w:rPr>
        <w:t xml:space="preserve">NGS </w:t>
      </w:r>
      <w:r w:rsidR="004C3154" w:rsidRPr="005B1CCB">
        <w:rPr>
          <w:lang w:bidi="en-US"/>
        </w:rPr>
        <w:t>sequencing</w:t>
      </w:r>
      <w:r w:rsidRPr="005B1CCB">
        <w:rPr>
          <w:lang w:bidi="en-US"/>
        </w:rPr>
        <w:t>):</w:t>
      </w:r>
      <w:r w:rsidR="00B14869" w:rsidRPr="005B1CCB">
        <w:rPr>
          <w:lang w:bidi="en-US"/>
        </w:rPr>
        <w:t xml:space="preserve"> </w:t>
      </w:r>
    </w:p>
    <w:p w14:paraId="2A06123F" w14:textId="0D099BBD" w:rsidR="003C20F2" w:rsidRPr="005B1CCB" w:rsidRDefault="005D36FF" w:rsidP="005B36B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4C3154" w:rsidRPr="005B1CCB">
        <w:rPr>
          <w:rFonts w:ascii="Palatino Linotype" w:hAnsi="Palatino Linotype"/>
          <w:sz w:val="24"/>
          <w:szCs w:val="24"/>
          <w:lang w:bidi="en-US"/>
        </w:rPr>
        <w:t xml:space="preserve">This technology utilizes the technique of </w:t>
      </w:r>
      <w:r w:rsidR="005B36B8" w:rsidRPr="00E27313">
        <w:rPr>
          <w:rFonts w:ascii="Palatino Linotype" w:hAnsi="Palatino Linotype"/>
          <w:sz w:val="24"/>
          <w:szCs w:val="24"/>
          <w:lang w:bidi="en-US"/>
        </w:rPr>
        <w:t>immobilising DNA pieces in their process of syn</w:t>
      </w:r>
      <w:r w:rsidR="008278E6" w:rsidRPr="00E27313">
        <w:rPr>
          <w:rFonts w:ascii="Palatino Linotype" w:hAnsi="Palatino Linotype"/>
          <w:sz w:val="24"/>
          <w:szCs w:val="24"/>
          <w:lang w:bidi="en-US"/>
        </w:rPr>
        <w:t>thesis and reading the sequence, thus enabling  an unlimited and enormous number of genes to be sequenced in a short span of time</w:t>
      </w:r>
      <w:r w:rsidR="008278E6" w:rsidRPr="005B1CCB">
        <w:rPr>
          <w:rFonts w:ascii="Palatino Linotype" w:hAnsi="Palatino Linotype"/>
          <w:sz w:val="24"/>
          <w:szCs w:val="24"/>
          <w:lang w:bidi="en-US"/>
        </w:rPr>
        <w:t xml:space="preserve"> </w:t>
      </w:r>
      <w:r w:rsidR="005B36B8"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{"citationItems":[{"id":"ITEM-1","itemData":{"DOI":"10.1016/j.bbcan.2019.05.007","ISSN":"1879-2561","abstract":"Cancer, a local disease at an early stage, systemically evolves as it progresses by triggering alterations in surrounding microenvironment, disturbing immune surveillance and further disseminating its molecular contents into circulation. This pathogenic characteristic of cancer makes the use of biofluids such as blood/serum/plasma, urine, tear and cerebrospinal fluids credible surrogates harboring tumor tissue-derived molecular alterations for the detection of cancer. Most importantly, a number of recent reports have credentialed the clinical validity of saliva for the detection of systemic diseases including cancers. In this review, we discussed the validity of saliva as credible biofluid and clinical sample type for the detection of cancers. We have presented the molecular constituents of saliva that could mirror the systemic status of our body and recent findings of salivaomics associated with cancers. Recently, liquid biopsy to detect cancer-derived circulating tumor DNA has emerged as a credible cancer-detection tool with potential benefits in screening, diagnosis and also risk management of cancers. We have further presented the clinical validity of saliva for liquid biopsy of cancers and a new technology platform based on electrochemical detection of cancer-derived ctDNA in saliva with superior sensitivity and point-of-care potential. The clinical utilities of saliva for the detection of cancers have been evidenced, but biological underpinning on the existence of molecular signatures of cancer-origin in saliva, such as via exosomal distribution, should be addressed in detail.","author":[{"dropping-particle":"","family":"Kaczor-Urbanowicz","given":"Karolina Elżbieta","non-dropping-particle":"","parse-names":false,"suffix":""},{"dropping-particle":"","family":"Wei","given":"Fang","non-dropping-particle":"","parse-names":false,"suffix":""},{"dropping-particle":"","family":"Rao","given":"Shannon Liu","non-dropping-particle":"","parse-names":false,"suffix":""},{"dropping-particle":"","family":"Kim","given":"Jinseok","non-dropping-particle":"","parse-names":false,"suffix":""},{"dropping-particle":"","family":"Shin","given":"Heebum","non-dropping-particle":"","parse-names":false,"suffix":""},{"dropping-particle":"","family":"Cheng","given":"Jordan","non-dropping-particle":"","parse-names":false,"suffix":""},{"dropping-particle":"","family":"Tu","given":"Michael","non-dropping-particle":"","parse-names":false,"suffix":""},{"dropping-particle":"","family":"Wong","given":"David T W","non-dropping-particle":"","parse-names":false,"suffix":""},{"dropping-particle":"","family":"Kim","given":"Yong","non-dropping-particle":"","parse-names":false,"suffix":""}],"container-title":"Biochimica et biophysica acta. Reviews on cancer","edition":"2019/05/30","id":"ITEM-1","issue":"1","issued":{"date-parts":[["2019","8"]]},"language":"eng","page":"49-59","title":"Clinical validity of saliva and novel technology for cancer detection","type":"article-journal","volume":"1872"},"uris":["http://www.mendeley.com/documents/?uuid=b9a416a6-964e-4b2f-9d26-c435e424a707"]}],"mendeley":{"formattedCitation":"[70]","plainTextFormattedCitation":"[70]","previouslyFormattedCitation":"[70]"},"properties":{"noteIndex":0},"schema":"https://github.com/citation-style-language/schema/raw/master/csl-citation.json"}</w:instrText>
      </w:r>
      <w:r w:rsidR="005B36B8"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[70]</w:t>
      </w:r>
      <w:r w:rsidR="005B36B8" w:rsidRPr="005B1CCB">
        <w:rPr>
          <w:rFonts w:ascii="Palatino Linotype" w:hAnsi="Palatino Linotype"/>
          <w:sz w:val="24"/>
          <w:szCs w:val="24"/>
          <w:lang w:bidi="en-US"/>
        </w:rPr>
        <w:fldChar w:fldCharType="end"/>
      </w:r>
      <w:r w:rsidR="008278E6" w:rsidRPr="005B1CCB">
        <w:rPr>
          <w:rFonts w:ascii="Palatino Linotype" w:hAnsi="Palatino Linotype"/>
          <w:sz w:val="24"/>
          <w:szCs w:val="24"/>
          <w:lang w:bidi="en-US"/>
        </w:rPr>
        <w:t>.</w:t>
      </w:r>
      <w:r w:rsidR="00EF1130" w:rsidRPr="005B1CCB">
        <w:rPr>
          <w:rFonts w:ascii="Palatino Linotype" w:hAnsi="Palatino Linotype"/>
          <w:sz w:val="24"/>
          <w:szCs w:val="24"/>
          <w:lang w:bidi="en-US"/>
        </w:rPr>
        <w:t xml:space="preserve"> </w:t>
      </w:r>
      <w:r w:rsidR="003C20F2" w:rsidRPr="005B1CCB">
        <w:rPr>
          <w:rFonts w:ascii="Palatino Linotype" w:hAnsi="Palatino Linotype"/>
          <w:sz w:val="24"/>
          <w:szCs w:val="24"/>
          <w:lang w:bidi="en-US"/>
        </w:rPr>
        <w:t xml:space="preserve">The general workflow of an NGS experiment </w:t>
      </w:r>
      <w:r w:rsidR="007F02E1" w:rsidRPr="005B1CCB">
        <w:rPr>
          <w:rFonts w:ascii="Palatino Linotype" w:hAnsi="Palatino Linotype"/>
          <w:sz w:val="24"/>
          <w:szCs w:val="24"/>
          <w:lang w:bidi="en-US"/>
        </w:rPr>
        <w:t>includes a</w:t>
      </w:r>
      <w:r w:rsidR="008C7CEE" w:rsidRPr="005B1CCB">
        <w:rPr>
          <w:rFonts w:ascii="Palatino Linotype" w:hAnsi="Palatino Linotype"/>
          <w:sz w:val="24"/>
          <w:szCs w:val="24"/>
          <w:lang w:bidi="en-US"/>
        </w:rPr>
        <w:t xml:space="preserve"> library preparation step where the input genomic materials are converted into a suitable library for sequencing.</w:t>
      </w:r>
    </w:p>
    <w:p w14:paraId="45F6C49E" w14:textId="5930DCBE" w:rsidR="00254F27" w:rsidRPr="005B1CCB" w:rsidRDefault="004569A7" w:rsidP="00502B47">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EF1130" w:rsidRPr="005B1CCB">
        <w:rPr>
          <w:rFonts w:ascii="Palatino Linotype" w:hAnsi="Palatino Linotype"/>
          <w:sz w:val="24"/>
          <w:szCs w:val="24"/>
          <w:lang w:bidi="en-US"/>
        </w:rPr>
        <w:t>Multiplexed PCR-based amplicon preparation is need</w:t>
      </w:r>
      <w:r w:rsidR="007F02E1" w:rsidRPr="005B1CCB">
        <w:rPr>
          <w:rFonts w:ascii="Palatino Linotype" w:hAnsi="Palatino Linotype"/>
          <w:sz w:val="24"/>
          <w:szCs w:val="24"/>
          <w:lang w:bidi="en-US"/>
        </w:rPr>
        <w:t>ed</w:t>
      </w:r>
      <w:r w:rsidR="00EF1130" w:rsidRPr="005B1CCB">
        <w:rPr>
          <w:rFonts w:ascii="Palatino Linotype" w:hAnsi="Palatino Linotype"/>
          <w:sz w:val="24"/>
          <w:szCs w:val="24"/>
          <w:lang w:bidi="en-US"/>
        </w:rPr>
        <w:t xml:space="preserve"> for this technique, and this can introduce sequencing bias that results in an uneven read coverage and add to the numbers of duplicate fragments that are present in the library</w:t>
      </w:r>
      <w:r w:rsidR="00C06998" w:rsidRPr="005B1CCB">
        <w:rPr>
          <w:rFonts w:ascii="Palatino Linotype" w:hAnsi="Palatino Linotype"/>
          <w:sz w:val="24"/>
          <w:szCs w:val="24"/>
          <w:lang w:bidi="en-US"/>
        </w:rPr>
        <w:t xml:space="preserve"> </w:t>
      </w:r>
      <w:r w:rsidR="000D15B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{"citationItems":[{"id":"ITEM-1","itemData":{"DOI":"10.1371/journal.pone.0062856","ISSN":"1932-6203","abstract":"Next-generation-sequencing (NGS) has revolutionized the field of genome assembly because of its much higher data throughput and much lower cost compared with traditional Sanger sequencing. However, NGS poses new computational challenges to de novo genome assembly. Among the challenges, GC bias in NGS data is known to aggravate genome assembly. However, it is not clear to what extent GC bias affects genome assembly in general. In this work, we conduct a systematic analysis on the effects of GC bias on genome assembly. Our analyses reveal that GC bias only lowers assembly completeness when the degree of GC bias is above a threshold. At a strong GC bias, the assembly fragmentation due to GC bias can be explained by the low coverage of reads in the GC-poor or GC-rich regions of a genome. This effect is observed for all the assemblers under study. Increasing the total amount of NGS data thus rescues the assembly fragmentation because of GC bias. However, the amount of data needed for a full rescue depends on the distribution of GC contents. Both low and high coverage depths due to GC bias lower the accuracy of assembly. These pieces of information provide guidance toward a better de novo genome assembly in the presence of GC bias.","author":[{"dropping-particle":"","family":"Chen","given":"Yen-Chun","non-dropping-particle":"","parse-names":false,"suffix":""},{"dropping-particle":"","family":"Liu","given":"Tsunglin","non-dropping-particle":"","parse-names":false,"suffix":""},{"dropping-particle":"","family":"Yu","given":"Chun-Hui","non-dropping-particle":"","parse-names":false,"suffix":""},{"dropping-particle":"","family":"Chiang","given":"Tzen-Yuh","non-dropping-particle":"","parse-names":false,"suffix":""},{"dropping-particle":"","family":"Hwang","given":"Chi-Chuan","non-dropping-particle":"","parse-names":false,"suffix":""}],"container-title":"PloS one","id":"ITEM-1","issue":"4","issued":{"date-parts":[["2013","4","29"]]},"language":"eng","page":"e62856-e62856","publisher":"Public Library of Science","title":"Effects of GC bias in next-generation-sequencing data on de novo genome assembly","type":"article-journal","volume":"8"},"uris":["http://www.mendeley.com/documents/?uuid=7d5ee1fb-3ee1-4ce1-b458-7638ed4fc82a"]}],"mendeley":{"formattedCitation":"[80]","plainTextFormattedCitation":"[80]","previouslyFormattedCitation":"[80]"},"properties":{"noteIndex":0},"schema":"https://github.com/citation-style-language/schema/raw/master/csl-citation.json"}</w:instrText>
      </w:r>
      <w:r w:rsidR="000D15B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[80]</w:t>
      </w:r>
      <w:r w:rsidR="000D15BD" w:rsidRPr="005B1CCB">
        <w:rPr>
          <w:rFonts w:ascii="Palatino Linotype" w:hAnsi="Palatino Linotype"/>
          <w:sz w:val="24"/>
          <w:szCs w:val="24"/>
          <w:lang w:bidi="en-US"/>
        </w:rPr>
        <w:fldChar w:fldCharType="end"/>
      </w:r>
      <w:r w:rsidR="00EF1130" w:rsidRPr="005B1CCB">
        <w:rPr>
          <w:rFonts w:ascii="Palatino Linotype" w:hAnsi="Palatino Linotype"/>
          <w:sz w:val="24"/>
          <w:szCs w:val="24"/>
          <w:lang w:bidi="en-US"/>
        </w:rPr>
        <w:t>.</w:t>
      </w:r>
      <w:r w:rsidR="007F02E1" w:rsidRPr="005B1CCB">
        <w:rPr>
          <w:rFonts w:ascii="Palatino Linotype" w:hAnsi="Palatino Linotype"/>
          <w:sz w:val="24"/>
          <w:szCs w:val="24"/>
          <w:lang w:bidi="en-US"/>
        </w:rPr>
        <w:t xml:space="preserve"> A</w:t>
      </w:r>
      <w:r w:rsidR="00761609" w:rsidRPr="005B1CCB">
        <w:rPr>
          <w:rFonts w:ascii="Palatino Linotype" w:hAnsi="Palatino Linotype"/>
          <w:sz w:val="24"/>
          <w:szCs w:val="24"/>
          <w:lang w:bidi="en-US"/>
        </w:rPr>
        <w:t xml:space="preserve">lthough this is currently the </w:t>
      </w:r>
      <w:r w:rsidR="00761609" w:rsidRPr="00E27313">
        <w:rPr>
          <w:rFonts w:ascii="Palatino Linotype" w:hAnsi="Palatino Linotype"/>
          <w:sz w:val="24"/>
          <w:szCs w:val="24"/>
          <w:lang w:bidi="en-US"/>
        </w:rPr>
        <w:t>leading technology for characterising ctDNA</w:t>
      </w:r>
      <w:r w:rsidR="00761609" w:rsidRPr="005B1CCB">
        <w:rPr>
          <w:rFonts w:ascii="Palatino Linotype" w:hAnsi="Palatino Linotype"/>
          <w:sz w:val="24"/>
          <w:szCs w:val="24"/>
          <w:lang w:bidi="en-US"/>
        </w:rPr>
        <w:t>, a</w:t>
      </w:r>
      <w:r w:rsidR="007F02E1" w:rsidRPr="005B1CCB">
        <w:rPr>
          <w:rFonts w:ascii="Palatino Linotype" w:hAnsi="Palatino Linotype"/>
          <w:sz w:val="24"/>
          <w:szCs w:val="24"/>
          <w:lang w:bidi="en-US"/>
        </w:rPr>
        <w:t xml:space="preserve"> limitation with this technology is that it detects only known mutations </w:t>
      </w:r>
      <w:r w:rsidR="00C06998"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{"citationItems":[{"id":"ITEM-1","itemData":{"DOI":"10.1016/j.csbj.2018.10.002","ISSN":"20010370","abstract":"Precision medicine in the clinical management of cancer may be achieved through the diagnostic platform called “liquid biopsy”. This method utilizes the detection of biomarkers in blood for prognostic and predictive purposes. One of the latest blood born markers under investigation in the field of liquid biopsy in cancer patients is circulating tumor DNA (ctDNA). ctDNA is released by tumor cells through different mechanisms and can therefore provide information about the genomic make-up of the tumor currently present in the patient. Through longitudinal ctDNA-based liquid biopsies, tumor dynamics may be monitored to predict and assess drug response and/or resistance. However, because ctDNA is highly fragmented and because its concentration can be extremely low in a high background of normal circulating DNA, screening for clinical relevant mutations is challenging. Although significant progress has been made in advancing the detection and analysis of ctDNA in the last few years, the current challenges include standardization and increasing current techniques to single molecule sensitivity in combination with perfect specificity. This review focuses on the potential role of ctDNA in the clinical management of cancer patients, the current technologies that are being employed, and the hurdles that still need to be taken to achieve ctDNA-based liquid biopsy towards precision medicine.","author":[{"dropping-particle":"","family":"Elazezy","given":"Maha","non-dropping-particle":"","parse-names":false,"suffix":""},{"dropping-particle":"","family":"Joosse","given":"Simon A.","non-dropping-particle":"","parse-names":false,"suffix":""}],"container-title":"Computational and Structural Biotechnology Journal","id":"ITEM-1","issued":{"date-parts":[["2018"]]},"page":"370-378","publisher":"The Authors","title":"Techniques of using circulating tumor DNA as a liquid biopsy component in cancer management","type":"article-journal","volume":"16"},"uris":["http://www.mendeley.com/documents/?uuid=37b06e44-83f6-44d1-aa10-3885a16439b3"]}],"mendeley":{"formattedCitation":"[79]","plainTextFormattedCitation":"[79]","previouslyFormattedCitation":"[79]"},"properties":{"noteIndex":0},"schema":"https://github.com/citation-style-language/schema/raw/master/csl-citation.json"}</w:instrText>
      </w:r>
      <w:r w:rsidR="00C06998"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[79]</w:t>
      </w:r>
      <w:r w:rsidR="00C06998" w:rsidRPr="005B1CCB">
        <w:rPr>
          <w:rFonts w:ascii="Palatino Linotype" w:hAnsi="Palatino Linotype"/>
          <w:sz w:val="24"/>
          <w:szCs w:val="24"/>
          <w:lang w:bidi="en-US"/>
        </w:rPr>
        <w:fldChar w:fldCharType="end"/>
      </w:r>
      <w:r w:rsidR="007F02E1" w:rsidRPr="005B1CCB">
        <w:rPr>
          <w:rFonts w:ascii="Palatino Linotype" w:hAnsi="Palatino Linotype"/>
          <w:sz w:val="24"/>
          <w:szCs w:val="24"/>
          <w:lang w:bidi="en-US"/>
        </w:rPr>
        <w:t>.</w:t>
      </w:r>
      <w:r w:rsidR="00502B47" w:rsidRPr="005B1CCB">
        <w:rPr>
          <w:rFonts w:ascii="Palatino Linotype" w:hAnsi="Palatino Linotype"/>
          <w:sz w:val="24"/>
          <w:szCs w:val="24"/>
          <w:lang w:bidi="en-US"/>
        </w:rPr>
        <w:t xml:space="preserve"> NGS-based </w:t>
      </w:r>
      <w:r w:rsidR="00762B47" w:rsidRPr="005B1CCB">
        <w:rPr>
          <w:rFonts w:ascii="Palatino Linotype" w:hAnsi="Palatino Linotype"/>
          <w:sz w:val="24"/>
          <w:szCs w:val="24"/>
          <w:lang w:bidi="en-US"/>
        </w:rPr>
        <w:t>protocols</w:t>
      </w:r>
      <w:r w:rsidR="00502B47" w:rsidRPr="005B1CCB">
        <w:rPr>
          <w:rFonts w:ascii="Palatino Linotype" w:hAnsi="Palatino Linotype"/>
          <w:sz w:val="24"/>
          <w:szCs w:val="24"/>
          <w:lang w:bidi="en-US"/>
        </w:rPr>
        <w:t xml:space="preserve"> includ</w:t>
      </w:r>
      <w:r w:rsidR="00A8753F" w:rsidRPr="005B1CCB">
        <w:rPr>
          <w:rFonts w:ascii="Palatino Linotype" w:hAnsi="Palatino Linotype"/>
          <w:sz w:val="24"/>
          <w:szCs w:val="24"/>
          <w:lang w:bidi="en-US"/>
        </w:rPr>
        <w:t>ing</w:t>
      </w:r>
      <w:r w:rsidR="00502B47" w:rsidRPr="005B1CCB">
        <w:rPr>
          <w:rFonts w:ascii="Palatino Linotype" w:hAnsi="Palatino Linotype"/>
          <w:sz w:val="24"/>
          <w:szCs w:val="24"/>
          <w:lang w:bidi="en-US"/>
        </w:rPr>
        <w:t xml:space="preserve"> d</w:t>
      </w:r>
      <w:r w:rsidR="00B14869" w:rsidRPr="005B1CCB">
        <w:rPr>
          <w:rFonts w:ascii="Palatino Linotype" w:hAnsi="Palatino Linotype"/>
          <w:sz w:val="24"/>
          <w:szCs w:val="24"/>
          <w:lang w:bidi="en-US"/>
        </w:rPr>
        <w:t>eep</w:t>
      </w:r>
      <w:r w:rsidR="00D32D57" w:rsidRPr="005B1CCB">
        <w:rPr>
          <w:rFonts w:ascii="Palatino Linotype" w:hAnsi="Palatino Linotype"/>
          <w:sz w:val="24"/>
          <w:szCs w:val="24"/>
          <w:lang w:bidi="en-US"/>
        </w:rPr>
        <w:t xml:space="preserve"> sequencing</w:t>
      </w:r>
      <w:r w:rsidR="004C5A30" w:rsidRPr="005B1CCB">
        <w:rPr>
          <w:rFonts w:ascii="Palatino Linotype" w:hAnsi="Palatino Linotype"/>
          <w:sz w:val="24"/>
          <w:szCs w:val="24"/>
          <w:lang w:bidi="en-US"/>
        </w:rPr>
        <w:t xml:space="preserve"> (CAPP-seq)</w:t>
      </w:r>
      <w:r w:rsidR="00502B47" w:rsidRPr="005B1CCB">
        <w:rPr>
          <w:rFonts w:ascii="Palatino Linotype" w:hAnsi="Palatino Linotype"/>
          <w:sz w:val="24"/>
          <w:szCs w:val="24"/>
          <w:lang w:bidi="en-US"/>
        </w:rPr>
        <w:t xml:space="preserve">, </w:t>
      </w:r>
      <w:r w:rsidR="004C5A30" w:rsidRPr="005B1CCB">
        <w:rPr>
          <w:rFonts w:ascii="Palatino Linotype" w:hAnsi="Palatino Linotype"/>
          <w:sz w:val="24"/>
          <w:szCs w:val="24"/>
          <w:lang w:bidi="en-US"/>
        </w:rPr>
        <w:t>Tagged amplicon deep sequencing (</w:t>
      </w:r>
      <w:r w:rsidR="00D32D57" w:rsidRPr="005B1CCB">
        <w:rPr>
          <w:rFonts w:ascii="Palatino Linotype" w:hAnsi="Palatino Linotype"/>
          <w:sz w:val="24"/>
          <w:szCs w:val="24"/>
          <w:lang w:bidi="en-US"/>
        </w:rPr>
        <w:t>Tam-seq</w:t>
      </w:r>
      <w:r w:rsidR="004C5A30" w:rsidRPr="005B1CCB">
        <w:rPr>
          <w:rFonts w:ascii="Palatino Linotype" w:hAnsi="Palatino Linotype"/>
          <w:sz w:val="24"/>
          <w:szCs w:val="24"/>
          <w:lang w:bidi="en-US"/>
        </w:rPr>
        <w:t>)</w:t>
      </w:r>
      <w:r w:rsidR="00A8753F" w:rsidRPr="005B1CCB">
        <w:rPr>
          <w:rFonts w:ascii="Palatino Linotype" w:hAnsi="Palatino Linotype"/>
          <w:sz w:val="24"/>
          <w:szCs w:val="24"/>
          <w:lang w:bidi="en-US"/>
        </w:rPr>
        <w:t>,</w:t>
      </w:r>
      <w:r w:rsidR="00502B47" w:rsidRPr="005B1CCB">
        <w:rPr>
          <w:rFonts w:ascii="Palatino Linotype" w:hAnsi="Palatino Linotype"/>
          <w:sz w:val="24"/>
          <w:szCs w:val="24"/>
          <w:lang w:bidi="en-US"/>
        </w:rPr>
        <w:t xml:space="preserve"> </w:t>
      </w:r>
      <w:r w:rsidR="004C5A30" w:rsidRPr="005B1CCB">
        <w:rPr>
          <w:rFonts w:ascii="Palatino Linotype" w:hAnsi="Palatino Linotype"/>
          <w:sz w:val="24"/>
          <w:szCs w:val="24"/>
          <w:lang w:bidi="en-US"/>
        </w:rPr>
        <w:t>Safe-sequencing system (</w:t>
      </w:r>
      <w:r w:rsidR="00D32D57" w:rsidRPr="005B1CCB">
        <w:rPr>
          <w:rFonts w:ascii="Palatino Linotype" w:hAnsi="Palatino Linotype"/>
          <w:sz w:val="24"/>
          <w:szCs w:val="24"/>
          <w:lang w:bidi="en-US"/>
        </w:rPr>
        <w:t>Safe-SeqS</w:t>
      </w:r>
      <w:r w:rsidR="004C5A30" w:rsidRPr="005B1CCB">
        <w:rPr>
          <w:rFonts w:ascii="Palatino Linotype" w:hAnsi="Palatino Linotype"/>
          <w:sz w:val="24"/>
          <w:szCs w:val="24"/>
          <w:lang w:bidi="en-US"/>
        </w:rPr>
        <w:t>)</w:t>
      </w:r>
      <w:r w:rsidR="00502B47" w:rsidRPr="005B1CCB">
        <w:rPr>
          <w:rFonts w:ascii="Palatino Linotype" w:hAnsi="Palatino Linotype"/>
          <w:sz w:val="24"/>
          <w:szCs w:val="24"/>
          <w:lang w:bidi="en-US"/>
        </w:rPr>
        <w:t xml:space="preserve"> </w:t>
      </w:r>
      <w:r w:rsidR="00502B4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{"citationItems":[{"id":"ITEM-1","itemData":{"DOI":"10.1186/s40246-019-0220-8","ISSN":"1479-7364","abstract":"In recent years, the rapid development of next-generation sequencing (NGS) technologies has led to a significant reduction in sequencing cost with improved accuracy. In the area of liquid biopsy, NGS has been applied to sequence circulating tumor DNA (ctDNA). Since ctDNA is the DNA fragments released by tumor cells, it can provide a molecular profile of cancer. Liquid biopsy can be applied to all stages of cancer diagnosis and treatment, allowing non-invasive and real-time monitoring of disease development. The most promising aspects of liquid biopsy in cancer applications are cancer screening and early diagnosis because they can lead to better survival results and less disease burden. Although many ctDNA sequencing methods have enough sensitivity to detect extremely low levels of mutation frequency at the early stage of cancer, how to effectively implement them in population screening settings remains challenging. This paper focuses on the application of liquid biopsy in the early screening and diagnosis of cancer, introduces NGS-related methods, reviews recent progress, summarizes challenges, and discusses future research directions.","author":[{"dropping-particle":"","family":"Chen","given":"Ming","non-dropping-particle":"","parse-names":false,"suffix":""},{"dropping-particle":"","family":"Zhao","given":"Hongyu","non-dropping-particle":"","parse-names":false,"suffix":""}],"container-title":"Human Genomics","id":"ITEM-1","issue":"1","issued":{"date-parts":[["2019"]]},"page":"34","title":"Next-generation sequencing in liquid biopsy: cancer screening and early detection","type":"article-journal","volume":"13"},"uris":["http://www.mendeley.com/documents/?uuid=5bcdfd8a-4b54-4b76-b871-639dfeeab78e"]}],"mendeley":{"formattedCitation":"[74]","plainTextFormattedCitation":"[74]","previouslyFormattedCitation":"[74]"},"properties":{"noteIndex":0},"schema":"https://github.com/citation-style-language/schema/raw/master/csl-citation.json"}</w:instrText>
      </w:r>
      <w:r w:rsidR="00502B4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[74]</w:t>
      </w:r>
      <w:r w:rsidR="00502B47" w:rsidRPr="005B1CCB">
        <w:rPr>
          <w:rFonts w:ascii="Palatino Linotype" w:hAnsi="Palatino Linotype"/>
          <w:sz w:val="24"/>
          <w:szCs w:val="24"/>
          <w:lang w:bidi="en-US"/>
        </w:rPr>
        <w:fldChar w:fldCharType="end"/>
      </w:r>
      <w:r w:rsidR="00762B47" w:rsidRPr="005B1CCB">
        <w:rPr>
          <w:rFonts w:ascii="Palatino Linotype" w:hAnsi="Palatino Linotype"/>
          <w:sz w:val="24"/>
          <w:szCs w:val="24"/>
          <w:lang w:bidi="en-US"/>
        </w:rPr>
        <w:t xml:space="preserve">, bias-corrected targeted NGS and multiplex PCR NGS </w:t>
      </w:r>
      <w:r w:rsidR="00762B4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{"citationItems":[{"id":"ITEM-1","itemData":{"ISBN":"2296-634X","abstract":"The clonal evolution of acute myeloid leukemia (AML), an oligoclonal hematological malignancy, is driven by a plethora of cytogenetic abnormalities, gene mutations, abnormal epigenetic patterns, and aberrant gene expressions. These alterations in the leukemic blasts promote clinically diverse manifestations with common characteristics of high relapse and drug resistance. Defining and real-time monitoring of a personalized panel of these predictive genetic biomarkers is rapidly being adapted in clinical setting for diagnostic, prognostic, and therapeutic decision-making in AML. A major challenge remains the frequency of invasive biopsy procedures that can be routinely performed for monitoring of AML disease progression. Moreover, a single-site biopsy is not representative of the tumor heterogeneity as it is spatially and temporally constrained and necessitates the understanding of longitudinal and spatial subclonal dynamics in AML. Hematopoietic cells are a major contributor to plasma cell-free DNA, which also contain leukemia-specific aberrations as the circulating tumor-derived DNA (ctDNA) fraction. Plasma cell-free DNA analysis holds immense potential as a minimally invasive tool for genomic profiling at diagnosis as well as clonal evolution during AML disease progression. With the technological advances and increasing sensitivity for detection of ctDNA, both genetic and epigenetic aberrations can be qualitatively and quantitatively evaluated. However, challenges remain in validating the utility of liquid biopsy tools in clinics, and universal recommendations are still awaited towards reliable diagnostics and prognostics. Here, we provide an overview on the scope of ctDNA analyses for prognosis, assessment of response to treatment and measurable residual disease, prediction of disease relapse, development of acquired resistance and beyond in AML.","author":[{"dropping-particle":"","family":"Thakral","given":"Deepshi","non-dropping-particle":"","parse-names":false,"suffix":""},{"dropping-particle":"","family":"Gupta","given":"Ritu","non-dropping-particle":"","parse-names":false,"suffix":""},{"dropping-particle":"","family":"Sahoo","given":"Ranjit Kumar","non-dropping-particle":"","parse-names":false,"suffix":""},{"dropping-particle":"","family":"Verma","given":"Pramod","non-dropping-particle":"","parse-names":false,"suffix":""},{"dropping-particle":"","family":"Kumar","given":"Indresh","non-dropping-particle":"","parse-names":false,"suffix":""},{"dropping-particle":"","family":"Vashishtha","given":"Sangeeta","non-dropping-particle":"","parse-names":false,"suffix":""}],"container-title":"Frontiers in Cell and Developmental Biology  ","id":"ITEM-1","issued":{"date-parts":[["2020"]]},"page":"1328","title":"Real-Time Molecular Monitoring in Acute Myeloid Leukemia With Circulating Tumor DNA   ","type":"article","volume":"8      "},"uris":["http://www.mendeley.com/documents/?uuid=e732e714-c5aa-4c89-8124-15d3aca5c10b"]}],"mendeley":{"formattedCitation":"[76]","plainTextFormattedCitation":"[76]","previouslyFormattedCitation":"[76]"},"properties":{"noteIndex":0},"schema":"https://github.com/citation-style-language/schema/raw/master/csl-citation.json"}</w:instrText>
      </w:r>
      <w:r w:rsidR="00762B4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[76]</w:t>
      </w:r>
      <w:r w:rsidR="00762B47" w:rsidRPr="005B1CCB">
        <w:rPr>
          <w:rFonts w:ascii="Palatino Linotype" w:hAnsi="Palatino Linotype"/>
          <w:sz w:val="24"/>
          <w:szCs w:val="24"/>
          <w:lang w:bidi="en-US"/>
        </w:rPr>
        <w:fldChar w:fldCharType="end"/>
      </w:r>
      <w:r w:rsidR="00A8753F" w:rsidRPr="005B1CCB">
        <w:rPr>
          <w:rFonts w:ascii="Palatino Linotype" w:hAnsi="Palatino Linotype"/>
          <w:sz w:val="24"/>
          <w:szCs w:val="24"/>
          <w:lang w:bidi="en-US"/>
        </w:rPr>
        <w:t xml:space="preserve"> have shown sensitivity of &lt; 0.1 % </w:t>
      </w:r>
      <w:r w:rsidR="00A8753F"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{"citationItems":[{"id":"ITEM-1","itemData":{"DOI":"10.1016/j.bdq.2018.12.003","ISSN":"22147535","abstract":"Circulating cell-free tumor DNA (ctDNA) is a promising biomarker in cancer. Ultrasensitive technologies enable detection of low (&lt; 0.1%) mutant allele frequencies, a pre-requisite to fully utilize the potential of ctDNA in cancer diagnostics. In addition, the entire liquid biopsy workflow needs to be carefully optimized to enable reliable ctDNA analysis. Here, we discuss important considerations for ctDNA detection in plasma. We show how each experimental step can easily be evaluated using simple quantitative PCR assays, including detection of cellular DNA contamination and PCR inhibition. Furthermore, ctDNA assay performance is also demonstrated to be affected by both DNA fragmentation and target sequence. Finally, we show that quantitative PCR is useful to estimate the required sequencing depth and to monitor DNA losses throughout the workflow. The use of quality control assays enables the development of robust and standardized workflows that facilitate the implementation of ctDNA analysis into clinical routine.","author":[{"dropping-particle":"","family":"Johansson","given":"Gustav","non-dropping-particle":"","parse-names":false,"suffix":""},{"dropping-particle":"","family":"Andersson","given":"Daniel","non-dropping-particle":"","parse-names":false,"suffix":""},{"dropping-particle":"","family":"Filges","given":"Stefan","non-dropping-particle":"","parse-names":false,"suffix":""},{"dropping-particle":"","family":"Li","given":"Junrui","non-dropping-particle":"","parse-names":false,"suffix":""},{"dropping-particle":"","family":"Muth","given":"Andreas","non-dropping-particle":"","parse-names":false,"suffix":""},{"dropping-particle":"","family":"Godfrey","given":"Tony E.","non-dropping-particle":"","parse-names":false,"suffix":""},{"dropping-particle":"","family":"Ståhlberg","given":"Anders","non-dropping-particle":"","parse-names":false,"suffix":""}],"container-title":"Biomolecular Detection and Quantification","id":"ITEM-1","issue":"December 2018","issued":{"date-parts":[["2019"]]},"page":"100078","publisher":"Elsevier","title":"Considerations and quality controls when analyzing cell-free tumor DNA","type":"article-journal","volume":"17"},"uris":["http://www.mendeley.com/documents/?uuid=257120d0-88e2-45ea-8e93-104c4bf0dfc3"]}],"mendeley":{"formattedCitation":"[81]","plainTextFormattedCitation":"[81]","previouslyFormattedCitation":"[81]"},"properties":{"noteIndex":0},"schema":"https://github.com/citation-style-language/schema/raw/master/csl-citation.json"}</w:instrText>
      </w:r>
      <w:r w:rsidR="00A8753F"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[81]</w:t>
      </w:r>
      <w:r w:rsidR="00A8753F" w:rsidRPr="005B1CCB">
        <w:rPr>
          <w:rFonts w:ascii="Palatino Linotype" w:hAnsi="Palatino Linotype"/>
          <w:sz w:val="24"/>
          <w:szCs w:val="24"/>
          <w:lang w:bidi="en-US"/>
        </w:rPr>
        <w:fldChar w:fldCharType="end"/>
      </w:r>
      <w:r w:rsidR="00502B47" w:rsidRPr="005B1CCB">
        <w:rPr>
          <w:rFonts w:ascii="Palatino Linotype" w:hAnsi="Palatino Linotype"/>
          <w:sz w:val="24"/>
          <w:szCs w:val="24"/>
          <w:lang w:bidi="en-US"/>
        </w:rPr>
        <w:t>.</w:t>
      </w:r>
    </w:p>
    <w:p w14:paraId="26E1B10D" w14:textId="77777777" w:rsidR="00D2057F" w:rsidRPr="005B1CCB" w:rsidRDefault="00D2057F" w:rsidP="00502B47">
      <w:pPr>
        <w:spacing w:line="360" w:lineRule="auto"/>
        <w:jc w:val="both"/>
        <w:rPr>
          <w:rFonts w:ascii="Palatino Linotype" w:hAnsi="Palatino Linotype"/>
          <w:sz w:val="24"/>
          <w:szCs w:val="24"/>
          <w:lang w:bidi="en-US"/>
        </w:rPr>
      </w:pPr>
    </w:p>
    <w:p w14:paraId="3B51F66C" w14:textId="77777777" w:rsidR="00FB2135" w:rsidRPr="005B1CCB" w:rsidRDefault="00FB2135" w:rsidP="0029506E">
      <w:pPr>
        <w:pStyle w:val="Heading4"/>
        <w:rPr>
          <w:lang w:bidi="en-US"/>
        </w:rPr>
      </w:pPr>
      <w:r w:rsidRPr="005B1CCB">
        <w:rPr>
          <w:lang w:bidi="en-US"/>
        </w:rPr>
        <w:t>Mass-spectrometry technology</w:t>
      </w:r>
    </w:p>
    <w:p w14:paraId="526757A3" w14:textId="036EFA46" w:rsidR="00FB2135" w:rsidRPr="005B1CCB" w:rsidRDefault="008D183E" w:rsidP="00C214DE">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4E3459" w:rsidRPr="005B1CCB">
        <w:rPr>
          <w:rFonts w:ascii="Palatino Linotype" w:hAnsi="Palatino Linotype"/>
          <w:sz w:val="24"/>
          <w:szCs w:val="24"/>
          <w:lang w:bidi="en-US"/>
        </w:rPr>
        <w:t>This method is an adaptation of the conventional PCR method with a unique benefit in multiplex detection.</w:t>
      </w:r>
      <w:r w:rsidRPr="005B1CCB">
        <w:rPr>
          <w:rFonts w:ascii="Palatino Linotype" w:hAnsi="Palatino Linotype"/>
          <w:sz w:val="24"/>
          <w:szCs w:val="24"/>
          <w:lang w:bidi="en-US"/>
        </w:rPr>
        <w:t xml:space="preserve"> </w:t>
      </w:r>
      <w:r w:rsidR="00762B47" w:rsidRPr="005B1CCB">
        <w:rPr>
          <w:rFonts w:ascii="Palatino Linotype" w:hAnsi="Palatino Linotype"/>
          <w:sz w:val="24"/>
          <w:szCs w:val="24"/>
          <w:lang w:bidi="en-US"/>
        </w:rPr>
        <w:t xml:space="preserve">A popular technique for analysing point mutations is matrix-assisted laser desorption ionization time-of-flight mass spectrometry (MALDI-TOF MS). High performance liquid chromatography </w:t>
      </w:r>
      <w:r w:rsidR="00C214DE" w:rsidRPr="005B1CCB">
        <w:rPr>
          <w:rFonts w:ascii="Palatino Linotype" w:hAnsi="Palatino Linotype"/>
          <w:sz w:val="24"/>
          <w:szCs w:val="24"/>
          <w:lang w:bidi="en-US"/>
        </w:rPr>
        <w:t xml:space="preserve">Mass spectrometry methods for ctDNA detection </w:t>
      </w:r>
      <w:r w:rsidR="00E14BC0" w:rsidRPr="005B1CCB">
        <w:rPr>
          <w:rFonts w:ascii="Palatino Linotype" w:hAnsi="Palatino Linotype"/>
          <w:sz w:val="24"/>
          <w:szCs w:val="24"/>
          <w:lang w:bidi="en-US"/>
        </w:rPr>
        <w:t>are</w:t>
      </w:r>
      <w:r w:rsidR="00C214DE" w:rsidRPr="005B1CCB">
        <w:rPr>
          <w:rFonts w:ascii="Palatino Linotype" w:hAnsi="Palatino Linotype"/>
          <w:sz w:val="24"/>
          <w:szCs w:val="24"/>
          <w:lang w:bidi="en-US"/>
        </w:rPr>
        <w:t xml:space="preserve"> promising </w:t>
      </w:r>
      <w:r w:rsidR="00E14BC0" w:rsidRPr="005B1CCB">
        <w:rPr>
          <w:rFonts w:ascii="Palatino Linotype" w:hAnsi="Palatino Linotype"/>
          <w:sz w:val="24"/>
          <w:szCs w:val="24"/>
          <w:lang w:bidi="en-US"/>
        </w:rPr>
        <w:t>because they do not require</w:t>
      </w:r>
      <w:r w:rsidR="00C214DE" w:rsidRPr="005B1CCB">
        <w:rPr>
          <w:rFonts w:ascii="Palatino Linotype" w:hAnsi="Palatino Linotype"/>
          <w:sz w:val="24"/>
          <w:szCs w:val="24"/>
          <w:lang w:bidi="en-US"/>
        </w:rPr>
        <w:t xml:space="preserve"> specific primer</w:t>
      </w:r>
      <w:r w:rsidR="00E14BC0" w:rsidRPr="005B1CCB">
        <w:rPr>
          <w:rFonts w:ascii="Palatino Linotype" w:hAnsi="Palatino Linotype"/>
          <w:sz w:val="24"/>
          <w:szCs w:val="24"/>
          <w:lang w:bidi="en-US"/>
        </w:rPr>
        <w:t>s</w:t>
      </w:r>
      <w:r w:rsidR="00C214DE" w:rsidRPr="005B1CCB">
        <w:rPr>
          <w:rFonts w:ascii="Palatino Linotype" w:hAnsi="Palatino Linotype"/>
          <w:sz w:val="24"/>
          <w:szCs w:val="24"/>
          <w:lang w:bidi="en-US"/>
        </w:rPr>
        <w:t xml:space="preserve"> to initiate the amplification process</w:t>
      </w:r>
      <w:r w:rsidR="00762B47" w:rsidRPr="005B1CCB">
        <w:rPr>
          <w:rFonts w:ascii="Palatino Linotype" w:hAnsi="Palatino Linotype"/>
          <w:sz w:val="24"/>
          <w:szCs w:val="24"/>
          <w:lang w:bidi="en-US"/>
        </w:rPr>
        <w:t xml:space="preserve"> unlike PCR and NGS,  </w:t>
      </w:r>
      <w:r w:rsidR="00C214D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{"citationItems":[{"id":"ITEM-1","itemData":{"ISBN":"2296-634X","abstract":"The clonal evolution of acute myeloid leukemia (AML), an oligoclonal hematological malignancy, is driven by a plethora of cytogenetic abnormalities, gene mutations, abnormal epigenetic patterns, and aberrant gene expressions. These alterations in the leukemic blasts promote clinically diverse manifestations with common characteristics of high relapse and drug resistance. Defining and real-time monitoring of a personalized panel of these predictive genetic biomarkers is rapidly being adapted in clinical setting for diagnostic, prognostic, and therapeutic decision-making in AML. A major challenge remains the frequency of invasive biopsy procedures that can be routinely performed for monitoring of AML disease progression. Moreover, a single-site biopsy is not representative of the tumor heterogeneity as it is spatially and temporally constrained and necessitates the understanding of longitudinal and spatial subclonal dynamics in AML. Hematopoietic cells are a major contributor to plasma cell-free DNA, which also contain leukemia-specific aberrations as the circulating tumor-derived DNA (ctDNA) fraction. Plasma cell-free DNA analysis holds immense potential as a minimally invasive tool for genomic profiling at diagnosis as well as clonal evolution during AML disease progression. With the technological advances and increasing sensitivity for detection of ctDNA, both genetic and epigenetic aberrations can be qualitatively and quantitatively evaluated. However, challenges remain in validating the utility of liquid biopsy tools in clinics, and universal recommendations are still awaited towards reliable diagnostics and prognostics. Here, we provide an overview on the scope of ctDNA analyses for prognosis, assessment of response to treatment and measurable residual disease, prediction of disease relapse, development of acquired resistance and beyond in AML.","author":[{"dropping-particle":"","family":"Thakral","given":"Deepshi","non-dropping-particle":"","parse-names":false,"suffix":""},{"dropping-particle":"","family":"Gupta","given":"Ritu","non-dropping-particle":"","parse-names":false,"suffix":""},{"dropping-particle":"","family":"Sahoo","given":"Ranjit Kumar","non-dropping-particle":"","parse-names":false,"suffix":""},{"dropping-particle":"","family":"Verma","given":"Pramod","non-dropping-particle":"","parse-names":false,"suffix":""},{"dropping-particle":"","family":"Kumar","given":"Indresh","non-dropping-particle":"","parse-names":false,"suffix":""},{"dropping-particle":"","family":"Vashishtha","given":"Sangeeta","non-dropping-particle":"","parse-names":false,"suffix":""}],"container-title":"Frontiers in Cell and Developmental Biology  ","id":"ITEM-1","issued":{"date-parts":[["2020"]]},"page":"1328","title":"Real-Time Molecular Monitoring in Acute Myeloid Leukemia With Circulating Tumor DNA   ","type":"article","volume":"8      "},"uris":["http://www.mendeley.com/documents/?uuid=e732e714-c5aa-4c89-8124-15d3aca5c10b"]}],"mendeley":{"formattedCitation":"[76]","plainTextFormattedCitation":"[76]","previouslyFormattedCitation":"[76]"},"properties":{"noteIndex":0},"schema":"https://github.com/citation-style-language/schema/raw/master/csl-citation.json"}</w:instrText>
      </w:r>
      <w:r w:rsidR="00C214D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[76]</w:t>
      </w:r>
      <w:r w:rsidR="00C214DE" w:rsidRPr="005B1CCB">
        <w:rPr>
          <w:rFonts w:ascii="Palatino Linotype" w:hAnsi="Palatino Linotype"/>
          <w:sz w:val="24"/>
          <w:szCs w:val="24"/>
          <w:lang w:bidi="en-US"/>
        </w:rPr>
        <w:fldChar w:fldCharType="end"/>
      </w:r>
      <w:r w:rsidR="00C214DE" w:rsidRPr="005B1CCB">
        <w:rPr>
          <w:rFonts w:ascii="Palatino Linotype" w:hAnsi="Palatino Linotype"/>
          <w:sz w:val="24"/>
          <w:szCs w:val="24"/>
          <w:lang w:bidi="en-US"/>
        </w:rPr>
        <w:t xml:space="preserve">. </w:t>
      </w:r>
      <w:r w:rsidRPr="005B1CCB">
        <w:rPr>
          <w:rFonts w:ascii="Palatino Linotype" w:hAnsi="Palatino Linotype"/>
          <w:sz w:val="24"/>
          <w:szCs w:val="24"/>
          <w:lang w:bidi="en-US"/>
        </w:rPr>
        <w:t>It detects known point mutations and limited genomic loci</w:t>
      </w:r>
      <w:r w:rsidR="001C264D" w:rsidRPr="005B1CCB">
        <w:rPr>
          <w:rFonts w:ascii="Palatino Linotype" w:hAnsi="Palatino Linotype"/>
          <w:sz w:val="24"/>
          <w:szCs w:val="24"/>
          <w:lang w:bidi="en-US"/>
        </w:rPr>
        <w:t xml:space="preserve"> </w:t>
      </w:r>
      <w:r w:rsidR="001C264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{"citationItems":[{"id":"ITEM-1","itemData":{"DOI":"10.1016/j.csbj.2018.10.002","ISSN":"20010370","abstract":"Precision medicine in the clinical management of cancer may be achieved through the diagnostic platform called “liquid biopsy”. This method utilizes the detection of biomarkers in blood for prognostic and predictive purposes. One of the latest blood born markers under investigation in the field of liquid biopsy in cancer patients is circulating tumor DNA (ctDNA). ctDNA is released by tumor cells through different mechanisms and can therefore provide information about the genomic make-up of the tumor currently present in the patient. Through longitudinal ctDNA-based liquid biopsies, tumor dynamics may be monitored to predict and assess drug response and/or resistance. However, because ctDNA is highly fragmented and because its concentration can be extremely low in a high background of normal circulating DNA, screening for clinical relevant mutations is challenging. Although significant progress has been made in advancing the detection and analysis of ctDNA in the last few years, the current challenges include standardization and increasing current techniques to single molecule sensitivity in combination with perfect specificity. This review focuses on the potential role of ctDNA in the clinical management of cancer patients, the current technologies that are being employed, and the hurdles that still need to be taken to achieve ctDNA-based liquid biopsy towards precision medicine.","author":[{"dropping-particle":"","family":"Elazezy","given":"Maha","non-dropping-particle":"","parse-names":false,"suffix":""},{"dropping-particle":"","family":"Joosse","given":"Simon A.","non-dropping-particle":"","parse-names":false,"suffix":""}],"container-title":"Computational and Structural Biotechnology Journal","id":"ITEM-1","issued":{"date-parts":[["2018"]]},"page":"370-378","publisher":"The Authors","title":"Techniques of using circulating tumor DNA as a liquid biopsy component in cancer management","type":"article-journal","volume":"16"},"uris":["http://www.mendeley.com/documents/?uuid=37b06e44-83f6-44d1-aa10-3885a16439b3"]}],"mendeley":{"formattedCitation":"[79]","plainTextFormattedCitation":"[79]","previouslyFormattedCitation":"[79]"},"properties":{"noteIndex":0},"schema":"https://github.com/citation-style-language/schema/raw/master/csl-citation.json"}</w:instrText>
      </w:r>
      <w:r w:rsidR="001C264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[79]</w:t>
      </w:r>
      <w:r w:rsidR="001C264D" w:rsidRPr="005B1CCB">
        <w:rPr>
          <w:rFonts w:ascii="Palatino Linotype" w:hAnsi="Palatino Linotype"/>
          <w:sz w:val="24"/>
          <w:szCs w:val="24"/>
          <w:lang w:bidi="en-US"/>
        </w:rPr>
        <w:fldChar w:fldCharType="end"/>
      </w:r>
      <w:r w:rsidRPr="005B1CCB">
        <w:rPr>
          <w:rFonts w:ascii="Palatino Linotype" w:hAnsi="Palatino Linotype"/>
          <w:sz w:val="24"/>
          <w:szCs w:val="24"/>
          <w:lang w:bidi="en-US"/>
        </w:rPr>
        <w:t xml:space="preserve">. It has been applied by </w:t>
      </w:r>
      <w:r w:rsidR="004A05B7" w:rsidRPr="005B1CCB">
        <w:rPr>
          <w:rFonts w:ascii="Palatino Linotype" w:hAnsi="Palatino Linotype"/>
          <w:sz w:val="24"/>
          <w:szCs w:val="24"/>
          <w:lang w:bidi="en-US"/>
        </w:rPr>
        <w:t>surface-enhanced Raman spectroscopy (</w:t>
      </w:r>
      <w:r w:rsidRPr="005B1CCB">
        <w:rPr>
          <w:rFonts w:ascii="Palatino Linotype" w:hAnsi="Palatino Linotype"/>
          <w:sz w:val="24"/>
          <w:szCs w:val="24"/>
          <w:lang w:bidi="en-US"/>
        </w:rPr>
        <w:t>SERS</w:t>
      </w:r>
      <w:r w:rsidR="004A05B7" w:rsidRPr="005B1CCB">
        <w:rPr>
          <w:rFonts w:ascii="Palatino Linotype" w:hAnsi="Palatino Linotype"/>
          <w:sz w:val="24"/>
          <w:szCs w:val="24"/>
          <w:lang w:bidi="en-US"/>
        </w:rPr>
        <w:t>)</w:t>
      </w:r>
      <w:r w:rsidRPr="005B1CCB">
        <w:rPr>
          <w:rFonts w:ascii="Palatino Linotype" w:hAnsi="Palatino Linotype"/>
          <w:sz w:val="24"/>
          <w:szCs w:val="24"/>
          <w:lang w:bidi="en-US"/>
        </w:rPr>
        <w:t xml:space="preserve"> </w:t>
      </w:r>
      <w:r w:rsidR="00D2057F" w:rsidRPr="005B1CCB">
        <w:rPr>
          <w:rFonts w:ascii="Palatino Linotype" w:hAnsi="Palatino Linotype"/>
          <w:sz w:val="24"/>
          <w:szCs w:val="24"/>
          <w:lang w:bidi="en-US"/>
        </w:rPr>
        <w:t>methods and</w:t>
      </w:r>
      <w:r w:rsidRPr="005B1CCB">
        <w:rPr>
          <w:rFonts w:ascii="Palatino Linotype" w:hAnsi="Palatino Linotype"/>
          <w:sz w:val="24"/>
          <w:szCs w:val="24"/>
          <w:lang w:bidi="en-US"/>
        </w:rPr>
        <w:t xml:space="preserve"> </w:t>
      </w:r>
      <w:r w:rsidR="00E14BC0" w:rsidRPr="005B1CCB">
        <w:rPr>
          <w:rFonts w:ascii="Palatino Linotype" w:hAnsi="Palatino Linotype"/>
          <w:sz w:val="24"/>
          <w:szCs w:val="24"/>
          <w:lang w:bidi="en-US"/>
        </w:rPr>
        <w:t xml:space="preserve">also </w:t>
      </w:r>
      <w:r w:rsidRPr="005B1CCB">
        <w:rPr>
          <w:rFonts w:ascii="Palatino Linotype" w:hAnsi="Palatino Linotype"/>
          <w:sz w:val="24"/>
          <w:szCs w:val="24"/>
          <w:lang w:bidi="en-US"/>
        </w:rPr>
        <w:t>UltraSEEK.</w:t>
      </w:r>
      <w:r w:rsidR="004A05B7" w:rsidRPr="005B1CCB">
        <w:rPr>
          <w:rFonts w:ascii="Palatino Linotype" w:hAnsi="Palatino Linotype"/>
          <w:sz w:val="24"/>
          <w:szCs w:val="24"/>
          <w:lang w:bidi="en-US"/>
        </w:rPr>
        <w:t xml:space="preserve"> The UltraSEEK panel enables the study of disease progression and resistance in colon, non-small cell lung cancer, </w:t>
      </w:r>
      <w:r w:rsidR="007A6E1A" w:rsidRPr="005B1CCB">
        <w:rPr>
          <w:rFonts w:ascii="Palatino Linotype" w:hAnsi="Palatino Linotype"/>
          <w:sz w:val="24"/>
          <w:szCs w:val="24"/>
          <w:lang w:bidi="en-US"/>
        </w:rPr>
        <w:t>epidermal growth factor receptor (</w:t>
      </w:r>
      <w:r w:rsidR="004A05B7" w:rsidRPr="005B1CCB">
        <w:rPr>
          <w:rFonts w:ascii="Palatino Linotype" w:hAnsi="Palatino Linotype"/>
          <w:sz w:val="24"/>
          <w:szCs w:val="24"/>
          <w:lang w:bidi="en-US"/>
        </w:rPr>
        <w:t>EGFR</w:t>
      </w:r>
      <w:r w:rsidR="007A6E1A" w:rsidRPr="005B1CCB">
        <w:rPr>
          <w:rFonts w:ascii="Palatino Linotype" w:hAnsi="Palatino Linotype"/>
          <w:sz w:val="24"/>
          <w:szCs w:val="24"/>
          <w:lang w:bidi="en-US"/>
        </w:rPr>
        <w:t>)</w:t>
      </w:r>
      <w:r w:rsidR="004A05B7" w:rsidRPr="005B1CCB">
        <w:rPr>
          <w:rFonts w:ascii="Palatino Linotype" w:hAnsi="Palatino Linotype"/>
          <w:sz w:val="24"/>
          <w:szCs w:val="24"/>
          <w:lang w:bidi="en-US"/>
        </w:rPr>
        <w:t xml:space="preserve"> gene and melanoma</w:t>
      </w:r>
      <w:r w:rsidR="007A6E1A" w:rsidRPr="005B1CCB">
        <w:rPr>
          <w:rFonts w:ascii="Palatino Linotype" w:hAnsi="Palatino Linotype"/>
          <w:sz w:val="24"/>
          <w:szCs w:val="24"/>
          <w:lang w:bidi="en-US"/>
        </w:rPr>
        <w:t xml:space="preserve"> </w:t>
      </w:r>
      <w:r w:rsidR="007A6E1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{"citationItems":[{"id":"ITEM-1","itemData":{"URL":"https://www.veritastk.co.jp/products/pdf/UltraSEEK-Panels-User-Guide.pdf","author":[{"dropping-particle":"","family":"Agena Bioscience","given":"","non-dropping-particle":"","parse-names":false,"suffix":""}],"id":"ITEM-1","issued":{"date-parts":[["2019"]]},"title":"UltraSEEK panel user guide","type":"webpage"},"uris":["http://www.mendeley.com/documents/?uuid=ba2a974d-6c3a-47dd-8b4b-7cea0b652d79"]}],"mendeley":{"formattedCitation":"[82]","plainTextFormattedCitation":"[82]","previouslyFormattedCitation":"[82]"},"properties":{"noteIndex":0},"schema":"https://github.com/citation-style-language/schema/raw/master/csl-citation.json"}</w:instrText>
      </w:r>
      <w:r w:rsidR="007A6E1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[82]</w:t>
      </w:r>
      <w:r w:rsidR="007A6E1A" w:rsidRPr="005B1CCB">
        <w:rPr>
          <w:rFonts w:ascii="Palatino Linotype" w:hAnsi="Palatino Linotype"/>
          <w:sz w:val="24"/>
          <w:szCs w:val="24"/>
          <w:lang w:bidi="en-US"/>
        </w:rPr>
        <w:fldChar w:fldCharType="end"/>
      </w:r>
      <w:r w:rsidR="004A05B7" w:rsidRPr="005B1CCB">
        <w:rPr>
          <w:rFonts w:ascii="Palatino Linotype" w:hAnsi="Palatino Linotype"/>
          <w:sz w:val="24"/>
          <w:szCs w:val="24"/>
          <w:lang w:bidi="en-US"/>
        </w:rPr>
        <w:t xml:space="preserve">. </w:t>
      </w:r>
    </w:p>
    <w:p w14:paraId="6199F037" w14:textId="77777777" w:rsidR="00D2057F" w:rsidRPr="005B1CCB" w:rsidRDefault="00D2057F" w:rsidP="00C214DE">
      <w:pPr>
        <w:spacing w:line="360" w:lineRule="auto"/>
        <w:jc w:val="both"/>
        <w:rPr>
          <w:rFonts w:ascii="Palatino Linotype" w:hAnsi="Palatino Linotype"/>
          <w:sz w:val="24"/>
          <w:szCs w:val="24"/>
          <w:lang w:bidi="en-US"/>
        </w:rPr>
      </w:pPr>
    </w:p>
    <w:p w14:paraId="69A14C50" w14:textId="77777777" w:rsidR="00850D87" w:rsidRPr="005B1CCB" w:rsidRDefault="0088094C" w:rsidP="00850D87">
      <w:pPr>
        <w:pStyle w:val="Heading4"/>
        <w:rPr>
          <w:lang w:bidi="en-US"/>
        </w:rPr>
      </w:pPr>
      <w:r w:rsidRPr="005B1CCB">
        <w:rPr>
          <w:lang w:bidi="en-US"/>
        </w:rPr>
        <w:t xml:space="preserve">Magnetic- beads, emulsion, amplification and magnetics </w:t>
      </w:r>
      <w:r w:rsidR="00850D87" w:rsidRPr="005B1CCB">
        <w:rPr>
          <w:lang w:bidi="en-US"/>
        </w:rPr>
        <w:t>(BEAMing)</w:t>
      </w:r>
    </w:p>
    <w:p w14:paraId="6BF98D33" w14:textId="7781A3D9" w:rsidR="00850D87" w:rsidRDefault="000344C0" w:rsidP="000344C0">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This is another ctDNA detection method with high-resolution detection</w:t>
      </w:r>
      <w:r w:rsidR="00A70366" w:rsidRPr="005B1CCB">
        <w:rPr>
          <w:rFonts w:ascii="Palatino Linotype" w:hAnsi="Palatino Linotype"/>
          <w:sz w:val="24"/>
          <w:szCs w:val="24"/>
          <w:lang w:bidi="en-US"/>
        </w:rPr>
        <w:t xml:space="preserve"> which combines </w:t>
      </w:r>
      <w:r w:rsidR="004B3F72" w:rsidRPr="005B1CCB">
        <w:rPr>
          <w:rFonts w:ascii="Palatino Linotype" w:hAnsi="Palatino Linotype"/>
          <w:sz w:val="24"/>
          <w:szCs w:val="24"/>
          <w:lang w:bidi="en-US"/>
        </w:rPr>
        <w:t xml:space="preserve">digital </w:t>
      </w:r>
      <w:r w:rsidR="00A70366" w:rsidRPr="005B1CCB">
        <w:rPr>
          <w:rFonts w:ascii="Palatino Linotype" w:hAnsi="Palatino Linotype"/>
          <w:sz w:val="24"/>
          <w:szCs w:val="24"/>
          <w:lang w:bidi="en-US"/>
        </w:rPr>
        <w:t>PCR with magnetic beads</w:t>
      </w:r>
      <w:r w:rsidR="004B3F72" w:rsidRPr="005B1CCB">
        <w:rPr>
          <w:rFonts w:ascii="Palatino Linotype" w:hAnsi="Palatino Linotype"/>
          <w:sz w:val="24"/>
          <w:szCs w:val="24"/>
          <w:lang w:bidi="en-US"/>
        </w:rPr>
        <w:t>-based emulsion and flow cytometry</w:t>
      </w:r>
      <w:r w:rsidR="00171F9C" w:rsidRPr="005B1CCB">
        <w:rPr>
          <w:rFonts w:ascii="Palatino Linotype" w:hAnsi="Palatino Linotype"/>
          <w:sz w:val="24"/>
          <w:szCs w:val="24"/>
          <w:lang w:bidi="en-US"/>
        </w:rPr>
        <w:t xml:space="preserve"> </w:t>
      </w:r>
      <w:r w:rsidR="00171F9C"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{"citationItems":[{"id":"ITEM-1","itemData":{"DOI":"10.12659/MSM.921040","ISSN":"1643-3750","abstract":"Circulating tumor DNA (ctDNA) describes the fragmented DNA released from tumor cells into the blood. The ctDNA may have the same genetic changes as the primary tumor. Currently, ctDNA has become a popular biomarker for diagnosis, treatment, real-time clinical response monitoring, and prognosis, for solid tumors. Detection of ctDNA is minimally invasive, and repeat sampling can easily be performed. However, due to its low quality and short DNA fragment length, ctDNA detection still faces challenges and requires highly sensitive analytical techniques. Recently, liquid biopsies for the analysis of circulating tumor cells (CTCs) and circulating tumor-derived exosomes have been studied, and nanotechnology techniques have rapidly developed. Compared to traditional analytical methods, these nanotechnology-based platforms have the advantages of sensitivity, multiplex detection, simplicity, miniaturization, and automation, which support their potential use in clinical practice. This review aims to discuss the recent nanotechnological strategies for ctDNA analysis and the design of reliable techniques for ctDNA detection and to identify the potential clinical applications.","author":[{"dropping-particle":"","family":"Chen","given":"Xiaomin","non-dropping-particle":"","parse-names":false,"suffix":""},{"dropping-particle":"","family":"Wang","given":"Lin","non-dropping-particle":"","parse-names":false,"suffix":""},{"dropping-particle":"","family":"Lou","given":"Jiatao","non-dropping-particle":"","parse-names":false,"suffix":""}],"container-title":"Medical science monitor : international medical journal of experimental and clinical research","id":"ITEM-1","issued":{"date-parts":[["2020","3","22"]]},"language":"eng","page":"e921040-e921040","publisher":"International Scientific Literature, Inc.","title":"Nanotechnology Strategies for the Analysis of Circulating Tumor DNA: A Review","type":"article-journal","volume":"26"},"uris":["http://www.mendeley.com/documents/?uuid=db88f32b-f1a1-4804-86e8-6376d3b4b8ee"]}],"mendeley":{"formattedCitation":"[83]","plainTextFormattedCitation":"[83]","previouslyFormattedCitation":"[83]"},"properties":{"noteIndex":0},"schema":"https://github.com/citation-style-language/schema/raw/master/csl-citation.json"}</w:instrText>
      </w:r>
      <w:r w:rsidR="00171F9C"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[83]</w:t>
      </w:r>
      <w:r w:rsidR="00171F9C" w:rsidRPr="005B1CCB">
        <w:rPr>
          <w:rFonts w:ascii="Palatino Linotype" w:hAnsi="Palatino Linotype"/>
          <w:sz w:val="24"/>
          <w:szCs w:val="24"/>
          <w:lang w:bidi="en-US"/>
        </w:rPr>
        <w:fldChar w:fldCharType="end"/>
      </w:r>
      <w:r w:rsidRPr="005B1CCB">
        <w:rPr>
          <w:rFonts w:ascii="Palatino Linotype" w:hAnsi="Palatino Linotype"/>
          <w:sz w:val="24"/>
          <w:szCs w:val="24"/>
          <w:lang w:bidi="en-US"/>
        </w:rPr>
        <w:t xml:space="preserve">. In this process, a single magnetic bead tethered with an initial DNA template is partitioned into each micro-emulsion containing water-in-oil, where thousands of amplification reactions are then performed. </w:t>
      </w:r>
      <w:r w:rsidR="00363976" w:rsidRPr="005B1CCB">
        <w:rPr>
          <w:rFonts w:ascii="Palatino Linotype" w:hAnsi="Palatino Linotype"/>
          <w:sz w:val="24"/>
          <w:szCs w:val="24"/>
          <w:lang w:bidi="en-US"/>
        </w:rPr>
        <w:t>An advantage of this technique is the high specificity and the ability to analyse a single molecule while a limitation is the pre-amplification of the target sequence and detection of only known mutations</w:t>
      </w:r>
      <w:r w:rsidR="003C5BD4" w:rsidRPr="005B1CCB">
        <w:rPr>
          <w:rFonts w:ascii="Palatino Linotype" w:hAnsi="Palatino Linotype"/>
          <w:sz w:val="24"/>
          <w:szCs w:val="24"/>
          <w:lang w:bidi="en-US"/>
        </w:rPr>
        <w:t xml:space="preserve"> </w:t>
      </w:r>
      <w:r w:rsidR="003C5BD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{"citationItems":[{"id":"ITEM-1","itemData":{"DOI":"10.12659/MSM.921040","ISSN":"1643-3750","abstract":"Circulating tumor DNA (ctDNA) describes the fragmented DNA released from tumor cells into the blood. The ctDNA may have the same genetic changes as the primary tumor. Currently, ctDNA has become a popular biomarker for diagnosis, treatment, real-time clinical response monitoring, and prognosis, for solid tumors. Detection of ctDNA is minimally invasive, and repeat sampling can easily be performed. However, due to its low quality and short DNA fragment length, ctDNA detection still faces challenges and requires highly sensitive analytical techniques. Recently, liquid biopsies for the analysis of circulating tumor cells (CTCs) and circulating tumor-derived exosomes have been studied, and nanotechnology techniques have rapidly developed. Compared to traditional analytical methods, these nanotechnology-based platforms have the advantages of sensitivity, multiplex detection, simplicity, miniaturization, and automation, which support their potential use in clinical practice. This review aims to discuss the recent nanotechnological strategies for ctDNA analysis and the design of reliable techniques for ctDNA detection and to identify the potential clinical applications.","author":[{"dropping-particle":"","family":"Chen","given":"Xiaomin","non-dropping-particle":"","parse-names":false,"suffix":""},{"dropping-particle":"","family":"Wang","given":"Lin","non-dropping-particle":"","parse-names":false,"suffix":""},{"dropping-particle":"","family":"Lou","given":"Jiatao","non-dropping-particle":"","parse-names":false,"suffix":""}],"container-title":"Medical science monitor : international medical journal of experimental and clinical research","id":"ITEM-1","issued":{"date-parts":[["2020","3","22"]]},"language":"eng","page":"e921040-e921040","publisher":"International Scientific Literature, Inc.","title":"Nanotechnology Strategies for the Analysis of Circulating Tumor DNA: A Review","type":"article-journal","volume":"26"},"uris":["http://www.mendeley.com/documents/?uuid=db88f32b-f1a1-4804-86e8-6376d3b4b8ee"]}],"mendeley":{"formattedCitation":"[83]","plainTextFormattedCitation":"[83]","previouslyFormattedCitation":"[83]"},"properties":{"noteIndex":0},"schema":"https://github.com/citation-style-language/schema/raw/master/csl-citation.json"}</w:instrText>
      </w:r>
      <w:r w:rsidR="003C5BD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[83]</w:t>
      </w:r>
      <w:r w:rsidR="003C5BD4" w:rsidRPr="005B1CCB">
        <w:rPr>
          <w:rFonts w:ascii="Palatino Linotype" w:hAnsi="Palatino Linotype"/>
          <w:sz w:val="24"/>
          <w:szCs w:val="24"/>
          <w:lang w:bidi="en-US"/>
        </w:rPr>
        <w:fldChar w:fldCharType="end"/>
      </w:r>
      <w:r w:rsidR="00363976" w:rsidRPr="005B1CCB">
        <w:rPr>
          <w:rFonts w:ascii="Palatino Linotype" w:hAnsi="Palatino Linotype"/>
          <w:sz w:val="24"/>
          <w:szCs w:val="24"/>
          <w:lang w:bidi="en-US"/>
        </w:rPr>
        <w:t>.</w:t>
      </w:r>
    </w:p>
    <w:p w14:paraId="35C0C438" w14:textId="48E25687" w:rsidR="00A35FB7" w:rsidRPr="005B1CCB" w:rsidRDefault="00705408" w:rsidP="000344C0">
      <w:pPr>
        <w:spacing w:line="360" w:lineRule="auto"/>
        <w:jc w:val="both"/>
        <w:rPr>
          <w:rFonts w:ascii="Palatino Linotype" w:hAnsi="Palatino Linotype"/>
          <w:sz w:val="24"/>
          <w:szCs w:val="24"/>
          <w:lang w:bidi="en-US"/>
        </w:rPr>
      </w:pPr>
      <w:r>
        <w:rPr>
          <w:rFonts w:ascii="Palatino Linotype" w:hAnsi="Palatino Linotype"/>
          <w:sz w:val="24"/>
          <w:szCs w:val="24"/>
          <w:lang w:bidi="en-US"/>
        </w:rPr>
        <w:t>Table 2 below highlights the principal characteristics of current liquid detection techniques.</w:t>
      </w:r>
    </w:p>
    <w:p w14:paraId="06384E37" w14:textId="50F1FD28" w:rsidR="005355B6" w:rsidRPr="00492F11" w:rsidRDefault="005355B6" w:rsidP="00492F11">
      <w:pPr>
        <w:keepNext/>
        <w:jc w:val="center"/>
        <w:rPr>
          <w:rFonts w:ascii="Palatino Linotype" w:hAnsi="Palatino Linotype"/>
          <w:sz w:val="24"/>
          <w:szCs w:val="24"/>
        </w:rPr>
      </w:pPr>
      <w:bookmarkStart w:id="31" w:name="_Toc84272323"/>
      <w:r w:rsidRPr="00492F11">
        <w:rPr>
          <w:rFonts w:ascii="Palatino Linotype" w:hAnsi="Palatino Linotype"/>
          <w:sz w:val="24"/>
          <w:szCs w:val="24"/>
        </w:rPr>
        <w:t xml:space="preserve">Table </w:t>
      </w:r>
      <w:r w:rsidRPr="00492F11">
        <w:rPr>
          <w:rFonts w:ascii="Palatino Linotype" w:hAnsi="Palatino Linotype"/>
          <w:sz w:val="24"/>
          <w:szCs w:val="24"/>
        </w:rPr>
        <w:fldChar w:fldCharType="begin"/>
      </w:r>
      <w:r w:rsidRPr="00492F11">
        <w:rPr>
          <w:rFonts w:ascii="Palatino Linotype" w:hAnsi="Palatino Linotype"/>
          <w:sz w:val="24"/>
          <w:szCs w:val="24"/>
        </w:rPr>
        <w:instrText xml:space="preserve"> SEQ Table \* ARABIC </w:instrText>
      </w:r>
      <w:r w:rsidRPr="00492F11">
        <w:rPr>
          <w:rFonts w:ascii="Palatino Linotype" w:hAnsi="Palatino Linotype"/>
          <w:sz w:val="24"/>
          <w:szCs w:val="24"/>
        </w:rPr>
        <w:fldChar w:fldCharType="separate"/>
      </w:r>
      <w:r w:rsidRPr="00492F11">
        <w:rPr>
          <w:rFonts w:ascii="Palatino Linotype" w:hAnsi="Palatino Linotype"/>
          <w:noProof/>
          <w:sz w:val="24"/>
          <w:szCs w:val="24"/>
        </w:rPr>
        <w:t>2</w:t>
      </w:r>
      <w:r w:rsidRPr="00492F11">
        <w:rPr>
          <w:rFonts w:ascii="Palatino Linotype" w:hAnsi="Palatino Linotype"/>
          <w:sz w:val="24"/>
          <w:szCs w:val="24"/>
        </w:rPr>
        <w:fldChar w:fldCharType="end"/>
      </w:r>
      <w:r w:rsidRPr="00492F11">
        <w:rPr>
          <w:rFonts w:ascii="Palatino Linotype" w:hAnsi="Palatino Linotype"/>
          <w:sz w:val="24"/>
          <w:szCs w:val="24"/>
        </w:rPr>
        <w:t>: Key features of the current liquid biopsy detection platforms</w:t>
      </w:r>
      <w:bookmarkEnd w:id="31"/>
    </w:p>
    <w:tbl>
      <w:tblPr>
        <w:tblW w:w="0" w:type="auto"/>
        <w:tblLayout w:type="fixed"/>
        <w:tblLook w:val="04A0" w:firstRow="1" w:lastRow="0" w:firstColumn="1" w:lastColumn="0" w:noHBand="0" w:noVBand="1"/>
      </w:tblPr>
      <w:tblGrid>
        <w:gridCol w:w="1664"/>
        <w:gridCol w:w="2019"/>
        <w:gridCol w:w="1415"/>
        <w:gridCol w:w="1603"/>
        <w:gridCol w:w="1793"/>
      </w:tblGrid>
      <w:tr w:rsidR="008A6770" w:rsidRPr="005355B6" w14:paraId="07ED10A5" w14:textId="77777777" w:rsidTr="00492F11">
        <w:tc>
          <w:tcPr>
            <w:tcW w:w="1664" w:type="dxa"/>
          </w:tcPr>
          <w:p w14:paraId="06CEE422" w14:textId="5B77A446" w:rsidR="008A6770" w:rsidRPr="005355B6" w:rsidRDefault="008A6770" w:rsidP="00492F11">
            <w:pPr>
              <w:jc w:val="center"/>
              <w:rPr>
                <w:rFonts w:ascii="Palatino Linotype" w:hAnsi="Palatino Linotype"/>
                <w:sz w:val="24"/>
                <w:szCs w:val="24"/>
                <w:lang w:bidi="en-US"/>
              </w:rPr>
            </w:pPr>
            <w:r w:rsidRPr="005355B6">
              <w:rPr>
                <w:rFonts w:ascii="Palatino Linotype" w:hAnsi="Palatino Linotype"/>
                <w:sz w:val="24"/>
                <w:szCs w:val="24"/>
                <w:lang w:bidi="en-US"/>
              </w:rPr>
              <w:t>Platforms</w:t>
            </w:r>
          </w:p>
        </w:tc>
        <w:tc>
          <w:tcPr>
            <w:tcW w:w="2019" w:type="dxa"/>
          </w:tcPr>
          <w:p w14:paraId="4A12A3B9" w14:textId="4D850884" w:rsidR="008A6770" w:rsidRPr="00CE246D" w:rsidRDefault="008A6770" w:rsidP="00492F11">
            <w:pPr>
              <w:jc w:val="center"/>
              <w:rPr>
                <w:rFonts w:ascii="Palatino Linotype" w:hAnsi="Palatino Linotype"/>
                <w:sz w:val="24"/>
                <w:szCs w:val="24"/>
                <w:lang w:bidi="en-US"/>
              </w:rPr>
            </w:pPr>
            <w:r>
              <w:rPr>
                <w:rFonts w:ascii="Palatino Linotype" w:hAnsi="Palatino Linotype"/>
                <w:sz w:val="24"/>
                <w:szCs w:val="24"/>
                <w:lang w:bidi="en-US"/>
              </w:rPr>
              <w:t>Sensitivity</w:t>
            </w:r>
          </w:p>
        </w:tc>
        <w:tc>
          <w:tcPr>
            <w:tcW w:w="1415" w:type="dxa"/>
          </w:tcPr>
          <w:p w14:paraId="1E68D404" w14:textId="7A4BA589" w:rsidR="008A6770" w:rsidRPr="00CE246D" w:rsidRDefault="008A6770" w:rsidP="008A6770">
            <w:pPr>
              <w:jc w:val="center"/>
              <w:rPr>
                <w:rFonts w:ascii="Palatino Linotype" w:hAnsi="Palatino Linotype"/>
                <w:sz w:val="24"/>
                <w:szCs w:val="24"/>
                <w:lang w:bidi="en-US"/>
              </w:rPr>
            </w:pPr>
            <w:r>
              <w:rPr>
                <w:rFonts w:ascii="Palatino Linotype" w:hAnsi="Palatino Linotype"/>
                <w:sz w:val="24"/>
                <w:szCs w:val="24"/>
                <w:lang w:bidi="en-US"/>
              </w:rPr>
              <w:t>Specificity</w:t>
            </w:r>
          </w:p>
        </w:tc>
        <w:tc>
          <w:tcPr>
            <w:tcW w:w="1603" w:type="dxa"/>
          </w:tcPr>
          <w:p w14:paraId="547B945E" w14:textId="735E8472" w:rsidR="008A6770" w:rsidRPr="00CE246D" w:rsidRDefault="008A6770" w:rsidP="005355B6">
            <w:pPr>
              <w:jc w:val="center"/>
              <w:rPr>
                <w:rFonts w:ascii="Palatino Linotype" w:hAnsi="Palatino Linotype"/>
                <w:sz w:val="24"/>
                <w:szCs w:val="24"/>
                <w:lang w:bidi="en-US"/>
              </w:rPr>
            </w:pPr>
            <w:r w:rsidRPr="00CE246D">
              <w:rPr>
                <w:rFonts w:ascii="Palatino Linotype" w:hAnsi="Palatino Linotype"/>
                <w:sz w:val="24"/>
                <w:szCs w:val="24"/>
                <w:lang w:bidi="en-US"/>
              </w:rPr>
              <w:t>Advantages</w:t>
            </w:r>
          </w:p>
        </w:tc>
        <w:tc>
          <w:tcPr>
            <w:tcW w:w="1793" w:type="dxa"/>
          </w:tcPr>
          <w:p w14:paraId="481FD2F6" w14:textId="3DADED76" w:rsidR="008A6770" w:rsidRPr="00CE246D" w:rsidRDefault="008A6770" w:rsidP="00492F11">
            <w:pPr>
              <w:jc w:val="center"/>
              <w:rPr>
                <w:rFonts w:ascii="Palatino Linotype" w:hAnsi="Palatino Linotype"/>
                <w:sz w:val="24"/>
                <w:szCs w:val="24"/>
                <w:lang w:bidi="en-US"/>
              </w:rPr>
            </w:pPr>
            <w:r w:rsidRPr="00CE246D">
              <w:rPr>
                <w:rFonts w:ascii="Palatino Linotype" w:hAnsi="Palatino Linotype"/>
                <w:sz w:val="24"/>
                <w:szCs w:val="24"/>
                <w:lang w:bidi="en-US"/>
              </w:rPr>
              <w:t>Disadvantages</w:t>
            </w:r>
          </w:p>
        </w:tc>
      </w:tr>
      <w:tr w:rsidR="008A6770" w:rsidRPr="005355B6" w14:paraId="02DBEBFC" w14:textId="77777777" w:rsidTr="00492F11">
        <w:tc>
          <w:tcPr>
            <w:tcW w:w="1664" w:type="dxa"/>
          </w:tcPr>
          <w:p w14:paraId="2CA44549" w14:textId="4770B033" w:rsidR="008A6770" w:rsidRPr="005355B6" w:rsidRDefault="008A6770" w:rsidP="00492F11">
            <w:pPr>
              <w:jc w:val="center"/>
              <w:rPr>
                <w:rFonts w:ascii="Palatino Linotype" w:hAnsi="Palatino Linotype"/>
                <w:sz w:val="24"/>
                <w:szCs w:val="24"/>
                <w:lang w:bidi="en-US"/>
              </w:rPr>
            </w:pPr>
            <w:r w:rsidRPr="00492F11">
              <w:rPr>
                <w:rFonts w:ascii="Palatino Linotype" w:hAnsi="Palatino Linotype"/>
                <w:sz w:val="24"/>
                <w:szCs w:val="24"/>
                <w:lang w:bidi="en-US"/>
              </w:rPr>
              <w:t>RT-qPCR</w:t>
            </w:r>
          </w:p>
        </w:tc>
        <w:tc>
          <w:tcPr>
            <w:tcW w:w="2019" w:type="dxa"/>
          </w:tcPr>
          <w:p w14:paraId="3502D5F7" w14:textId="04A6EC25" w:rsidR="008A6770" w:rsidRPr="00CE246D" w:rsidRDefault="008A6770" w:rsidP="00492F11">
            <w:pPr>
              <w:jc w:val="center"/>
              <w:rPr>
                <w:rFonts w:ascii="Palatino Linotype" w:hAnsi="Palatino Linotype"/>
                <w:sz w:val="24"/>
                <w:szCs w:val="24"/>
                <w:lang w:bidi="en-US"/>
              </w:rPr>
            </w:pPr>
            <w:r w:rsidRPr="00A35FB7">
              <w:rPr>
                <w:rFonts w:ascii="Palatino Linotype" w:hAnsi="Palatino Linotype"/>
                <w:sz w:val="24"/>
                <w:szCs w:val="24"/>
                <w:lang w:bidi="en-US"/>
              </w:rPr>
              <w:t xml:space="preserve">Able to detect mutant allele fraction as low as </w:t>
            </w:r>
            <w:r>
              <w:rPr>
                <w:rFonts w:ascii="Palatino Linotype" w:hAnsi="Palatino Linotype"/>
                <w:sz w:val="24"/>
                <w:szCs w:val="24"/>
                <w:lang w:bidi="en-US"/>
              </w:rPr>
              <w:t xml:space="preserve">0.1 </w:t>
            </w:r>
            <w:r w:rsidRPr="00A35FB7">
              <w:rPr>
                <w:rFonts w:ascii="Palatino Linotype" w:hAnsi="Palatino Linotype"/>
                <w:sz w:val="24"/>
                <w:szCs w:val="24"/>
                <w:lang w:bidi="en-US"/>
              </w:rPr>
              <w:t>%</w:t>
            </w:r>
          </w:p>
        </w:tc>
        <w:tc>
          <w:tcPr>
            <w:tcW w:w="1415" w:type="dxa"/>
          </w:tcPr>
          <w:p w14:paraId="43B3BC62" w14:textId="77777777" w:rsidR="008A6770" w:rsidRDefault="008A6770" w:rsidP="005355B6">
            <w:pPr>
              <w:jc w:val="center"/>
              <w:rPr>
                <w:rFonts w:ascii="Palatino Linotype" w:hAnsi="Palatino Linotype"/>
                <w:sz w:val="24"/>
                <w:szCs w:val="24"/>
                <w:lang w:bidi="en-US"/>
              </w:rPr>
            </w:pPr>
          </w:p>
          <w:p w14:paraId="4BB859CC" w14:textId="77777777" w:rsidR="008A6770" w:rsidRDefault="008A6770" w:rsidP="005355B6">
            <w:pPr>
              <w:jc w:val="center"/>
              <w:rPr>
                <w:rFonts w:ascii="Palatino Linotype" w:hAnsi="Palatino Linotype"/>
                <w:sz w:val="24"/>
                <w:szCs w:val="24"/>
                <w:lang w:bidi="en-US"/>
              </w:rPr>
            </w:pPr>
          </w:p>
          <w:p w14:paraId="1A972EF9" w14:textId="60C6F52B" w:rsidR="008A6770" w:rsidRPr="00CE246D" w:rsidRDefault="008A6770" w:rsidP="005355B6">
            <w:pPr>
              <w:jc w:val="center"/>
              <w:rPr>
                <w:rFonts w:ascii="Palatino Linotype" w:hAnsi="Palatino Linotype"/>
                <w:sz w:val="24"/>
                <w:szCs w:val="24"/>
                <w:lang w:bidi="en-US"/>
              </w:rPr>
            </w:pPr>
            <w:r>
              <w:rPr>
                <w:rFonts w:ascii="Palatino Linotype" w:hAnsi="Palatino Linotype"/>
                <w:sz w:val="24"/>
                <w:szCs w:val="24"/>
                <w:lang w:bidi="en-US"/>
              </w:rPr>
              <w:t>79 – 100%</w:t>
            </w:r>
          </w:p>
        </w:tc>
        <w:tc>
          <w:tcPr>
            <w:tcW w:w="1603" w:type="dxa"/>
          </w:tcPr>
          <w:p w14:paraId="26FD91A2" w14:textId="77777777" w:rsidR="008A6770" w:rsidRDefault="008A6770" w:rsidP="008A6770">
            <w:pPr>
              <w:jc w:val="center"/>
              <w:rPr>
                <w:rFonts w:ascii="Palatino Linotype" w:hAnsi="Palatino Linotype"/>
                <w:sz w:val="24"/>
                <w:szCs w:val="24"/>
                <w:lang w:bidi="en-US"/>
              </w:rPr>
            </w:pPr>
          </w:p>
          <w:p w14:paraId="78C50A4A" w14:textId="08B84589" w:rsidR="008A6770" w:rsidRPr="00CE246D" w:rsidRDefault="008A6770" w:rsidP="005355B6">
            <w:pPr>
              <w:jc w:val="center"/>
              <w:rPr>
                <w:rFonts w:ascii="Palatino Linotype" w:hAnsi="Palatino Linotype"/>
                <w:sz w:val="24"/>
                <w:szCs w:val="24"/>
                <w:lang w:bidi="en-US"/>
              </w:rPr>
            </w:pPr>
            <w:r>
              <w:rPr>
                <w:rFonts w:ascii="Palatino Linotype" w:hAnsi="Palatino Linotype"/>
                <w:sz w:val="24"/>
                <w:szCs w:val="24"/>
                <w:lang w:bidi="en-US"/>
              </w:rPr>
              <w:t>Fast technique</w:t>
            </w:r>
          </w:p>
        </w:tc>
        <w:tc>
          <w:tcPr>
            <w:tcW w:w="1793" w:type="dxa"/>
            <w:vMerge w:val="restart"/>
          </w:tcPr>
          <w:p w14:paraId="4029F524" w14:textId="7FFF1B3E" w:rsidR="008A6770" w:rsidRDefault="008A6770">
            <w:pPr>
              <w:jc w:val="center"/>
              <w:rPr>
                <w:rFonts w:ascii="Palatino Linotype" w:hAnsi="Palatino Linotype"/>
                <w:sz w:val="24"/>
                <w:szCs w:val="24"/>
                <w:lang w:bidi="en-US"/>
              </w:rPr>
            </w:pPr>
          </w:p>
          <w:p w14:paraId="24AE4264" w14:textId="77777777" w:rsidR="008A6770" w:rsidRDefault="008A6770">
            <w:pPr>
              <w:jc w:val="center"/>
              <w:rPr>
                <w:rFonts w:ascii="Palatino Linotype" w:hAnsi="Palatino Linotype"/>
                <w:sz w:val="24"/>
                <w:szCs w:val="24"/>
                <w:lang w:bidi="en-US"/>
              </w:rPr>
            </w:pPr>
          </w:p>
          <w:p w14:paraId="4C35C7C6" w14:textId="77777777" w:rsidR="008A6770" w:rsidRDefault="008A6770">
            <w:pPr>
              <w:jc w:val="center"/>
              <w:rPr>
                <w:rFonts w:ascii="Palatino Linotype" w:hAnsi="Palatino Linotype"/>
                <w:sz w:val="24"/>
                <w:szCs w:val="24"/>
                <w:lang w:bidi="en-US"/>
              </w:rPr>
            </w:pPr>
          </w:p>
          <w:p w14:paraId="463DE1C7" w14:textId="77777777" w:rsidR="008A6770" w:rsidRDefault="008A6770">
            <w:pPr>
              <w:jc w:val="center"/>
              <w:rPr>
                <w:rFonts w:ascii="Palatino Linotype" w:hAnsi="Palatino Linotype"/>
                <w:sz w:val="24"/>
                <w:szCs w:val="24"/>
                <w:lang w:bidi="en-US"/>
              </w:rPr>
            </w:pPr>
          </w:p>
          <w:p w14:paraId="4F0B69E1" w14:textId="77777777" w:rsidR="008A6770" w:rsidRDefault="008A6770">
            <w:pPr>
              <w:jc w:val="center"/>
              <w:rPr>
                <w:rFonts w:ascii="Palatino Linotype" w:hAnsi="Palatino Linotype"/>
                <w:sz w:val="24"/>
                <w:szCs w:val="24"/>
                <w:lang w:bidi="en-US"/>
              </w:rPr>
            </w:pPr>
          </w:p>
          <w:p w14:paraId="03E9CDBC" w14:textId="77777777" w:rsidR="008A6770" w:rsidRDefault="008A6770">
            <w:pPr>
              <w:jc w:val="center"/>
              <w:rPr>
                <w:rFonts w:ascii="Palatino Linotype" w:hAnsi="Palatino Linotype"/>
                <w:sz w:val="24"/>
                <w:szCs w:val="24"/>
                <w:lang w:bidi="en-US"/>
              </w:rPr>
            </w:pPr>
          </w:p>
          <w:p w14:paraId="3B86557A" w14:textId="77777777" w:rsidR="008A6770" w:rsidRDefault="008A6770">
            <w:pPr>
              <w:jc w:val="center"/>
              <w:rPr>
                <w:rFonts w:ascii="Palatino Linotype" w:hAnsi="Palatino Linotype"/>
                <w:sz w:val="24"/>
                <w:szCs w:val="24"/>
                <w:lang w:bidi="en-US"/>
              </w:rPr>
            </w:pPr>
          </w:p>
          <w:p w14:paraId="2B89FB4B" w14:textId="77777777" w:rsidR="008A6770" w:rsidRDefault="008A6770">
            <w:pPr>
              <w:jc w:val="center"/>
              <w:rPr>
                <w:rFonts w:ascii="Palatino Linotype" w:hAnsi="Palatino Linotype"/>
                <w:sz w:val="24"/>
                <w:szCs w:val="24"/>
                <w:lang w:bidi="en-US"/>
              </w:rPr>
            </w:pPr>
          </w:p>
          <w:p w14:paraId="48D73368" w14:textId="1D890420" w:rsidR="008A6770" w:rsidRPr="00CE246D" w:rsidRDefault="008A6770" w:rsidP="00492F11">
            <w:pPr>
              <w:jc w:val="center"/>
              <w:rPr>
                <w:rFonts w:ascii="Palatino Linotype" w:hAnsi="Palatino Linotype"/>
                <w:sz w:val="24"/>
                <w:szCs w:val="24"/>
                <w:lang w:bidi="en-US"/>
              </w:rPr>
            </w:pPr>
            <w:r>
              <w:rPr>
                <w:rFonts w:ascii="Palatino Linotype" w:hAnsi="Palatino Linotype"/>
                <w:sz w:val="24"/>
                <w:szCs w:val="24"/>
                <w:lang w:bidi="en-US"/>
              </w:rPr>
              <w:t>These techniques are only suitable for screening known mutations or genomic variants in limited genomic regions, therefore unsuitable for mutation screening and detecting novel variants</w:t>
            </w:r>
            <w:r w:rsidR="00D77AC0">
              <w:rPr>
                <w:rFonts w:ascii="Palatino Linotype" w:hAnsi="Palatino Linotype"/>
                <w:sz w:val="24"/>
                <w:szCs w:val="24"/>
                <w:lang w:bidi="en-US"/>
              </w:rPr>
              <w:t xml:space="preserve"> </w:t>
            </w:r>
            <w:r w:rsidR="00D77AC0">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{"citationItems":[{"id":"ITEM-1","itemData":{"DOI":"10.1016/j.csbj.2018.10.002","ISSN":"20010370","abstract":"Precision medicine in the clinical management of cancer may be achieved through the diagnostic platform called “liquid biopsy”. This method utilizes the detection of biomarkers in blood for prognostic and predictive purposes. One of the latest blood born markers under investigation in the field of liquid biopsy in cancer patients is circulating tumor DNA (ctDNA). ctDNA is released by tumor cells through different mechanisms and can therefore provide information about the genomic make-up of the tumor currently present in the patient. Through longitudinal ctDNA-based liquid biopsies, tumor dynamics may be monitored to predict and assess drug response and/or resistance. However, because ctDNA is highly fragmented and because its concentration can be extremely low in a high background of normal circulating DNA, screening for clinical relevant mutations is challenging. Although significant progress has been made in advancing the detection and analysis of ctDNA in the last few years, the current challenges include standardization and increasing current techniques to single molecule sensitivity in combination with perfect specificity. This review focuses on the potential role of ctDNA in the clinical management of cancer patients, the current technologies that are being employed, and the hurdles that still need to be taken to achieve ctDNA-based liquid biopsy towards precision medicine.","author":[{"dropping-particle":"","family":"Elazezy","given":"Maha","non-dropping-particle":"","parse-names":false,"suffix":""},{"dropping-particle":"","family":"Joosse","given":"Simon A.","non-dropping-particle":"","parse-names":false,"suffix":""}],"container-title":"Computational and Structural Biotechnology Journal","id":"ITEM-1","issued":{"date-parts":[["2018"]]},"page":"370-378","publisher":"The Authors","title":"Techniques of using circulating tumor DNA as a liquid biopsy component in cancer management","type":"article-journal","volume":"16"},"uris":["http://www.mendeley.com/documents/?uuid=37b06e44-83f6-44d1-aa10-3885a16439b3"]}],"mendeley":{"formattedCitation":"[79]","plainTextFormattedCitation":"[79]","previouslyFormattedCitation":"[79]"},"properties":{"noteIndex":0},"schema":"https://github.com/citation-style-language/schema/raw/master/csl-citation.json"}</w:instrText>
            </w:r>
            <w:r w:rsidR="00D77AC0">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[79]</w:t>
            </w:r>
            <w:r w:rsidR="00D77AC0">
              <w:rPr>
                <w:rFonts w:ascii="Palatino Linotype" w:hAnsi="Palatino Linotype"/>
                <w:sz w:val="24"/>
                <w:szCs w:val="24"/>
                <w:lang w:bidi="en-US"/>
              </w:rPr>
              <w:fldChar w:fldCharType="end"/>
            </w:r>
          </w:p>
        </w:tc>
      </w:tr>
      <w:tr w:rsidR="008A6770" w:rsidRPr="005355B6" w14:paraId="57BDA168" w14:textId="77777777" w:rsidTr="00492F11">
        <w:tc>
          <w:tcPr>
            <w:tcW w:w="1664" w:type="dxa"/>
          </w:tcPr>
          <w:p w14:paraId="49F8D5CC" w14:textId="6275F30F" w:rsidR="008A6770" w:rsidRPr="005355B6" w:rsidRDefault="008A6770" w:rsidP="00492F11">
            <w:pPr>
              <w:jc w:val="center"/>
              <w:rPr>
                <w:rFonts w:ascii="Palatino Linotype" w:hAnsi="Palatino Linotype"/>
                <w:sz w:val="24"/>
                <w:szCs w:val="24"/>
                <w:lang w:bidi="en-US"/>
              </w:rPr>
            </w:pPr>
            <w:r w:rsidRPr="00492F11">
              <w:rPr>
                <w:rFonts w:ascii="Palatino Linotype" w:hAnsi="Palatino Linotype"/>
                <w:sz w:val="24"/>
                <w:szCs w:val="24"/>
                <w:lang w:bidi="en-US"/>
              </w:rPr>
              <w:t>ddPCR</w:t>
            </w:r>
          </w:p>
        </w:tc>
        <w:tc>
          <w:tcPr>
            <w:tcW w:w="2019" w:type="dxa"/>
          </w:tcPr>
          <w:p w14:paraId="6A2ED63D" w14:textId="5AA4E10C" w:rsidR="008A6770" w:rsidRPr="00CE246D" w:rsidRDefault="008A6770" w:rsidP="00492F11">
            <w:pPr>
              <w:jc w:val="center"/>
              <w:rPr>
                <w:rFonts w:ascii="Palatino Linotype" w:hAnsi="Palatino Linotype"/>
                <w:sz w:val="24"/>
                <w:szCs w:val="24"/>
                <w:lang w:bidi="en-US"/>
              </w:rPr>
            </w:pPr>
            <w:r w:rsidRPr="00A35FB7">
              <w:rPr>
                <w:rFonts w:ascii="Palatino Linotype" w:hAnsi="Palatino Linotype"/>
                <w:sz w:val="24"/>
                <w:szCs w:val="24"/>
                <w:lang w:bidi="en-US"/>
              </w:rPr>
              <w:t>LOD</w:t>
            </w:r>
            <w:r>
              <w:rPr>
                <w:rFonts w:ascii="Palatino Linotype" w:hAnsi="Palatino Linotype"/>
                <w:sz w:val="24"/>
                <w:szCs w:val="24"/>
                <w:lang w:bidi="en-US"/>
              </w:rPr>
              <w:t xml:space="preserve"> of 0.005% can be achieved with higher amounts of DNA (1 variant copy in the background of 100,000 WT copies).</w:t>
            </w:r>
          </w:p>
        </w:tc>
        <w:tc>
          <w:tcPr>
            <w:tcW w:w="1415" w:type="dxa"/>
          </w:tcPr>
          <w:p w14:paraId="310019D4" w14:textId="77777777" w:rsidR="008A6770" w:rsidRDefault="008A6770" w:rsidP="005355B6">
            <w:pPr>
              <w:jc w:val="center"/>
              <w:rPr>
                <w:rFonts w:ascii="Palatino Linotype" w:hAnsi="Palatino Linotype"/>
                <w:sz w:val="24"/>
                <w:szCs w:val="24"/>
                <w:lang w:bidi="en-US"/>
              </w:rPr>
            </w:pPr>
          </w:p>
          <w:p w14:paraId="487FF6D9" w14:textId="77777777" w:rsidR="008A6770" w:rsidRDefault="008A6770" w:rsidP="005355B6">
            <w:pPr>
              <w:jc w:val="center"/>
              <w:rPr>
                <w:rFonts w:ascii="Palatino Linotype" w:hAnsi="Palatino Linotype"/>
                <w:sz w:val="24"/>
                <w:szCs w:val="24"/>
                <w:lang w:bidi="en-US"/>
              </w:rPr>
            </w:pPr>
          </w:p>
          <w:p w14:paraId="25F6A0CC" w14:textId="77777777" w:rsidR="008A6770" w:rsidRDefault="008A6770" w:rsidP="005355B6">
            <w:pPr>
              <w:jc w:val="center"/>
              <w:rPr>
                <w:rFonts w:ascii="Palatino Linotype" w:hAnsi="Palatino Linotype"/>
                <w:sz w:val="24"/>
                <w:szCs w:val="24"/>
                <w:lang w:bidi="en-US"/>
              </w:rPr>
            </w:pPr>
          </w:p>
          <w:p w14:paraId="29FC703C" w14:textId="77777777" w:rsidR="008A6770" w:rsidRDefault="008A6770" w:rsidP="005355B6">
            <w:pPr>
              <w:jc w:val="center"/>
              <w:rPr>
                <w:rFonts w:ascii="Palatino Linotype" w:hAnsi="Palatino Linotype"/>
                <w:sz w:val="24"/>
                <w:szCs w:val="24"/>
                <w:lang w:bidi="en-US"/>
              </w:rPr>
            </w:pPr>
          </w:p>
          <w:p w14:paraId="118CC750" w14:textId="77777777" w:rsidR="008A6770" w:rsidRDefault="008A6770" w:rsidP="005355B6">
            <w:pPr>
              <w:jc w:val="center"/>
              <w:rPr>
                <w:rFonts w:ascii="Palatino Linotype" w:hAnsi="Palatino Linotype"/>
                <w:sz w:val="24"/>
                <w:szCs w:val="24"/>
                <w:lang w:bidi="en-US"/>
              </w:rPr>
            </w:pPr>
          </w:p>
          <w:p w14:paraId="5F21E9CC" w14:textId="546A6AB7" w:rsidR="008A6770" w:rsidRPr="00CE246D" w:rsidRDefault="008A6770" w:rsidP="005355B6">
            <w:pPr>
              <w:jc w:val="center"/>
              <w:rPr>
                <w:rFonts w:ascii="Palatino Linotype" w:hAnsi="Palatino Linotype"/>
                <w:sz w:val="24"/>
                <w:szCs w:val="24"/>
                <w:lang w:bidi="en-US"/>
              </w:rPr>
            </w:pPr>
            <w:r>
              <w:rPr>
                <w:rFonts w:ascii="Palatino Linotype" w:hAnsi="Palatino Linotype"/>
                <w:sz w:val="24"/>
                <w:szCs w:val="24"/>
                <w:lang w:bidi="en-US"/>
              </w:rPr>
              <w:t>100%</w:t>
            </w:r>
          </w:p>
        </w:tc>
        <w:tc>
          <w:tcPr>
            <w:tcW w:w="1603" w:type="dxa"/>
          </w:tcPr>
          <w:p w14:paraId="67EF304D" w14:textId="77777777" w:rsidR="008A6770" w:rsidRDefault="008A6770" w:rsidP="008A6770">
            <w:pPr>
              <w:jc w:val="center"/>
              <w:rPr>
                <w:rFonts w:ascii="Palatino Linotype" w:hAnsi="Palatino Linotype"/>
                <w:sz w:val="24"/>
                <w:szCs w:val="24"/>
                <w:lang w:bidi="en-US"/>
              </w:rPr>
            </w:pPr>
            <w:r>
              <w:rPr>
                <w:rFonts w:ascii="Palatino Linotype" w:hAnsi="Palatino Linotype"/>
                <w:sz w:val="24"/>
                <w:szCs w:val="24"/>
                <w:lang w:bidi="en-US"/>
              </w:rPr>
              <w:t>High sensitivity and specificity of detection</w:t>
            </w:r>
          </w:p>
          <w:p w14:paraId="5E1CE3D8" w14:textId="77777777" w:rsidR="008A6770" w:rsidRDefault="008A6770" w:rsidP="008A6770">
            <w:pPr>
              <w:jc w:val="center"/>
              <w:rPr>
                <w:rFonts w:ascii="Palatino Linotype" w:hAnsi="Palatino Linotype"/>
                <w:sz w:val="24"/>
                <w:szCs w:val="24"/>
                <w:lang w:bidi="en-US"/>
              </w:rPr>
            </w:pPr>
          </w:p>
          <w:p w14:paraId="155DC890" w14:textId="77777777" w:rsidR="008A6770" w:rsidRDefault="008A6770" w:rsidP="008A6770">
            <w:pPr>
              <w:jc w:val="center"/>
              <w:rPr>
                <w:rFonts w:ascii="Palatino Linotype" w:hAnsi="Palatino Linotype"/>
                <w:sz w:val="24"/>
                <w:szCs w:val="24"/>
                <w:lang w:bidi="en-US"/>
              </w:rPr>
            </w:pPr>
          </w:p>
          <w:p w14:paraId="6A3D7922" w14:textId="49E3EFCA" w:rsidR="008A6770" w:rsidRPr="00CE246D" w:rsidRDefault="008A6770" w:rsidP="008A6770">
            <w:pPr>
              <w:jc w:val="center"/>
              <w:rPr>
                <w:rFonts w:ascii="Palatino Linotype" w:hAnsi="Palatino Linotype"/>
                <w:sz w:val="24"/>
                <w:szCs w:val="24"/>
                <w:lang w:bidi="en-US"/>
              </w:rPr>
            </w:pPr>
            <w:r>
              <w:rPr>
                <w:rFonts w:ascii="Palatino Linotype" w:hAnsi="Palatino Linotype"/>
                <w:sz w:val="24"/>
                <w:szCs w:val="24"/>
                <w:lang w:bidi="en-US"/>
              </w:rPr>
              <w:t>Absolute quantitation possible</w:t>
            </w:r>
          </w:p>
        </w:tc>
        <w:tc>
          <w:tcPr>
            <w:tcW w:w="1793" w:type="dxa"/>
            <w:vMerge/>
          </w:tcPr>
          <w:p w14:paraId="21DDDEEB" w14:textId="06AE5D49" w:rsidR="008A6770" w:rsidRPr="00CE246D" w:rsidRDefault="008A6770" w:rsidP="00492F11">
            <w:pPr>
              <w:jc w:val="center"/>
              <w:rPr>
                <w:rFonts w:ascii="Palatino Linotype" w:hAnsi="Palatino Linotype"/>
                <w:sz w:val="24"/>
                <w:szCs w:val="24"/>
                <w:lang w:bidi="en-US"/>
              </w:rPr>
            </w:pPr>
          </w:p>
        </w:tc>
      </w:tr>
      <w:tr w:rsidR="008A6770" w:rsidRPr="005355B6" w14:paraId="0D35F216" w14:textId="77777777" w:rsidTr="00492F11">
        <w:tc>
          <w:tcPr>
            <w:tcW w:w="1664" w:type="dxa"/>
          </w:tcPr>
          <w:p w14:paraId="5FED11D0" w14:textId="11EC803A" w:rsidR="008A6770" w:rsidRPr="002B5F4C" w:rsidRDefault="008A6770">
            <w:pPr>
              <w:jc w:val="center"/>
              <w:rPr>
                <w:rFonts w:ascii="Palatino Linotype" w:hAnsi="Palatino Linotype"/>
                <w:sz w:val="24"/>
                <w:szCs w:val="24"/>
                <w:lang w:bidi="en-US"/>
              </w:rPr>
            </w:pPr>
            <w:r w:rsidRPr="005404C7">
              <w:rPr>
                <w:rFonts w:ascii="Palatino Linotype" w:hAnsi="Palatino Linotype"/>
                <w:sz w:val="24"/>
                <w:szCs w:val="24"/>
                <w:lang w:bidi="en-US"/>
              </w:rPr>
              <w:t>BEAMing</w:t>
            </w:r>
          </w:p>
        </w:tc>
        <w:tc>
          <w:tcPr>
            <w:tcW w:w="2019" w:type="dxa"/>
          </w:tcPr>
          <w:p w14:paraId="24D13F24" w14:textId="54A81870" w:rsidR="008A6770" w:rsidRPr="002B5F4C" w:rsidRDefault="008A6770">
            <w:pPr>
              <w:jc w:val="center"/>
              <w:rPr>
                <w:rFonts w:ascii="Palatino Linotype" w:hAnsi="Palatino Linotype"/>
                <w:sz w:val="24"/>
                <w:szCs w:val="24"/>
                <w:highlight w:val="yellow"/>
                <w:lang w:bidi="en-US"/>
              </w:rPr>
            </w:pPr>
            <w:r w:rsidRPr="00A35FB7">
              <w:rPr>
                <w:rFonts w:ascii="Palatino Linotype" w:hAnsi="Palatino Linotype"/>
                <w:sz w:val="24"/>
                <w:szCs w:val="24"/>
                <w:lang w:bidi="en-US"/>
              </w:rPr>
              <w:t xml:space="preserve">Able to detect mutant allele fraction as low </w:t>
            </w:r>
            <w:r>
              <w:rPr>
                <w:rFonts w:ascii="Palatino Linotype" w:hAnsi="Palatino Linotype"/>
                <w:sz w:val="24"/>
                <w:szCs w:val="24"/>
                <w:lang w:bidi="en-US"/>
              </w:rPr>
              <w:t>as 0.01% (1 variant copy in a background of 10,000 WT copies).</w:t>
            </w:r>
          </w:p>
        </w:tc>
        <w:tc>
          <w:tcPr>
            <w:tcW w:w="1415" w:type="dxa"/>
          </w:tcPr>
          <w:p w14:paraId="60FB540F" w14:textId="77777777" w:rsidR="008A6770" w:rsidRDefault="008A6770" w:rsidP="002B5F4C">
            <w:pPr>
              <w:jc w:val="center"/>
              <w:rPr>
                <w:rFonts w:ascii="Palatino Linotype" w:hAnsi="Palatino Linotype"/>
                <w:sz w:val="24"/>
                <w:szCs w:val="24"/>
                <w:lang w:bidi="en-US"/>
              </w:rPr>
            </w:pPr>
          </w:p>
          <w:p w14:paraId="0A70151C" w14:textId="66FF60ED" w:rsidR="008A6770" w:rsidRDefault="008A6770" w:rsidP="00492F11">
            <w:pPr>
              <w:rPr>
                <w:rFonts w:ascii="Palatino Linotype" w:hAnsi="Palatino Linotype"/>
                <w:sz w:val="24"/>
                <w:szCs w:val="24"/>
                <w:lang w:bidi="en-US"/>
              </w:rPr>
            </w:pPr>
            <w:r>
              <w:rPr>
                <w:rFonts w:ascii="Palatino Linotype" w:hAnsi="Palatino Linotype"/>
                <w:sz w:val="24"/>
                <w:szCs w:val="24"/>
                <w:lang w:bidi="en-US"/>
              </w:rPr>
              <w:t>100%</w:t>
            </w:r>
          </w:p>
        </w:tc>
        <w:tc>
          <w:tcPr>
            <w:tcW w:w="1603" w:type="dxa"/>
          </w:tcPr>
          <w:p w14:paraId="7AD0F8C6" w14:textId="77777777" w:rsidR="008A6770" w:rsidRDefault="008A6770" w:rsidP="00492F11">
            <w:pPr>
              <w:jc w:val="center"/>
              <w:rPr>
                <w:rFonts w:ascii="Palatino Linotype" w:hAnsi="Palatino Linotype"/>
                <w:sz w:val="24"/>
                <w:szCs w:val="24"/>
                <w:lang w:bidi="en-US"/>
              </w:rPr>
            </w:pPr>
            <w:r>
              <w:rPr>
                <w:rFonts w:ascii="Palatino Linotype" w:hAnsi="Palatino Linotype"/>
                <w:sz w:val="24"/>
                <w:szCs w:val="24"/>
                <w:lang w:bidi="en-US"/>
              </w:rPr>
              <w:t>High sensitivity and specificity of mutation detection</w:t>
            </w:r>
          </w:p>
          <w:p w14:paraId="3DE4B812" w14:textId="77777777" w:rsidR="008A6770" w:rsidRDefault="008A6770" w:rsidP="008A6770">
            <w:pPr>
              <w:rPr>
                <w:rFonts w:ascii="Palatino Linotype" w:hAnsi="Palatino Linotype"/>
                <w:sz w:val="24"/>
                <w:szCs w:val="24"/>
                <w:lang w:bidi="en-US"/>
              </w:rPr>
            </w:pPr>
          </w:p>
          <w:p w14:paraId="2BFE762C" w14:textId="0A765300" w:rsidR="008A6770" w:rsidRDefault="008A6770" w:rsidP="008A6770">
            <w:pPr>
              <w:jc w:val="center"/>
              <w:rPr>
                <w:rFonts w:ascii="Palatino Linotype" w:hAnsi="Palatino Linotype"/>
                <w:sz w:val="24"/>
                <w:szCs w:val="24"/>
                <w:lang w:bidi="en-US"/>
              </w:rPr>
            </w:pPr>
            <w:r>
              <w:rPr>
                <w:rFonts w:ascii="Palatino Linotype" w:hAnsi="Palatino Linotype"/>
                <w:sz w:val="24"/>
                <w:szCs w:val="24"/>
                <w:lang w:bidi="en-US"/>
              </w:rPr>
              <w:t>Absolute quantitation possible</w:t>
            </w:r>
          </w:p>
        </w:tc>
        <w:tc>
          <w:tcPr>
            <w:tcW w:w="1793" w:type="dxa"/>
            <w:vMerge/>
          </w:tcPr>
          <w:p w14:paraId="08E67C29" w14:textId="794D77EB" w:rsidR="008A6770" w:rsidRPr="00CE246D" w:rsidRDefault="008A6770">
            <w:pPr>
              <w:jc w:val="center"/>
              <w:rPr>
                <w:rFonts w:ascii="Palatino Linotype" w:hAnsi="Palatino Linotype"/>
                <w:sz w:val="24"/>
                <w:szCs w:val="24"/>
                <w:lang w:bidi="en-US"/>
              </w:rPr>
            </w:pPr>
          </w:p>
        </w:tc>
      </w:tr>
      <w:tr w:rsidR="008A6770" w:rsidRPr="005355B6" w14:paraId="1FD8CB69" w14:textId="77777777" w:rsidTr="00492F11">
        <w:tc>
          <w:tcPr>
            <w:tcW w:w="1664" w:type="dxa"/>
          </w:tcPr>
          <w:p w14:paraId="20E5E9ED" w14:textId="4D4F9DD2" w:rsidR="008A6770" w:rsidRPr="005355B6" w:rsidRDefault="008A6770" w:rsidP="00492F11">
            <w:pPr>
              <w:jc w:val="center"/>
              <w:rPr>
                <w:rFonts w:ascii="Palatino Linotype" w:hAnsi="Palatino Linotype"/>
                <w:sz w:val="24"/>
                <w:szCs w:val="24"/>
                <w:lang w:bidi="en-US"/>
              </w:rPr>
            </w:pPr>
            <w:r w:rsidRPr="00492F11">
              <w:rPr>
                <w:rFonts w:ascii="Palatino Linotype" w:hAnsi="Palatino Linotype"/>
                <w:sz w:val="24"/>
                <w:szCs w:val="24"/>
                <w:lang w:bidi="en-US"/>
              </w:rPr>
              <w:t>NGS sequencing</w:t>
            </w:r>
          </w:p>
        </w:tc>
        <w:tc>
          <w:tcPr>
            <w:tcW w:w="2019" w:type="dxa"/>
          </w:tcPr>
          <w:p w14:paraId="2F4BE617" w14:textId="016D46E0" w:rsidR="008A6770" w:rsidRPr="00CE246D" w:rsidRDefault="008A6770" w:rsidP="00492F11">
            <w:pPr>
              <w:jc w:val="center"/>
              <w:rPr>
                <w:rFonts w:ascii="Palatino Linotype" w:hAnsi="Palatino Linotype"/>
                <w:sz w:val="24"/>
                <w:szCs w:val="24"/>
                <w:lang w:bidi="en-US"/>
              </w:rPr>
            </w:pPr>
            <w:r>
              <w:rPr>
                <w:rFonts w:ascii="Palatino Linotype" w:hAnsi="Palatino Linotype"/>
                <w:sz w:val="24"/>
                <w:szCs w:val="24"/>
                <w:lang w:bidi="en-US"/>
              </w:rPr>
              <w:t>Able to detect mutant allele fraction as low as 0.004 %</w:t>
            </w:r>
          </w:p>
        </w:tc>
        <w:tc>
          <w:tcPr>
            <w:tcW w:w="1415" w:type="dxa"/>
          </w:tcPr>
          <w:p w14:paraId="3E2B7E21" w14:textId="77777777" w:rsidR="008A6770" w:rsidRDefault="008A6770" w:rsidP="00492F11">
            <w:pPr>
              <w:rPr>
                <w:rFonts w:ascii="Palatino Linotype" w:hAnsi="Palatino Linotype"/>
                <w:sz w:val="24"/>
                <w:szCs w:val="24"/>
                <w:lang w:bidi="en-US"/>
              </w:rPr>
            </w:pPr>
          </w:p>
          <w:p w14:paraId="4E1A567B" w14:textId="2C4F9DAA" w:rsidR="008A6770" w:rsidRPr="00CE246D" w:rsidRDefault="008A6770" w:rsidP="008A6770">
            <w:pPr>
              <w:jc w:val="center"/>
              <w:rPr>
                <w:rFonts w:ascii="Palatino Linotype" w:hAnsi="Palatino Linotype"/>
                <w:sz w:val="24"/>
                <w:szCs w:val="24"/>
                <w:lang w:bidi="en-US"/>
              </w:rPr>
            </w:pPr>
            <w:r>
              <w:rPr>
                <w:rFonts w:ascii="Palatino Linotype" w:hAnsi="Palatino Linotype"/>
                <w:sz w:val="24"/>
                <w:szCs w:val="24"/>
                <w:lang w:bidi="en-US"/>
              </w:rPr>
              <w:t>80-100%</w:t>
            </w:r>
          </w:p>
        </w:tc>
        <w:tc>
          <w:tcPr>
            <w:tcW w:w="1603" w:type="dxa"/>
          </w:tcPr>
          <w:p w14:paraId="3B6CF2EC" w14:textId="47F562F8" w:rsidR="008A6770" w:rsidRPr="00CE246D" w:rsidRDefault="008A6770" w:rsidP="005355B6">
            <w:pPr>
              <w:jc w:val="center"/>
              <w:rPr>
                <w:rFonts w:ascii="Palatino Linotype" w:hAnsi="Palatino Linotype"/>
                <w:sz w:val="24"/>
                <w:szCs w:val="24"/>
                <w:lang w:bidi="en-US"/>
              </w:rPr>
            </w:pPr>
            <w:r>
              <w:rPr>
                <w:rFonts w:ascii="Palatino Linotype" w:hAnsi="Palatino Linotype"/>
                <w:sz w:val="24"/>
                <w:szCs w:val="24"/>
                <w:lang w:bidi="en-US"/>
              </w:rPr>
              <w:t>E</w:t>
            </w:r>
            <w:r w:rsidRPr="002F471F">
              <w:rPr>
                <w:rFonts w:ascii="Palatino Linotype" w:hAnsi="Palatino Linotype"/>
                <w:sz w:val="24"/>
                <w:szCs w:val="24"/>
                <w:lang w:bidi="en-US"/>
              </w:rPr>
              <w:t>nabl</w:t>
            </w:r>
            <w:r>
              <w:rPr>
                <w:rFonts w:ascii="Palatino Linotype" w:hAnsi="Palatino Linotype"/>
                <w:sz w:val="24"/>
                <w:szCs w:val="24"/>
                <w:lang w:bidi="en-US"/>
              </w:rPr>
              <w:t>es</w:t>
            </w:r>
            <w:r w:rsidRPr="002F471F">
              <w:rPr>
                <w:rFonts w:ascii="Palatino Linotype" w:hAnsi="Palatino Linotype"/>
                <w:sz w:val="24"/>
                <w:szCs w:val="24"/>
                <w:lang w:bidi="en-US"/>
              </w:rPr>
              <w:t xml:space="preserve"> an unlimited and enormous number of genes to be sequenced in a short span of time</w:t>
            </w:r>
          </w:p>
        </w:tc>
        <w:tc>
          <w:tcPr>
            <w:tcW w:w="1793" w:type="dxa"/>
            <w:vMerge/>
          </w:tcPr>
          <w:p w14:paraId="0DC6D4A7" w14:textId="40C75DF9" w:rsidR="008A6770" w:rsidRPr="00CE246D" w:rsidRDefault="008A6770" w:rsidP="00492F11">
            <w:pPr>
              <w:jc w:val="center"/>
              <w:rPr>
                <w:rFonts w:ascii="Palatino Linotype" w:hAnsi="Palatino Linotype"/>
                <w:sz w:val="24"/>
                <w:szCs w:val="24"/>
                <w:lang w:bidi="en-US"/>
              </w:rPr>
            </w:pPr>
          </w:p>
        </w:tc>
      </w:tr>
      <w:tr w:rsidR="008A6770" w:rsidRPr="005355B6" w14:paraId="3F9CC14B" w14:textId="77777777" w:rsidTr="00492F11">
        <w:tc>
          <w:tcPr>
            <w:tcW w:w="1664" w:type="dxa"/>
          </w:tcPr>
          <w:p w14:paraId="3A6EA644" w14:textId="4A3DBF87" w:rsidR="008A6770" w:rsidRPr="00492F11" w:rsidRDefault="008A6770" w:rsidP="00492F11">
            <w:pPr>
              <w:jc w:val="center"/>
              <w:rPr>
                <w:rFonts w:ascii="Palatino Linotype" w:hAnsi="Palatino Linotype"/>
                <w:sz w:val="24"/>
                <w:szCs w:val="24"/>
                <w:lang w:bidi="en-US"/>
              </w:rPr>
            </w:pPr>
            <w:r w:rsidRPr="00492F11">
              <w:rPr>
                <w:rFonts w:ascii="Palatino Linotype" w:hAnsi="Palatino Linotype"/>
                <w:sz w:val="24"/>
                <w:szCs w:val="24"/>
                <w:lang w:bidi="en-US"/>
              </w:rPr>
              <w:t>Mass spectrometry technology</w:t>
            </w:r>
          </w:p>
        </w:tc>
        <w:tc>
          <w:tcPr>
            <w:tcW w:w="2019" w:type="dxa"/>
          </w:tcPr>
          <w:p w14:paraId="41ED5B17" w14:textId="231E96EE" w:rsidR="008A6770" w:rsidRPr="005355B6" w:rsidRDefault="008A6770" w:rsidP="00492F11">
            <w:pPr>
              <w:jc w:val="center"/>
              <w:rPr>
                <w:rFonts w:ascii="Palatino Linotype" w:hAnsi="Palatino Linotype"/>
                <w:sz w:val="24"/>
                <w:szCs w:val="24"/>
                <w:lang w:bidi="en-US"/>
              </w:rPr>
            </w:pPr>
            <w:r w:rsidRPr="00A35FB7">
              <w:rPr>
                <w:rFonts w:ascii="Palatino Linotype" w:hAnsi="Palatino Linotype"/>
                <w:sz w:val="24"/>
                <w:szCs w:val="24"/>
                <w:lang w:bidi="en-US"/>
              </w:rPr>
              <w:t>Able to detect mutant allele fraction as low as 0.</w:t>
            </w:r>
            <w:r>
              <w:rPr>
                <w:rFonts w:ascii="Palatino Linotype" w:hAnsi="Palatino Linotype"/>
                <w:sz w:val="24"/>
                <w:szCs w:val="24"/>
                <w:lang w:bidi="en-US"/>
              </w:rPr>
              <w:t>1</w:t>
            </w:r>
            <w:r w:rsidRPr="00A35FB7">
              <w:rPr>
                <w:rFonts w:ascii="Palatino Linotype" w:hAnsi="Palatino Linotype"/>
                <w:sz w:val="24"/>
                <w:szCs w:val="24"/>
                <w:lang w:bidi="en-US"/>
              </w:rPr>
              <w:t xml:space="preserve"> %</w:t>
            </w:r>
          </w:p>
        </w:tc>
        <w:tc>
          <w:tcPr>
            <w:tcW w:w="1415" w:type="dxa"/>
          </w:tcPr>
          <w:p w14:paraId="2EE2D175" w14:textId="77777777" w:rsidR="008A6770" w:rsidRDefault="008A6770" w:rsidP="005355B6">
            <w:pPr>
              <w:jc w:val="center"/>
              <w:rPr>
                <w:rFonts w:ascii="Palatino Linotype" w:hAnsi="Palatino Linotype"/>
                <w:sz w:val="24"/>
                <w:szCs w:val="24"/>
                <w:lang w:bidi="en-US"/>
              </w:rPr>
            </w:pPr>
          </w:p>
          <w:p w14:paraId="2655AB38" w14:textId="77777777" w:rsidR="008A6770" w:rsidRDefault="008A6770" w:rsidP="005355B6">
            <w:pPr>
              <w:jc w:val="center"/>
              <w:rPr>
                <w:rFonts w:ascii="Palatino Linotype" w:hAnsi="Palatino Linotype"/>
                <w:sz w:val="24"/>
                <w:szCs w:val="24"/>
                <w:lang w:bidi="en-US"/>
              </w:rPr>
            </w:pPr>
          </w:p>
          <w:p w14:paraId="029952C1" w14:textId="77777777" w:rsidR="008A6770" w:rsidRDefault="008A6770" w:rsidP="005355B6">
            <w:pPr>
              <w:jc w:val="center"/>
              <w:rPr>
                <w:rFonts w:ascii="Palatino Linotype" w:hAnsi="Palatino Linotype"/>
                <w:sz w:val="24"/>
                <w:szCs w:val="24"/>
                <w:lang w:bidi="en-US"/>
              </w:rPr>
            </w:pPr>
          </w:p>
          <w:p w14:paraId="12E9BEF6" w14:textId="77777777" w:rsidR="008A6770" w:rsidRDefault="008A6770" w:rsidP="005355B6">
            <w:pPr>
              <w:jc w:val="center"/>
              <w:rPr>
                <w:rFonts w:ascii="Palatino Linotype" w:hAnsi="Palatino Linotype"/>
                <w:sz w:val="24"/>
                <w:szCs w:val="24"/>
                <w:lang w:bidi="en-US"/>
              </w:rPr>
            </w:pPr>
          </w:p>
          <w:p w14:paraId="26F06FF5" w14:textId="4F0877D3" w:rsidR="008A6770" w:rsidRPr="005355B6" w:rsidRDefault="008A6770" w:rsidP="005355B6">
            <w:pPr>
              <w:jc w:val="center"/>
              <w:rPr>
                <w:rFonts w:ascii="Palatino Linotype" w:hAnsi="Palatino Linotype"/>
                <w:sz w:val="24"/>
                <w:szCs w:val="24"/>
                <w:lang w:bidi="en-US"/>
              </w:rPr>
            </w:pPr>
            <w:r>
              <w:rPr>
                <w:rFonts w:ascii="Palatino Linotype" w:hAnsi="Palatino Linotype"/>
                <w:sz w:val="24"/>
                <w:szCs w:val="24"/>
                <w:lang w:bidi="en-US"/>
              </w:rPr>
              <w:t>100%</w:t>
            </w:r>
          </w:p>
        </w:tc>
        <w:tc>
          <w:tcPr>
            <w:tcW w:w="1603" w:type="dxa"/>
          </w:tcPr>
          <w:p w14:paraId="13EA9D7B" w14:textId="2372A62B" w:rsidR="008A6770" w:rsidRPr="005355B6" w:rsidRDefault="008A6770" w:rsidP="005355B6">
            <w:pPr>
              <w:jc w:val="center"/>
              <w:rPr>
                <w:rFonts w:ascii="Palatino Linotype" w:hAnsi="Palatino Linotype"/>
                <w:sz w:val="24"/>
                <w:szCs w:val="24"/>
                <w:lang w:bidi="en-US"/>
              </w:rPr>
            </w:pPr>
            <w:r>
              <w:rPr>
                <w:rFonts w:ascii="Palatino Linotype" w:hAnsi="Palatino Linotype"/>
                <w:sz w:val="24"/>
                <w:szCs w:val="24"/>
                <w:lang w:bidi="en-US"/>
              </w:rPr>
              <w:t xml:space="preserve">Does </w:t>
            </w:r>
            <w:r w:rsidRPr="00390F95">
              <w:rPr>
                <w:rFonts w:ascii="Palatino Linotype" w:hAnsi="Palatino Linotype"/>
                <w:sz w:val="24"/>
                <w:szCs w:val="24"/>
                <w:lang w:bidi="en-US"/>
              </w:rPr>
              <w:t>not require specific primers to initiate the amplification process</w:t>
            </w:r>
            <w:r>
              <w:rPr>
                <w:rFonts w:ascii="Palatino Linotype" w:hAnsi="Palatino Linotype"/>
                <w:sz w:val="24"/>
                <w:szCs w:val="24"/>
                <w:lang w:bidi="en-US"/>
              </w:rPr>
              <w:t>,</w:t>
            </w:r>
            <w:r w:rsidRPr="00390F95">
              <w:rPr>
                <w:rFonts w:ascii="Palatino Linotype" w:hAnsi="Palatino Linotype"/>
                <w:sz w:val="24"/>
                <w:szCs w:val="24"/>
                <w:lang w:bidi="en-US"/>
              </w:rPr>
              <w:t xml:space="preserve"> unlike PCR and NGS</w:t>
            </w:r>
          </w:p>
        </w:tc>
        <w:tc>
          <w:tcPr>
            <w:tcW w:w="1793" w:type="dxa"/>
            <w:vMerge/>
          </w:tcPr>
          <w:p w14:paraId="49CC59C5" w14:textId="026C6851" w:rsidR="008A6770" w:rsidRPr="00CE246D" w:rsidRDefault="008A6770" w:rsidP="00492F11">
            <w:pPr>
              <w:jc w:val="center"/>
              <w:rPr>
                <w:rFonts w:ascii="Palatino Linotype" w:hAnsi="Palatino Linotype"/>
                <w:sz w:val="24"/>
                <w:szCs w:val="24"/>
                <w:lang w:bidi="en-US"/>
              </w:rPr>
            </w:pPr>
          </w:p>
        </w:tc>
      </w:tr>
    </w:tbl>
    <w:p w14:paraId="5FAACC32" w14:textId="77777777" w:rsidR="000344C0" w:rsidRPr="005355B6" w:rsidRDefault="000344C0" w:rsidP="00850D87">
      <w:pPr>
        <w:rPr>
          <w:rFonts w:ascii="Palatino Linotype" w:hAnsi="Palatino Linotype"/>
          <w:sz w:val="24"/>
          <w:szCs w:val="24"/>
          <w:lang w:bidi="en-US"/>
        </w:rPr>
      </w:pPr>
    </w:p>
    <w:p w14:paraId="36687EF2" w14:textId="77777777" w:rsidR="00B14050" w:rsidRPr="005B1CCB" w:rsidRDefault="00B14050" w:rsidP="00D71969">
      <w:pPr>
        <w:pStyle w:val="Heading3"/>
      </w:pPr>
      <w:bookmarkStart w:id="32" w:name="_Toc84528043"/>
      <w:r w:rsidRPr="005B1CCB">
        <w:t>ctDNA applications</w:t>
      </w:r>
      <w:bookmarkEnd w:id="32"/>
    </w:p>
    <w:p w14:paraId="61DAC927" w14:textId="77777777" w:rsidR="006C76B5" w:rsidRPr="005B1CCB" w:rsidRDefault="008F581E" w:rsidP="006C76B5">
      <w:pPr>
        <w:spacing w:line="360" w:lineRule="auto"/>
        <w:rPr>
          <w:rFonts w:ascii="Palatino Linotype" w:hAnsi="Palatino Linotype"/>
          <w:sz w:val="24"/>
          <w:szCs w:val="24"/>
          <w:lang w:bidi="en-US"/>
        </w:rPr>
      </w:pPr>
      <w:r w:rsidRPr="005B1CCB">
        <w:rPr>
          <w:rFonts w:ascii="Palatino Linotype" w:hAnsi="Palatino Linotype"/>
          <w:sz w:val="24"/>
          <w:szCs w:val="24"/>
          <w:lang w:bidi="en-US"/>
        </w:rPr>
        <w:t xml:space="preserve">   </w:t>
      </w:r>
      <w:r w:rsidR="006C76B5" w:rsidRPr="005B1CCB">
        <w:rPr>
          <w:rFonts w:ascii="Palatino Linotype" w:hAnsi="Palatino Linotype"/>
          <w:sz w:val="24"/>
          <w:szCs w:val="24"/>
          <w:lang w:bidi="en-US"/>
        </w:rPr>
        <w:t>This section summarises the most promising applications arising from the capture and measurement of ctDNA.</w:t>
      </w:r>
    </w:p>
    <w:p w14:paraId="2163C2B3" w14:textId="77777777" w:rsidR="00D02D70" w:rsidRPr="005B1CCB" w:rsidRDefault="00D02D70" w:rsidP="00BA1146">
      <w:pPr>
        <w:pStyle w:val="Heading4"/>
        <w:rPr>
          <w:lang w:bidi="en-US"/>
        </w:rPr>
      </w:pPr>
      <w:r w:rsidRPr="005B1CCB">
        <w:rPr>
          <w:lang w:bidi="en-US"/>
        </w:rPr>
        <w:t>Screening and early diagnosis</w:t>
      </w:r>
    </w:p>
    <w:p w14:paraId="0B31053A" w14:textId="29A606CF" w:rsidR="00D02D70" w:rsidRDefault="008D183E" w:rsidP="00E56F5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E56F58" w:rsidRPr="00E27313">
        <w:rPr>
          <w:rFonts w:ascii="Palatino Linotype" w:hAnsi="Palatino Linotype"/>
          <w:sz w:val="24"/>
          <w:szCs w:val="24"/>
          <w:lang w:bidi="en-US"/>
        </w:rPr>
        <w:t>The most promising aspects of ctDNA in cancer applications are cancer screening and early diagnosis as they can lead to less disease burden and better survival results</w:t>
      </w:r>
      <w:r w:rsidR="00E56F58" w:rsidRPr="005B1CCB">
        <w:rPr>
          <w:rFonts w:ascii="Palatino Linotype" w:hAnsi="Palatino Linotype"/>
          <w:sz w:val="24"/>
          <w:szCs w:val="24"/>
          <w:lang w:bidi="en-US"/>
        </w:rPr>
        <w:t xml:space="preserve">. </w:t>
      </w:r>
      <w:r w:rsidR="001C2513" w:rsidRPr="005B1CCB">
        <w:rPr>
          <w:rFonts w:ascii="Palatino Linotype" w:hAnsi="Palatino Linotype"/>
          <w:sz w:val="24"/>
          <w:szCs w:val="24"/>
          <w:lang w:bidi="en-US"/>
        </w:rPr>
        <w:t>Many studies have shown the possibility of detecting cfDNA in early-stage cancer disease</w:t>
      </w:r>
      <w:r w:rsidR="0074221C" w:rsidRPr="005B1CCB">
        <w:rPr>
          <w:rFonts w:ascii="Palatino Linotype" w:hAnsi="Palatino Linotype"/>
          <w:sz w:val="24"/>
          <w:szCs w:val="24"/>
          <w:lang w:bidi="en-US"/>
        </w:rPr>
        <w:t xml:space="preserve"> </w:t>
      </w:r>
      <w:r w:rsidR="00A319C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{"citationItems":[{"id":"ITEM-1","itemData":{"DOI":"10.1126/science.aar3247","ISSN":"0036-8075","PMID":"29348365","abstract":"Earlier detection is key to reducing cancer deaths. Here we describe a blood test that can detect eight common cancer types through assessment of the levels of circulating proteins and mutations in cell-free DNA. We applied this test, called CancerSEEK, to 1,005 patients with non-metastatic, clinically detected cancers of the ovary, liver, stomach, pancreas, esophagus, colorectum, lung, or breast. CancerSEEK tests were positive in a median of 70% of the eight cancer types. The sensitivities ranged from 69% to 98% for the detection of five cancer types (ovary, liver, stomach, pancreas, and esophagus) for which there are no screening tests available for average-risk individuals. The specificity of CancerSEEK was &gt; 99%: only 7 of 812 healthy controls scored positive. In addition, CancerSEEK localized the cancer to a small number of anatomic sites in a median of 83% of the patients.","author":[{"dropping-particle":"","family":"Cohen","given":"Joshua D.","non-dropping-particle":"","parse-names":false,"suffix":""},{"dropping-particle":"","family":"Li","given":"Lu","non-dropping-particle":"","parse-names":false,"suffix":""},{"dropping-particle":"","family":"Wang","given":"Yuxuan","non-dropping-particle":"","parse-names":false,"suffix":""},{"dropping-particle":"","family":"Thoburn","given":"Christopher","non-dropping-particle":"","parse-names":false,"suffix":""},{"dropping-particle":"","family":"Afsari","given":"Bahman","non-dropping-particle":"","parse-names":false,"suffix":""},{"dropping-particle":"","family":"Danilova","given":"Ludmila","non-dropping-particle":"","parse-names":false,"suffix":""},{"dropping-particle":"","family":"Douville","given":"Christopher","non-dropping-particle":"","parse-names":false,"suffix":""},{"dropping-particle":"","family":"Javed","given":"Ammar A.","non-dropping-particle":"","parse-names":false,"suffix":""},{"dropping-particle":"","family":"Wong","given":"Fay","non-dropping-particle":"","parse-names":false,"suffix":""},{"dropping-particle":"","family":"Mattox","given":"Austin","non-dropping-particle":"","parse-names":false,"suffix":""},{"dropping-particle":"","family":"Hruban","given":"Ralph. H.","non-dropping-particle":"","parse-names":false,"suffix":""},{"dropping-particle":"","family":"Wolfgang","given":"Christopher L.","non-dropping-particle":"","parse-names":false,"suffix":""},{"dropping-particle":"","family":"Goggins","given":"Michael G.","non-dropping-particle":"","parse-names":false,"suffix":""},{"dropping-particle":"","family":"Dal Molin","given":"Marco","non-dropping-particle":"","parse-names":false,"suffix":""},{"dropping-particle":"","family":"Wang","given":"Tian-Li","non-dropping-particle":"","parse-names":false,"suffix":""},{"dropping-particle":"","family":"Roden","given":"Richard","non-dropping-particle":"","parse-names":false,"suffix":""},{"dropping-particle":"","family":"Klein","given":"Alison P.","non-dropping-particle":"","parse-names":false,"suffix":""},{"dropping-particle":"","family":"Ptak","given":"Janine","non-dropping-particle":"","parse-names":false,"suffix":""},{"dropping-particle":"","family":"Dobbyn","given":"Lisa","non-dropping-particle":"","parse-names":false,"suffix":""},{"dropping-particle":"","family":"Schaefer","given":"Joy","non-dropping-particle":"","parse-names":false,"suffix":""},{"dropping-particle":"","family":"Silliman","given":"Natalie","non-dropping-particle":"","parse-names":false,"suffix":""},{"dropping-particle":"","family":"Popoli","given":"Maria","non-dropping-particle":"","parse-names":false,"suffix":""},{"dropping-particle":"","family":"Vogelstein","given":"Joshua T.","non-dropping-particle":"","parse-names":false,"suffix":""},{"dropping-particle":"","family":"Browne","given":"James D.","non-dropping-particle":"","parse-names":false,"suffix":""},{"dropping-particle":"","family":"Schoen","given":"Robert E.","non-dropping-particle":"","parse-names":false,"suffix":""},{"dropping-particle":"","family":"Brand","given":"Randall E.","non-dropping-particle":"","parse-names":false,"suffix":""},{"dropping-particle":"","family":"Tie","given":"Jeanne","non-dropping-particle":"","parse-names":false,"suffix":""},{"dropping-particle":"","family":"Gibbs","given":"Peter","non-dropping-particle":"","parse-names":false,"suffix":""},{"dropping-particle":"","family":"Wong","given":"Hui-Li","non-dropping-particle":"","parse-names":false,"suffix":""},{"dropping-particle":"","family":"Mansfield","given":"Aaron S.","non-dropping-particle":"","parse-names":false,"suffix":""},{"dropping-particle":"","family":"Jen","given":"Jin","non-dropping-particle":"","parse-names":false,"suffix":""},{"dropping-particle":"","family":"Hanash","given":"Samir M.","non-dropping-particle":"","parse-names":false,"suffix":""},{"dropping-particle":"","family":"Falconi","given":"Massimo","non-dropping-particle":"","parse-names":false,"suffix":""},{"dropping-particle":"","family":"Allen","given":"Peter J.","non-dropping-particle":"","parse-names":false,"suffix":""},{"dropping-particle":"","family":"Zhou","given":"Shibin","non-dropping-particle":"","parse-names":false,"suffix":""},{"dropping-particle":"","family":"Bettegowda","given":"Chetan","non-dropping-particle":"","parse-names":false,"suffix":""},{"dropping-particle":"","family":"Diaz","given":"Luis","non-dropping-particle":"","parse-names":false,"suffix":""},{"dropping-particle":"","family":"Tomasetti","given":"Cristian","non-dropping-particle":"","parse-names":false,"suffix":""},{"dropping-particle":"","family":"Kinzler","given":"Kenneth W.","non-dropping-particle":"","parse-names":false,"suffix":""},{"dropping-particle":"","family":"Vogelstein","given":"Bert","non-dropping-particle":"","parse-names":false,"suffix":""},{"dropping-particle":"","family":"Lennon","given":"Anne Marie","non-dropping-particle":"","parse-names":false,"suffix":""},{"dropping-particle":"","family":"Papadopoulos","given":"Nickolas","non-dropping-particle":"","parse-names":false,"suffix":""}],"container-title":"Science","id":"ITEM-1","issue":"January","issued":{"date-parts":[["2018"]]},"page":"eaar3247","title":"Detection and localization of surgically resectable cancers with a multi-analyte blood test","type":"article-journal","volume":"3247"},"uris":["http://www.mendeley.com/documents/?uuid=f8959d36-d8f2-4f89-981c-9e690872efae"]}],"mendeley":{"formattedCitation":"[84]","plainTextFormattedCitation":"[84]","previouslyFormattedCitation":"[84]"},"properties":{"noteIndex":0},"schema":"https://github.com/citation-style-language/schema/raw/master/csl-citation.json"}</w:instrText>
      </w:r>
      <w:r w:rsidR="00A319C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[84]</w:t>
      </w:r>
      <w:r w:rsidR="00A319C6" w:rsidRPr="005B1CCB">
        <w:rPr>
          <w:rFonts w:ascii="Palatino Linotype" w:hAnsi="Palatino Linotype"/>
          <w:sz w:val="24"/>
          <w:szCs w:val="24"/>
          <w:lang w:bidi="en-US"/>
        </w:rPr>
        <w:fldChar w:fldCharType="end"/>
      </w:r>
      <w:r w:rsidR="00A319C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{"citationItems":[{"id":"ITEM-1","itemData":{"DOI":"10.1186/s12916-016-0667-6","ISSN":"1741-7015","abstract":"BACKGROUND: Non-invasive prenatal testing (NIPT) identifies fetal aneuploidy by sequencing cell-free DNA in the maternal plasma. Pre-symptomatic maternal malignancies have been incidentally detected during NIPT based on abnormal genomic profiles. This low coverage sequencing approach could have potential for ovarian cancer screening in the non-pregnant population. Our objective was to investigate whether plasma DNA sequencing with a clinical whole genome NIPT platform can detect early- and late-stage high-grade serous ovarian carcinomas (HGSOC). METHODS: This is a case control study of prospectively-collected biobank samples comprising preoperative plasma from 32 women with HGSOC (16 'early cancer' (FIGO I-II) and 16 'advanced cancer' (FIGO III-IV)) and 32 benign controls. Plasma DNA from cases and controls were sequenced using a commercial NIPT platform and chromosome dosage measured. Sequencing data were blindly analyzed with two methods: (1) Subchromosomal changes were called using an open source algorithm WISECONDOR (WIthin-SamplE COpy Number aberration DetectOR). Genomic gains or losses ≥ 15 Mb were prespecified as \"screen positive\" calls, and mapped to recurrent copy number variations reported in an ovarian cancer genome atlas. (2) Selected whole chromosome gains or losses were reported using the routine NIPT pipeline for fetal aneuploidy. RESULTS: We detected 13/32 cancer cases using the subchromosomal analysis (sensitivity 40.6 %, 95 % CI, 23.7-59.4 %), including 6/16 early and 7/16 advanced HGSOC cases. Two of 32 benign controls had subchromosomal gains ≥ 15 Mb (specificity 93.8 %, 95 % CI, 79.2-99.2 %). Twelve of the 13 true positive cancer cases exhibited specific recurrent changes reported in HGSOC tumors. The NIPT pipeline resulted in one \"monosomy 18\" call from the cancer group, and two \"monosomy X\" calls in the controls. CONCLUSIONS: Low coverage plasma DNA sequencing used for prenatal testing detected 40.6 % of all HGSOC, including 38 % of early stage cases. Our findings demonstrate the potential of a high throughput sequencing platform to screen for early HGSOC in plasma based on characteristic multiple segmental chromosome gains and losses. The performance of this approach may be further improved by refining bioinformatics algorithms and targeting selected cancer copy number variations.","author":[{"dropping-particle":"","family":"Cohen","given":"Paul A","non-dropping-particle":"","parse-names":false,"suffix":""},{"dropping-particle":"","family":"Flowers","given":"Nicola","non-dropping-particle":"","parse-names":false,"suffix":""},{"dropping-particle":"","family":"Tong","given":"Stephen","non-dropping-particle":"","parse-names":false,"suffix":""},{"dropping-particle":"","family":"Hannan","given":"Natalie","non-dropping-particle":"","parse-names":false,"suffix":""},{"dropping-particle":"","family":"Pertile","given":"Mark D","non-dropping-particle":"","parse-names":false,"suffix":""},{"dropping-particle":"","family":"Hui","given":"Lisa","non-dropping-particle":"","parse-names":false,"suffix":""}],"container-title":"BMC medicine","id":"ITEM-1","issue":"1","issued":{"date-parts":[["2016","8","24"]]},"language":"eng","page":"126","publisher":"BioMed Central","title":"Abnormal plasma DNA profiles in early ovarian cancer using a non-invasive prenatal testing platform: implications for cancer screening","type":"article-journal","volume":"14"},"uris":["http://www.mendeley.com/documents/?uuid=0ea922d6-66c6-4c24-8849-bb76e3afe10f"]}],"mendeley":{"formattedCitation":"[85]","plainTextFormattedCitation":"[85]","previouslyFormattedCitation":"[85]"},"properties":{"noteIndex":0},"schema":"https://github.com/citation-style-language/schema/raw/master/csl-citation.json"}</w:instrText>
      </w:r>
      <w:r w:rsidR="00A319C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[85]</w:t>
      </w:r>
      <w:r w:rsidR="00A319C6" w:rsidRPr="005B1CCB">
        <w:rPr>
          <w:rFonts w:ascii="Palatino Linotype" w:hAnsi="Palatino Linotype"/>
          <w:sz w:val="24"/>
          <w:szCs w:val="24"/>
          <w:lang w:bidi="en-US"/>
        </w:rPr>
        <w:fldChar w:fldCharType="end"/>
      </w:r>
      <w:r w:rsidR="00A319C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{"citationItems":[{"id":"ITEM-1","itemData":{"DOI":"10.1126/scitranslmed.aaa8507","ISSN":"1946-6242","abstract":"To explore the potential of tumor-specific DNA as a biomarker for head and neck squamous cell carcinomas (HNSCC), we queried DNA from saliva or plasma of 93 HNSCC patients. We searched for somatic mutations or human papillomavirus genes, collectively referred to as tumor DNA. When both plasma and saliva were tested, tumor DNA was detected in 96% of 47 patients. The fractions of patients with detectable tumor DNA in early- and late-stage disease were 100% (n = 10) and 95% (n = 37), respectively. When segregated by site, tumor DNA was detected in 100% (n = 15), 91% (n = 22), 100% (n = 7), and 100% (n = 3) of patients with tumors of the oral cavity, oropharynx, larynx, and hypopharynx, respectively. In saliva, tumor DNA was found in 100% of patients with oral cavity cancers and in 47 to 70% of patients with cancers of the other sites. In plasma, tumor DNA was found in 80% of patients with oral cavity cancers, and in 86 to 100% of patients with cancers of the other sites. Thus, saliva is preferentially enriched for tumor DNA from the oral cavity, whereas plasma is preferentially enriched for tumor DNA from the other sites. Tumor DNA in saliva was found postsurgically in three patients before clinical diagnosis of recurrence, but in none of the five patients without recurrence. Tumor DNA in the saliva and plasma appears to be a potentially valuable biomarker for detection of HNSCC.","author":[{"dropping-particle":"","family":"Wang","given":"Yuxuan","non-dropping-particle":"","parse-names":false,"suffix":""},{"dropping-particle":"","family":"Springer","given":"Simeon","non-dropping-particle":"","parse-names":false,"suffix":""},{"dropping-particle":"","family":"Mulvey","given":"Carolyn L","non-dropping-particle":"","parse-names":false,"suffix":""},{"dropping-particle":"","family":"Silliman","given":"Natalie","non-dropping-particle":"","parse-names":false,"suffix":""},{"dropping-particle":"","family":"Schaefer","given":"Joy","non-dropping-particle":"","parse-names":false,"suffix":""},{"dropping-particle":"","family":"Sausen","given":"Mark","non-dropping-particle":"","parse-names":false,"suffix":""},{"dropping-particle":"","family":"James","given":"Nathan","non-dropping-particle":"","parse-names":false,"suffix":""},{"dropping-particle":"","family":"Rettig","given":"Eleni M","non-dropping-particle":"","parse-names":false,"suffix":""},{"dropping-particle":"","family":"Guo","given":"Theresa","non-dropping-particle":"","parse-names":false,"suffix":""},{"dropping-particle":"","family":"Pickering","given":"Curtis R","non-dropping-particle":"","parse-names":false,"suffix":""},{"dropping-particle":"","family":"Bishop","given":"Justin A","non-dropping-particle":"","parse-names":false,"suffix":""},{"dropping-particle":"","family":"Chung","given":"Christine H","non-dropping-particle":"","parse-names":false,"suffix":""},{"dropping-particle":"","family":"Califano","given":"Joseph A","non-dropping-particle":"","parse-names":false,"suffix":""},{"dropping-particle":"","family":"Eisele","given":"David W","non-dropping-particle":"","parse-names":false,"suffix":""},{"dropping-particle":"","family":"Fakhry","given":"Carole","non-dropping-particle":"","parse-names":false,"suffix":""},{"dropping-particle":"","family":"Gourin","given":"Christine G","non-dropping-particle":"","parse-names":false,"suffix":""},{"dropping-particle":"","family":"Ha","given":"Patrick K","non-dropping-particle":"","parse-names":false,"suffix":""},{"dropping-particle":"","family":"Kang","given":"Hyunseok","non-dropping-particle":"","parse-names":false,"suffix":""},{"dropping-particle":"","family":"Kiess","given":"Ana","non-dropping-particle":"","parse-names":false,"suffix":""},{"dropping-particle":"","family":"Koch","given":"Wayne M","non-dropping-particle":"","parse-names":false,"suffix":""},{"dropping-particle":"","family":"Myers","given":"Jeffrey N","non-dropping-particle":"","parse-names":false,"suffix":""},{"dropping-particle":"","family":"Quon","given":"Harry","non-dropping-particle":"","parse-names":false,"suffix":""},{"dropping-particle":"","family":"Richmon","given":"Jeremy D","non-dropping-particle":"","parse-names":false,"suffix":""},{"dropping-particle":"","family":"Sidransky","given":"David","non-dropping-particle":"","parse-names":false,"suffix":""},{"dropping-particle":"","family":"Tufano","given":"Ralph P","non-dropping-particle":"","parse-names":false,"suffix":""},{"dropping-particle":"","family":"Westra","given":"William H","non-dropping-particle":"","parse-names":false,"suffix":""},{"dropping-particle":"","family":"Bettegowda","given":"Chetan","non-dropping-particle":"","parse-names":false,"suffix":""},{"dropping-particle":"","family":"Diaz  Jr","given":"Luis A","non-dropping-particle":"","parse-names":false,"suffix":""},{"dropping-particle":"","family":"Papadopoulos","given":"Nickolas","non-dropping-particle":"","parse-names":false,"suffix":""},{"dropping-particle":"","family":"Kinzler","given":"Kenneth W","non-dropping-particle":"","parse-names":false,"suffix":""},{"dropping-particle":"","family":"Vogelstein","given":"Bert","non-dropping-particle":"","parse-names":false,"suffix":""},{"dropping-particle":"","family":"Agrawal","given":"Nishant","non-dropping-particle":"","parse-names":false,"suffix":""}],"container-title":"Science translational medicine","id":"ITEM-1","issue":"293","issued":{"date-parts":[["2015","6","24"]]},"language":"eng","page":"293ra104-293ra104","title":"Detection of somatic mutations and HPV in the saliva and plasma of patients with head and neck squamous cell carcinomas","type":"article-journal","volume":"7"},"uris":["http://www.mendeley.com/documents/?uuid=c65955a8-6d20-4a96-b63b-6016bb88ba7a"]}],"mendeley":{"formattedCitation":"[71]","plainTextFormattedCitation":"[71]","previouslyFormattedCitation":"[71]"},"properties":{"noteIndex":0},"schema":"https://github.com/citation-style-language/schema/raw/master/csl-citation.json"}</w:instrText>
      </w:r>
      <w:r w:rsidR="00A319C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[71]</w:t>
      </w:r>
      <w:r w:rsidR="00A319C6" w:rsidRPr="005B1CCB">
        <w:rPr>
          <w:rFonts w:ascii="Palatino Linotype" w:hAnsi="Palatino Linotype"/>
          <w:sz w:val="24"/>
          <w:szCs w:val="24"/>
          <w:lang w:bidi="en-US"/>
        </w:rPr>
        <w:fldChar w:fldCharType="end"/>
      </w:r>
      <w:r w:rsidR="00935F1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{"citationItems":[{"id":"ITEM-1","itemData":{"DOI":"10.1126/scitranslmed.3007094","ISSN":"1946-6242","PMID":"24553385","abstract":"The development of noninvasive methods to detect and monitor tumors continues to be a major challenge in oncology. We used digital polymerase chain reaction-based technologies to evaluate the ability of circulating tumor DNA (ctDNA) to detect tumors in 640 patients with various cancer types. We found that ctDNA was detectable in &gt;75% of patients with advanced pancreatic, ovarian, colorectal, bladder, gastroesophageal, breast, melanoma, hepatocellular, and head and neck cancers, but in less than 50% of primary brain, renal, prostate, or thyroid cancers. In patients with localized tumors, ctDNA was detected in 73, 57, 48, and 50% of patients with colorectal cancer, gastroesophageal cancer, pancreatic cancer, and breast adenocarcinoma, respectively. ctDNA was often present in patients without detectable circulating tumor cells, suggesting that these two biomarkers are distinct entities. In a separate panel of 206 patients with metastatic colorectal cancers, we showed that the sensitivity of ctDNA for detection of clinically relevant KRAS gene mutations was 87.2% and its specificity was 99.2%. Finally, we assessed whether ctDNA could provide clues into the mechanisms underlying resistance to epidermal growth factor receptor blockade in 24 patients who objectively responded to therapy but subsequently relapsed. Twenty-three (96%) of these patients developed one or more mutations in genes involved in the mitogen-activated protein kinase pathway. Together, these data suggest that ctDNA is a broadly applicable, sensitive, and specific biomarker that can be used for a variety of clinical and research purposes in patients with multiple different types of cancer.","author":[{"dropping-particle":"","family":"Bettegowda","given":"Chetan","non-dropping-particle":"","parse-names":false,"suffix":""},{"dropping-particle":"","family":"Sausen","given":"Mark","non-dropping-particle":"","parse-names":false,"suffix":""},{"dropping-particle":"","family":"Leary","given":"Rebecca J","non-dropping-particle":"","parse-names":false,"suffix":""},{"dropping-particle":"","family":"Kinde","given":"Isaac","non-dropping-particle":"","parse-names":false,"suffix":""},{"dropping-particle":"","family":"Wang","given":"Yuxuan","non-dropping-particle":"","parse-names":false,"suffix":""},{"dropping-particle":"","family":"Agrawal","given":"Nishant","non-dropping-particle":"","parse-names":false,"suffix":""},{"dropping-particle":"","family":"Bartlett","given":"Bjarne R","non-dropping-particle":"","parse-names":false,"suffix":""},{"dropping-particle":"","family":"Wang","given":"Hao","non-dropping-particle":"","parse-names":false,"suffix":""},{"dropping-particle":"","family":"Luber","given":"Brandon","non-dropping-particle":"","parse-names":false,"suffix":""},{"dropping-particle":"","family":"Alani","given":"Rhoda M","non-dropping-particle":"","parse-names":false,"suffix":""},{"dropping-particle":"","family":"Antonarakis","given":"Emmanuel S","non-dropping-particle":"","parse-names":false,"suffix":""},{"dropping-particle":"","family":"Azad","given":"Nilofer S","non-dropping-particle":"","parse-names":false,"suffix":""},{"dropping-particle":"","family":"Bardelli","given":"Alberto","non-dropping-particle":"","parse-names":false,"suffix":""},{"dropping-particle":"","family":"Brem","given":"Henry","non-dropping-particle":"","parse-names":false,"suffix":""},{"dropping-particle":"","family":"Cameron","given":"John L","non-dropping-particle":"","parse-names":false,"suffix":""},{"dropping-particle":"","family":"Lee","given":"Clarence C","non-dropping-particle":"","parse-names":false,"suffix":""},{"dropping-particle":"","family":"Fecher","given":"Leslie A","non-dropping-particle":"","parse-names":false,"suffix":""},{"dropping-particle":"","family":"Gallia","given":"Gary L","non-dropping-particle":"","parse-names":false,"suffix":""},{"dropping-particle":"","family":"Gibbs","given":"Peter","non-dropping-particle":"","parse-names":false,"suffix":""},{"dropping-particle":"","family":"Le","given":"Dung","non-dropping-particle":"","parse-names":false,"suffix":""},{"dropping-particle":"","family":"Giuntoli","given":"Robert L","non-dropping-particle":"","parse-names":false,"suffix":""},{"dropping-particle":"","family":"Goggins","given":"Michael","non-dropping-particle":"","parse-names":false,"suffix":""},{"dropping-particle":"","family":"Hogarty","given":"Michael D","non-dropping-particle":"","parse-names":false,"suffix":""},{"dropping-particle":"","family":"Holdhoff","given":"Matthias","non-dropping-particle":"","parse-names":false,"suffix":""},{"dropping-particle":"","family":"Hong","given":"Seung-Mo","non-dropping-particle":"","parse-names":false,"suffix":""},{"dropping-particle":"","family":"Jiao","given":"Yuchen","non-dropping-particle":"","parse-names":false,"suffix":""},{"dropping-particle":"","family":"Juhl","given":"Hartmut H","non-dropping-particle":"","parse-names":false,"suffix":""},{"dropping-particle":"","family":"Kim","given":"Jenny J","non-dropping-particle":"","parse-names":false,"suffix":""},{"dropping-particle":"","family":"Siravegna","given":"Giulia","non-dropping-particle":"","parse-names":false,"suffix":""},{"dropping-particle":"","family":"Laheru","given":"Daniel A","non-dropping-particle":"","parse-names":false,"suffix":""},{"dropping-particle":"","family":"Lauricella","given":"Calogero","non-dropping-particle":"","parse-names":false,"suffix":""},{"dropping-particle":"","family":"Lim","given":"Michael","non-dropping-particle":"","parse-names":false,"suffix":""},{"dropping-particle":"","family":"Lipson","given":"Evan J","non-dropping-particle":"","parse-names":false,"suffix":""},{"dropping-particle":"","family":"Marie","given":"Suely Kazue Nagahashi","non-dropping-particle":"","parse-names":false,"suffix":""},{"dropping-particle":"","family":"Netto","given":"George J","non-dropping-particle":"","parse-names":false,"suffix":""},{"dropping-particle":"","family":"Oliner","given":"Kelly S","non-dropping-particle":"","parse-names":false,"suffix":""},{"dropping-particle":"","family":"Olivi","given":"Alessandro","non-dropping-particle":"","parse-names":false,"suffix":""},{"dropping-particle":"","family":"Olsson","given":"Louise","non-dropping-particle":"","parse-names":false,"suffix":""},{"dropping-particle":"","family":"Riggins","given":"Gregory J","non-dropping-particle":"","parse-names":false,"suffix":""},{"dropping-particle":"","family":"Sartore-Bianchi","given":"Andrea","non-dropping-particle":"","parse-names":false,"suffix":""},{"dropping-particle":"","family":"Schmidt","given":"Kerstin","non-dropping-particle":"","parse-names":false,"suffix":""},{"dropping-particle":"","family":"Shih","given":"le-Ming","non-dropping-particle":"","parse-names":false,"suffix":""},{"dropping-particle":"","family":"Oba-Shinjo","given":"Sueli Mieko","non-dropping-particle":"","parse-names":false,"suffix":""},{"dropping-particle":"","family":"Siena","given":"Salvatore","non-dropping-particle":"","parse-names":false,"suffix":""},{"dropping-particle":"","family":"Theodorescu","given":"Dan","non-dropping-particle":"","parse-names":false,"suffix":""},{"dropping-particle":"","family":"Tie","given":"Jeanne","non-dropping-particle":"","parse-names":false,"suffix":""},{"dropping-particle":"","family":"Harkins","given":"Timothy T","non-dropping-particle":"","parse-names":false,"suffix":""},{"dropping-particle":"","family":"Veronese","given":"Silvio","non-dropping-particle":"","parse-names":false,"suffix":""},{"dropping-particle":"","family":"Wang","given":"Tian-Li","non-dropping-particle":"","parse-names":false,"suffix":""},{"dropping-particle":"","family":"Weingart","given":"Jon D","non-dropping-particle":"","parse-names":false,"suffix":""},{"dropping-particle":"","family":"Wolfgang","given":"Christopher L","non-dropping-particle":"","parse-names":false,"suffix":""},{"dropping-particle":"","family":"Wood","given":"Laura D","non-dropping-particle":"","parse-names":false,"suffix":""},{"dropping-particle":"","family":"Xing","given":"Dongmei","non-dropping-particle":"","parse-names":false,"suffix":""},{"dropping-particle":"","family":"Hruban","given":"Ralph H","non-dropping-particle":"","parse-names":false,"suffix":""},{"dropping-particle":"","family":"Wu","given":"Jian","non-dropping-particle":"","parse-names":false,"suffix":""},{"dropping-particle":"","family":"Allen","given":"Peter J","non-dropping-particle":"","parse-names":false,"suffix":""},{"dropping-particle":"","family":"Schmidt","given":"C Max","non-dropping-particle":"","parse-names":false,"suffix":""},{"dropping-particle":"","family":"Choti","given":"Michael A","non-dropping-particle":"","parse-names":false,"suffix":""},{"dropping-particle":"","family":"Velculescu","given":"Victor E","non-dropping-particle":"","parse-names":false,"suffix":""},{"dropping-particle":"","family":"Kinzler","given":"Kenneth W","non-dropping-particle":"","parse-names":false,"suffix":""},{"dropping-particle":"","family":"Vogelstein","given":"Bert","non-dropping-particle":"","parse-names":false,"suffix":""},{"dropping-particle":"","family":"Papadopoulos","given":"Nickolas","non-dropping-particle":"","parse-names":false,"suffix":""},{"dropping-particle":"","family":"Diaz","given":"Luis A","non-dropping-particle":"","parse-names":false,"suffix":""},{"dropping-particle":"","family":"Jr.","given":"","non-dropping-particle":"","parse-names":false,"suffix":""}],"container-title":"Science translational medicine","id":"ITEM-1","issue":"224","issued":{"date-parts":[["2014","2","19"]]},"page":"224ra24","publisher":"NIH Public Access","title":"Detection of circulating tumor DNA in early- and late-stage human malignancies.","type":"article-journal","volume":"6"},"uris":["http://www.mendeley.com/documents/?uuid=e9b8c4aa-36cd-3586-a9a1-98f5d273d266"]}],"mendeley":{"formattedCitation":"[86]","plainTextFormattedCitation":"[86]","previouslyFormattedCitation":"[86]"},"properties":{"noteIndex":0},"schema":"https://github.com/citation-style-language/schema/raw/master/csl-citation.json"}</w:instrText>
      </w:r>
      <w:r w:rsidR="00935F1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[86]</w:t>
      </w:r>
      <w:r w:rsidR="00935F14" w:rsidRPr="005B1CCB">
        <w:rPr>
          <w:rFonts w:ascii="Palatino Linotype" w:hAnsi="Palatino Linotype"/>
          <w:sz w:val="24"/>
          <w:szCs w:val="24"/>
          <w:lang w:bidi="en-US"/>
        </w:rPr>
        <w:fldChar w:fldCharType="end"/>
      </w:r>
      <w:r w:rsidR="00935F1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 xml:space="preserve">ADDIN CSL_CITATION {"citationItems":[{"id":"ITEM-1","itemData":{"DOI":"10.1038/nm.3519","ISSN":"1546-170X","abstract":"Circulating tumor DNA (ctDNA) is a promising biomarker for noninvasive assessment of cancer burden, but existing ctDNA detection methods have insufficient sensitivity or patient coverage for broad clinical applicability. Here we introduce cancer personalized profiling by deep sequencing (CAPP-Seq), an economical and ultrasensitive method for quantifying ctDNA. We implemented CAPP-Seq for non-small-cell lung cancer (NSCLC) with a design covering multiple classes of somatic alterations that identified mutations in &gt;95% of tumors. We detected ctDNA in 100% of patients with stage II-IV NSCLC and in 50% of patients with stage I, with 96% specificity for mutant allele fractions down to </w:instrText>
      </w:r>
      <w:r w:rsidR="000766C5">
        <w:rPr>
          <w:rFonts w:ascii="Cambria Math" w:hAnsi="Cambria Math" w:cs="Cambria Math"/>
          <w:sz w:val="24"/>
          <w:szCs w:val="24"/>
          <w:lang w:bidi="en-US"/>
        </w:rPr>
        <w:instrText>∼</w:instrText>
      </w:r>
      <w:r w:rsidR="000766C5">
        <w:rPr>
          <w:rFonts w:ascii="Palatino Linotype" w:hAnsi="Palatino Linotype"/>
          <w:sz w:val="24"/>
          <w:szCs w:val="24"/>
          <w:lang w:bidi="en-US"/>
        </w:rPr>
        <w:instrText>0.02%. Levels of ctDNA were highly correlated with tumor volume and distinguished between residual disease and treatment-related imaging changes, and measurement of ctDNA levels allowed for earlier response assessment than radiographic approaches. Finally, we evaluated biopsy-free tumor screening and genotyping with CAPP-Seq. We envision that CAPP-Seq could be routinely applied clinically to detect and monitor diverse malignancies, thus facilitating personalized cancer therapy.","author":[{"dropping-particle":"","family":"Newman","given":"Aaron M","non-dropping-particle":"","parse-names":false,"suffix":""},{"dropping-particle":"V","family":"Bratman","given":"Scott","non-dropping-particle":"","parse-names":false,"suffix":""},{"dropping-particle":"","family":"To","given":"Jacqueline","non-dropping-particle":"","parse-names":false,"suffix":""},{"dropping-particle":"","family":"Wynne","given":"Jacob F","non-dropping-particle":"","parse-names":false,"suffix":""},{"dropping-particle":"","family":"Eclov","given":"Neville C W","non-dropping-particle":"","parse-names":false,"suffix":""},{"dropping-particle":"","family":"Modlin","given":"Leslie A","non-dropping-particle":"","parse-names":false,"suffix":""},{"dropping-particle":"","family":"Liu","given":"Chih Long","non-dropping-particle":"","parse-names":false,"suffix":""},{"dropping-particle":"","family":"Neal","given":"Joel W","non-dropping-particle":"","parse-names":false,"suffix":""},{"dropping-particle":"","family":"Wakelee","given":"Heather A","non-dropping-particle":"","parse-names":false,"suffix":""},{"dropping-particle":"","family":"Merritt","given":"Robert E","non-dropping-particle":"","parse-names":false,"suffix":""},{"dropping-particle":"","family":"Shrager","given":"Joseph B","non-dropping-particle":"","parse-names":false,"suffix":""},{"dropping-particle":"","family":"Loo  Jr","given":"Billy W","non-dropping-particle":"","parse-names":false,"suffix":""},{"dropping-particle":"","family":"Alizadeh","given":"Ash A","non-dropping-particle":"","parse-names":false,"suffix":""},{"dropping-particle":"","family":"Diehn","given":"Maximilian","non-dropping-particle":"","parse-names":false,"suffix":""}],"container-title":"Nature medicine","edition":"2014/04/06","id":"ITEM-1","issue":"5","issued":{"date-parts":[["2014","5"]]},"language":"eng","page":"548-554","title":"An ultrasensitive method for quantitating circulating tumor DNA with broad patient coverage","type":"article-journal","volume":"20"},"uris":["http://www.mendeley.com/documents/?uuid=4a04354e-dc87-4dfd-a49b-d1720babfed1"]}],"mendeley":{"formattedCitation":"[87]","plainTextFormattedCitation":"[87]","previouslyFormattedCitation":"[87]"},"properties":{"noteIndex":0},"schema":"https://github.com/citation-style-language/schema/raw/master/csl-citation.json"}</w:instrText>
      </w:r>
      <w:r w:rsidR="00935F1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[87]</w:t>
      </w:r>
      <w:r w:rsidR="00935F14" w:rsidRPr="005B1CCB">
        <w:rPr>
          <w:rFonts w:ascii="Palatino Linotype" w:hAnsi="Palatino Linotype"/>
          <w:sz w:val="24"/>
          <w:szCs w:val="24"/>
          <w:lang w:bidi="en-US"/>
        </w:rPr>
        <w:fldChar w:fldCharType="end"/>
      </w:r>
      <w:r w:rsidR="00935F1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{"citationItems":[{"id":"ITEM-1","itemData":{"DOI":"10.1126/scitranslmed.3004952","ISSN":"1946-6242","abstract":"Papanicolaou (Pap) smears have revolutionized the management of patients with cervical cancers by permitting the detection of early, surgically curable tumors and their precursors. In recent years, the traditional Pap smear has been replaced by a liquid-based method, which allows not only cytologic evaluation but also collection of DNA for detection of human papillomavirus, the causative agent of cervical cancer. We reasoned that this routinely collected DNA could be exploited to detect somatic mutations present in rare tumor cells that accumulate in the cervix once shed from endometrial or ovarian cancers. A panel of genes that are commonly mutated in endometrial and ovarian cancers was assembled with new whole-exome sequencing data from 22 endometrial cancers and previously published data on other tumor types. We used this panel to search for mutations in 24 endometrial and 22 ovarian cancers and identified mutations in all 46 samples. With a sensitive massively parallel sequencing method, we were able to identify the same mutations in the DNA from liquid Pap smear specimens in 100% of endometrial cancers (24 of 24) and in 41% of ovarian cancers (9 of 22). Prompted by these findings, we developed a sequence-based method to query mutations in 12 genes in a single liquid Pap smear specimen without previous knowledge of the tumor's genotype. When applied to 14 samples selected from the positive cases described above, the expected tumor-specific mutations were identified. These results demonstrate that DNA from most endometrial and a fraction of ovarian cancers can be detected in a standard liquid-based Pap smear specimen obtained during routine pelvic examination. Although improvements need to be made before applying this test in a routine clinical manner, it represents a promising step toward a broadly applicable screening methodology for the early detection of gynecologic malignancies.","author":[{"dropping-particle":"","family":"Kinde","given":"Isaac","non-dropping-particle":"","parse-names":false,"suffix":""},{"dropping-particle":"","family":"Bettegowda","given":"Chetan","non-dropping-particle":"","parse-names":false,"suffix":""},{"dropping-particle":"","family":"Wang","given":"Yuxuan","non-dropping-particle":"","parse-names":false,"suffix":""},{"dropping-particle":"","family":"Wu","given":"Jian","non-dropping-particle":"","parse-names":false,"suffix":""},{"dropping-particle":"","family":"Agrawal","given":"Nishant","non-dropping-particle":"","parse-names":false,"suffix":""},{"dropping-particle":"","family":"Shih","given":"Ie-Ming","non-dropping-particle":"","parse-names":false,"suffix":""},{"dropping-particle":"","family":"Kurman","given":"Robert","non-dropping-particle":"","parse-names":false,"suffix":""},{"dropping-particle":"","family":"Dao","given":"Fanny","non-dropping-particle":"","parse-names":false,"suffix":""},{"dropping-particle":"","family":"Levine","given":"Douglas A","non-dropping-particle":"","parse-names":false,"suffix":""},{"dropping-particle":"","family":"Giuntoli","given":"Robert","non-dropping-particle":"","parse-names":false,"suffix":""},{"dropping-particle":"","family":"Roden","given":"Richard","non-dropping-particle":"","parse-names":false,"suffix":""},{"dropping-particle":"","family":"Eshleman","given":"James R","non-dropping-particle":"","parse-names":false,"suffix":""},{"dropping-particle":"","family":"Carvalho","given":"Jesus Paula","non-dropping-particle":"","parse-names":false,"suffix":""},{"dropping-particle":"","family":"Marie","given":"Suely Kazue Nagahashi","non-dropping-particle":"","parse-names":false,"suffix":""},{"dropping-particle":"","family":"Papadopoulos","given":"Nickolas","non-dropping-particle":"","parse-names":false,"suffix":""},{"dropping-particle":"","family":"Kinzler","given":"Kenneth W","non-dropping-particle":"","parse-names":false,"suffix":""},{"dropping-particle":"","family":"Vogelstein","given":"Bert","non-dropping-particle":"","parse-names":false,"suffix":""},{"dropping-particle":"","family":"Diaz  Jr","given":"Luis A","non-dropping-particle":"","parse-names":false,"suffix":""}],"container-title":"Science translational medicine","id":"ITEM-1","issue":"167","issued":{"date-parts":[["2013","1","9"]]},"language":"eng","page":"167ra4-167ra4","title":"Evaluation of DNA from the Papanicolaou test to detect ovarian and endometrial cancers","type":"article-journal","volume":"5"},"uris":["http://www.mendeley.com/documents/?uuid=550619f8-5d75-40b6-8f65-41a81fa0044c"]}],"mendeley":{"formattedCitation":"[88]","plainTextFormattedCitation":"[88]","previouslyFormattedCitation":"[88]"},"properties":{"noteIndex":0},"schema":"https://github.com/citation-style-language/schema/raw/master/csl-citation.json"}</w:instrText>
      </w:r>
      <w:r w:rsidR="00935F1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[88]</w:t>
      </w:r>
      <w:r w:rsidR="00935F14" w:rsidRPr="005B1CCB">
        <w:rPr>
          <w:rFonts w:ascii="Palatino Linotype" w:hAnsi="Palatino Linotype"/>
          <w:sz w:val="24"/>
          <w:szCs w:val="24"/>
          <w:lang w:bidi="en-US"/>
        </w:rPr>
        <w:fldChar w:fldCharType="end"/>
      </w:r>
      <w:r w:rsidR="00935F14" w:rsidRPr="005B1CCB">
        <w:rPr>
          <w:rFonts w:ascii="Palatino Linotype" w:hAnsi="Palatino Linotype"/>
          <w:sz w:val="24"/>
          <w:szCs w:val="24"/>
          <w:lang w:bidi="en-US"/>
        </w:rPr>
        <w:t xml:space="preserve">, </w:t>
      </w:r>
      <w:r w:rsidR="001C2513" w:rsidRPr="005B1CCB">
        <w:rPr>
          <w:rFonts w:ascii="Palatino Linotype" w:hAnsi="Palatino Linotype"/>
          <w:sz w:val="24"/>
          <w:szCs w:val="24"/>
          <w:lang w:bidi="en-US"/>
        </w:rPr>
        <w:t xml:space="preserve">before the onset of symptoms </w:t>
      </w:r>
      <w:r w:rsidR="00A0770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{"citationItems":[{"id":"ITEM-1","itemData":{"DOI":"10.1001/jama.2015.7120","ISSN":"0098-7484","abstract":"Understanding the relationship between aneuploidy detection on noninvasive prenatal testing (NIPT) and occult maternal malignancies may explain results that are discordant with the fetal karyotype and improve maternal clinical care.To evaluate massively parallel sequencing data for patterns of copy-number variations that might prospectively identify occult maternal malignancies.Case series identified from 125</w:instrText>
      </w:r>
      <w:r w:rsidR="000766C5">
        <w:rPr>
          <w:rFonts w:ascii="Times New Roman" w:hAnsi="Times New Roman" w:cs="Times New Roman"/>
          <w:sz w:val="24"/>
          <w:szCs w:val="24"/>
          <w:lang w:bidi="en-US"/>
        </w:rPr>
        <w:instrText> </w:instrText>
      </w:r>
      <w:r w:rsidR="000766C5">
        <w:rPr>
          <w:rFonts w:ascii="Palatino Linotype" w:hAnsi="Palatino Linotype"/>
          <w:sz w:val="24"/>
          <w:szCs w:val="24"/>
          <w:lang w:bidi="en-US"/>
        </w:rPr>
        <w:instrText>426 samples submitted between February 15, 2012, and September 30, 2014, from asymptomatic pregnant women who underwent plasma cell-free DNA sequencing for clinical prenatal aneuploidy screening. Analyses were conducted in a clinical laboratory that performs DNA sequencing. Among the clinical samples, abnormal results were detected in 3757 (3%); these were reported to the ordering physician with recommendations for further evaluation.NIPT for fetal aneuploidy screening (chromosomes 13, 18, 21, X, and Y).Detailed genome-wide bioinformatics analysis was performed on available sequencing data from 8 of 10 women with known cancers. Genome-wide copy-number changes in the original NIPT samples and in subsequent serial samples from individual patients when available are reported. Copy-number changes detected in NIPT sequencing data in the known cancer cases were compared with the types of aneuploidies detected in the overall cohort.From a cohort of 125</w:instrText>
      </w:r>
      <w:r w:rsidR="000766C5">
        <w:rPr>
          <w:rFonts w:ascii="Times New Roman" w:hAnsi="Times New Roman" w:cs="Times New Roman"/>
          <w:sz w:val="24"/>
          <w:szCs w:val="24"/>
          <w:lang w:bidi="en-US"/>
        </w:rPr>
        <w:instrText> </w:instrText>
      </w:r>
      <w:r w:rsidR="000766C5">
        <w:rPr>
          <w:rFonts w:ascii="Palatino Linotype" w:hAnsi="Palatino Linotype"/>
          <w:sz w:val="24"/>
          <w:szCs w:val="24"/>
          <w:lang w:bidi="en-US"/>
        </w:rPr>
        <w:instrText>426 NIPT results, 3757 (3%) were positive for 1 or more aneuploidies involving chromosomes 13, 18, 21, X, or Y. From this set of 3757 samples, 10 cases of maternal cancer were identified. Detailed clinical and sequencing data were obtained in 8. Maternal cancers most frequently occurred with the rare NIPT finding of more than 1 aneuploidy detected (7 known cancers among 39 cases of multiple aneuploidies by NIPT, 18% [95% CI, 7.5%-33.5%]). All 8 cases that underwent further bioinformatics analysis showed unique patterns of nonspecific copy-number gains and losses across multiple chromosomes. In 1 case, blood was sampled after completion of treatment for colorectal cancer and the abnormal pattern was no longer evident.In this preliminary study, a small number of cases of occult malignancy were subsequently diagnosed among pregnant women whose noninvasive prenatal testing results showed discordance with the fetal karyotype. The clinical importance of these findings will require further research.","author":[{"dropping-particle":"","family":"Bianchi","given":"Diana W","non-dropping-particle":"","parse-names":false,"suffix":""},{"dropping-particle":"","family":"Chudova","given":"Darya","non-dropping-particle":"","parse-names":false,"suffix":""},{"dropping-particle":"","family":"Sehnert","given":"Amy J","non-dropping-particle":"","parse-names":false,"suffix":""},{"dropping-particle":"","family":"Bhatt","given":"Sucheta","non-dropping-particle":"","parse-names":false,"suffix":""},{"dropping-particle":"","family":"Murray","given":"Kathryn","non-dropping-particle":"","parse-names":false,"suffix":""},{"dropping-particle":"","family":"Prosen","given":"Tracy L","non-dropping-particle":"","parse-names":false,"suffix":""},{"dropping-particle":"","family":"Garber","given":"Judy E","non-dropping-particle":"","parse-names":false,"suffix":""},{"dropping-particle":"","family":"Wilkins-Haug","given":"Louise","non-dropping-particle":"","parse-names":false,"suffix":""},{"dropping-particle":"","family":"Vora","given":"Neeta L","non-dropping-particle":"","parse-names":false,"suffix":""},{"dropping-particle":"","family":"Warsof","given":"Stephen","non-dropping-particle":"","parse-names":false,"suffix":""},{"dropping-particle":"","family":"Goldberg","given":"James","non-dropping-particle":"","parse-names":false,"suffix":""},{"dropping-particle":"","family":"Ziainia","given":"Tina","non-dropping-particle":"","parse-names":false,"suffix":""},{"dropping-particle":"","family":"Halks-Miller","given":"Meredith","non-dropping-particle":"","parse-names":false,"suffix":""}],"container-title":"JAMA","id":"ITEM-1","issue":"2","issued":{"date-parts":[["2015","7","14"]]},"page":"162-169","title":"Noninvasive Prenatal Testing and Incidental Detection of Occult Maternal Malignancies","type":"article-journal","volume":"314"},"uris":["http://www.mendeley.com/documents/?uuid=de894387-3af4-4788-b7f5-ec42379a1f3d"]}],"mendeley":{"formattedCitation":"[89]","plainTextFormattedCitation":"[89]","previouslyFormattedCitation":"[89]"},"properties":{"noteIndex":0},"schema":"https://github.com/citation-style-language/schema/raw/master/csl-citation.json"}</w:instrText>
      </w:r>
      <w:r w:rsidR="00A0770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[89]</w:t>
      </w:r>
      <w:r w:rsidR="00A07704" w:rsidRPr="005B1CCB">
        <w:rPr>
          <w:rFonts w:ascii="Palatino Linotype" w:hAnsi="Palatino Linotype"/>
          <w:sz w:val="24"/>
          <w:szCs w:val="24"/>
          <w:lang w:bidi="en-US"/>
        </w:rPr>
        <w:fldChar w:fldCharType="end"/>
      </w:r>
      <w:r w:rsidR="00A0770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{"citationItems":[{"id":"ITEM-1","itemData":{"DOI":"10.1001/jamaoncol.2015.1883","ISSN":"2374-2437","abstract":"Noninvasive prenatal testing (NIPT) for fetal aneuploidy by scanning cell-free fetal DNA in maternal plasma is rapidly becoming a major prenatal genetic test. Similar to placental DNA, tumor DNA can be detected in the plasma, and analysis of cell-free tumor DNA can be used to characterize and monitor cancers. We show that plasma DNA profiling allows for presymptomatic detection of tumors in pregnant women undergoing routine NIPT.During NIPT in over 4000 prospective pregnancies by parallel sequencing of maternal plasma cell-free DNA, 3 aberrant genome representation (GR) profiles were observed that could not be attributed to the maternal or fetal genomic constitution. A maternal cancer was suspected, and those 3 patients were referred for whole-body diffusion-weighted magnetic resonance imaging, which uncovered an ovarian carcinoma, a follicular lymphoma, and a Hodgkin lymphoma, each confirmed by subsequent pathologic and genetic investigations. The copy number variations in the subsequent tumor biopsies were concordant with the NIPT plasma GR profiles.We show that maternal plasma cell-free DNA sequencing for noninvasive prenatal testing also may enable accurate presymptomatic detection of maternal tumors and treatment during pregnancy.","author":[{"dropping-particle":"","family":"Amant","given":"Frédéric","non-dropping-particle":"","parse-names":false,"suffix":""},{"dropping-particle":"","family":"Verheecke","given":"Magali","non-dropping-particle":"","parse-names":false,"suffix":""},{"dropping-particle":"","family":"Wlodarska","given":"Iwona","non-dropping-particle":"","parse-names":false,"suffix":""},{"dropping-particle":"","family":"Dehaspe","given":"Luc","non-dropping-particle":"","parse-names":false,"suffix":""},{"dropping-particle":"","family":"Brady","given":"Paul","non-dropping-particle":"","parse-names":false,"suffix":""},{"dropping-particle":"","family":"Brison","given":"Nathalie","non-dropping-particle":"","parse-names":false,"suffix":""},{"dropping-particle":"","family":"Bogaert","given":"Kris","non-dropping-particle":"Van Den","parse-names":false,"suffix":""},{"dropping-particle":"","family":"Dierickx","given":"Daan","non-dropping-particle":"","parse-names":false,"suffix":""},{"dropping-particle":"","family":"Vandecaveye","given":"Vincent","non-dropping-particle":"","parse-names":false,"suffix":""},{"dropping-particle":"","family":"Tousseyn","given":"Thomas","non-dropping-particle":"","parse-names":false,"suffix":""},{"dropping-particle":"","family":"Moerman","given":"Philippe","non-dropping-particle":"","parse-names":false,"suffix":""},{"dropping-particle":"","family":"Vanderstichele","given":"Adriaan","non-dropping-particle":"","parse-names":false,"suffix":""},{"dropping-particle":"","family":"Vergote","given":"Ignace","non-dropping-particle":"","parse-names":false,"suffix":""},{"dropping-particle":"","family":"Neven","given":"Patrick","non-dropping-particle":"","parse-names":false,"suffix":""},{"dropping-particle":"","family":"Berteloot","given":"Patrick","non-dropping-particle":"","parse-names":false,"suffix":""},{"dropping-particle":"","family":"Putseys","given":"Katrien","non-dropping-particle":"","parse-names":false,"suffix":""},{"dropping-particle":"","family":"Danneels","given":"Lode","non-dropping-particle":"","parse-names":false,"suffix":""},{"dropping-particle":"","family":"Vandenberghe","given":"Peter","non-dropping-particle":"","parse-names":false,"suffix":""},{"dropping-particle":"","family":"Legius","given":"Eric","non-dropping-particle":"","parse-names":false,"suffix":""},{"dropping-particle":"","family":"Vermeesch","given":"Joris Robert","non-dropping-particle":"","parse-names":false,"suffix":""}],"container-title":"JAMA Oncology","id":"ITEM-1","issue":"6","issued":{"date-parts":[["2015","9","1"]]},"page":"814-819","title":"Presymptomatic Identification of Cancers in Pregnant Women During Noninvasive Prenatal Testing","type":"article-journal","volume":"1"},"uris":["http://www.mendeley.com/documents/?uuid=ad9dc65d-7526-444b-b569-5aafadf3bb92"]}],"mendeley":{"formattedCitation":"[90]","plainTextFormattedCitation":"[90]","previouslyFormattedCitation":"[90]"},"properties":{"noteIndex":0},"schema":"https://github.com/citation-style-language/schema/raw/master/csl-citation.json"}</w:instrText>
      </w:r>
      <w:r w:rsidR="00A0770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[90]</w:t>
      </w:r>
      <w:r w:rsidR="00A07704" w:rsidRPr="005B1CCB">
        <w:rPr>
          <w:rFonts w:ascii="Palatino Linotype" w:hAnsi="Palatino Linotype"/>
          <w:sz w:val="24"/>
          <w:szCs w:val="24"/>
          <w:lang w:bidi="en-US"/>
        </w:rPr>
        <w:fldChar w:fldCharType="end"/>
      </w:r>
      <w:r w:rsidR="00FD2258"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{"citationItems":[{"id":"ITEM-1","itemData":{"DOI":"10.1073/pnas.1508736112","ISSN":"1091-6490","abstract":"Plasma consists of DNA released from multiple tissues within the body. Using genome-wide bisulfite sequencing of plasma DNA and deconvolution of the sequencing data with reference to methylation profiles of different tissues, we developed a general approach for studying the major tissue contributors to the circulating DNA pool. We tested this method in pregnant women, patients with hepatocellular carcinoma, and subjects following bone marrow and liver transplantation. In most subjects, white blood cells were the predominant contributors to the circulating DNA pool. The placental contributions in the plasma of pregnant women correlated with the proportional contributions as revealed by fetal-specific genetic markers. The graft-derived contributions to the plasma in the transplant recipients correlated with those determined using donor-specific genetic markers. Patients with hepatocellular carcinoma showed elevated plasma DNA contributions from the liver, which correlated with measurements made using tumor-associated copy number aberrations. In hepatocellular carcinoma patients and in pregnant women exhibiting copy number aberrations in plasma, comparison of methylation deconvolution results using genomic regions with different copy number status pinpointed the tissue type responsible for the aberrations. In a pregnant woman diagnosed as having follicular lymphoma during pregnancy, methylation deconvolution indicated a grossly elevated contribution from B cells into the plasma DNA pool and localized B cells as the origin of the copy number aberrations observed in plasma. This method may serve as a powerful tool for assessing a wide range of physiological and pathological conditions based on the identification of perturbed proportional contributions of different tissues into plasma.","author":[{"dropping-particle":"","family":"Sun","given":"Kun","non-dropping-particle":"","parse-names":false,"suffix":""},{"dropping-particle":"","family":"Jiang","given":"Peiyong","non-dropping-particle":"","parse-names":false,"suffix":""},{"dropping-particle":"","family":"Chan","given":"K C Allen","non-dropping-particle":"","parse-names":false,"suffix":""},{"dropping-particle":"","family":"Wong","given":"John","non-dropping-particle":"","parse-names":false,"suffix":""},{"dropping-particle":"","family":"Cheng","given":"Yvonne K Y","non-dropping-particle":"","parse-names":false,"suffix":""},{"dropping-particle":"","family":"Liang","given":"Raymond H S","non-dropping-particle":"","parse-names":false,"suffix":""},{"dropping-particle":"","family":"Chan","given":"Wai-kong","non-dropping-particle":"","parse-names":false,"suffix":""},{"dropping-particle":"","family":"Ma","given":"Edmond S K","non-dropping-particle":"","parse-names":false,"suffix":""},{"dropping-particle":"","family":"Chan","given":"Stephen L","non-dropping-particle":"","parse-names":false,"suffix":""},{"dropping-particle":"","family":"Cheng","given":"Suk Hang","non-dropping-particle":"","parse-names":false,"suffix":""},{"dropping-particle":"","family":"Chan","given":"Rebecca W Y","non-dropping-particle":"","parse-names":false,"suffix":""},{"dropping-particle":"","family":"Tong","given":"Yu K","non-dropping-particle":"","parse-names":false,"suffix":""},{"dropping-particle":"","family":"Ng","given":"Simon S M","non-dropping-particle":"","parse-names":false,"suffix":""},{"dropping-particle":"","family":"Wong","given":"Raymond S M","non-dropping-particle":"","parse-names":false,"suffix":""},{"dropping-particle":"","family":"Hui","given":"David S C","non-dropping-particle":"","parse-names":false,"suffix":""},{"dropping-particle":"","family":"Leung","given":"Tse Ngong","non-dropping-particle":"","parse-names":false,"suffix":""},{"dropping-particle":"","family":"Leung","given":"Tak Y","non-dropping-particle":"","parse-names":false,"suffix":""},{"dropping-particle":"","family":"Lai","given":"Paul B S","non-dropping-particle":"","parse-names":false,"suffix":""},{"dropping-particle":"","family":"Chiu","given":"Rossa W K","non-dropping-particle":"","parse-names":false,"suffix":""},{"dropping-particle":"","family":"Lo","given":"Yuk Ming Dennis","non-dropping-particle":"","parse-names":false,"suffix":""}],"container-title":"Proceedings of the National Academy of Sciences of the United States of America","edition":"2015/09/21","id":"ITEM-1","issue":"40","issued":{"date-parts":[["2015","10","6"]]},"language":"eng","page":"E5503-E5512","publisher":"National Academy of Sciences","title":"Plasma DNA tissue mapping by genome-wide methylation sequencing for noninvasive prenatal, cancer, and transplantation assessments","type":"article-journal","volume":"112"},"uris":["http://www.mendeley.com/documents/?uuid=e4554c89-5b7c-4f7e-a57d-5d441f603c89"]}],"mendeley":{"formattedCitation":"[91]","plainTextFormattedCitation":"[91]","previouslyFormattedCitation":"[91]"},"properties":{"noteIndex":0},"schema":"https://github.com/citation-style-language/schema/raw/master/csl-citation.json"}</w:instrText>
      </w:r>
      <w:r w:rsidR="00FD2258"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[91]</w:t>
      </w:r>
      <w:r w:rsidR="00FD2258" w:rsidRPr="005B1CCB">
        <w:rPr>
          <w:rFonts w:ascii="Palatino Linotype" w:hAnsi="Palatino Linotype"/>
          <w:sz w:val="24"/>
          <w:szCs w:val="24"/>
          <w:lang w:bidi="en-US"/>
        </w:rPr>
        <w:fldChar w:fldCharType="end"/>
      </w:r>
      <w:r w:rsidR="0074221C" w:rsidRPr="005B1CCB">
        <w:rPr>
          <w:rFonts w:ascii="Palatino Linotype" w:hAnsi="Palatino Linotype"/>
          <w:sz w:val="24"/>
          <w:szCs w:val="24"/>
          <w:lang w:bidi="en-US"/>
        </w:rPr>
        <w:t xml:space="preserve"> </w:t>
      </w:r>
      <w:r w:rsidR="001C2513" w:rsidRPr="005B1CCB">
        <w:rPr>
          <w:rFonts w:ascii="Palatino Linotype" w:hAnsi="Palatino Linotype"/>
          <w:sz w:val="24"/>
          <w:szCs w:val="24"/>
          <w:lang w:bidi="en-US"/>
        </w:rPr>
        <w:t xml:space="preserve">and up to </w:t>
      </w:r>
      <w:r w:rsidR="00D2057F" w:rsidRPr="005B1CCB">
        <w:rPr>
          <w:rFonts w:ascii="Palatino Linotype" w:hAnsi="Palatino Linotype"/>
          <w:sz w:val="24"/>
          <w:szCs w:val="24"/>
          <w:lang w:bidi="en-US"/>
        </w:rPr>
        <w:t>two</w:t>
      </w:r>
      <w:r w:rsidR="001C2513" w:rsidRPr="005B1CCB">
        <w:rPr>
          <w:rFonts w:ascii="Palatino Linotype" w:hAnsi="Palatino Linotype"/>
          <w:sz w:val="24"/>
          <w:szCs w:val="24"/>
          <w:lang w:bidi="en-US"/>
        </w:rPr>
        <w:t xml:space="preserve"> years before cancer diagnosis</w:t>
      </w:r>
      <w:r w:rsidR="0074221C" w:rsidRPr="005B1CCB">
        <w:rPr>
          <w:rFonts w:ascii="Palatino Linotype" w:hAnsi="Palatino Linotype"/>
          <w:sz w:val="24"/>
          <w:szCs w:val="24"/>
          <w:lang w:bidi="en-US"/>
        </w:rPr>
        <w:t xml:space="preserve"> </w:t>
      </w:r>
      <w:r w:rsidR="00EB4ED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{"citationItems":[{"id":"ITEM-1","itemData":{"DOI":"10.1158/0008-5472.CAN-05-4556","abstract":"In cancer patients, plasma often contains mutant DNA released by cancer cells. We have assessed the significance of plasma DNA mutations for subsequent cancer development in healthy subjects in a large longitudinal prospective study. The European Prospective Investigation into Cancer and Nutrition study was analyzed with a nested case-control design. Cases were nonsmokers or ex-smokers for &amp;amp;gt;10 years and newly diagnosed with lung, bladder, or upper aerodigestive tract cancers or leukemia accrued after a median follow-up of 6.3 years. Controls were matched 2:1 for follow-up, age, sex, area of recruitment, and smoking status. KRAS2 mutations were detected by mutant-enriched PCR and sequencing (n = 1,098). TP53 mutations were detected by denaturing high-performance liquid chromatography, temporal temperature gradient electrophoresis, and sequencing (n = 550). KRAS2 or TP53 mutations were detected in 13 of 1,098 (1.2%) and 20 of 550 (3.6%) subjects, respectively, 16 of whom developed cancer on average after 18.3 months of follow-up. Among 137 subjects who developed bladder cancer, 5 had KRAS2 mutations [odds ratio (OR), 4.25; 95% confidence interval (95% CI), 1.27-14.15] and 7 had TP53 mutations (OR, 1.81; 95% CI, 0.66-4.97). There was a nonsignificant trend for association between TP53 mutations and bulky adducts in lymphocyte DNA (OR, 2.78; 95% CI, 0.64-12.17). This is the first report of TP53 or KRAS2 mutations in the plasma of healthy subjects in a prospective study, suggesting that KRAS2 mutation is detectable ahead of bladder cancer diagnosis. TP53 mutation may be associated with environmental exposures. These observations have implications for monitoring early steps of carcinogenesis. (Cancer Res 2006; 66(13): 6871-6) ©2006 American Association for Cancer Research.","author":[{"dropping-particle":"","family":"Gormally","given":"Emmanuelle","non-dropping-particle":"","parse-names":false,"suffix":""},{"dropping-particle":"","family":"Vineis","given":"Paolo","non-dropping-particle":"","parse-names":false,"suffix":""},{"dropping-particle":"","family":"Matullo","given":"Giuseppe","non-dropping-particle":"","parse-names":false,"suffix":""},{"dropping-particle":"","family":"Veglia","given":"Fabrizio","non-dropping-particle":"","parse-names":false,"suffix":""},{"dropping-particle":"","family":"Caboux","given":"Elodie","non-dropping-particle":"","parse-names":false,"suffix":""},{"dropping-particle":"","family":"Roux","given":"Emilie","non-dropping-particle":"Le","parse-names":false,"suffix":""},{"dropping-particle":"","family":"Peluso","given":"Marco","non-dropping-particle":"","parse-names":false,"suffix":""},{"dropping-particle":"","family":"Garte","given":"Seymour","non-dropping-particle":"","parse-names":false,"suffix":""},{"dropping-particle":"","family":"Guarrera","given":"Simonetta","non-dropping-particle":"","parse-names":false,"suffix":""},{"dropping-particle":"","family":"Munnia","given":"Armelle","non-dropping-particle":"","parse-names":false,"suffix":""},{"dropping-particle":"","family":"Airoldi","given":"Luisa","non-dropping-particle":"","parse-names":false,"suffix":""},{"dropping-particle":"","family":"Autrup","given":"Herman","non-dropping-particle":"","parse-names":false,"suffix":""},{"dropping-particle":"","family":"Malaveille","given":"Christian","non-dropping-particle":"","parse-names":false,"suffix":""},{"dropping-particle":"","family":"Dunning","given":"Alison","non-dropping-particle":"","parse-names":false,"suffix":""},{"dropping-particle":"","family":"Overvad","given":"Kim","non-dropping-particle":"","parse-names":false,"suffix":""},{"dropping-particle":"","family":"Tjønneland","given":"Anne","non-dropping-particle":"","parse-names":false,"suffix":""},{"dropping-particle":"","family":"Lund","given":"Eiliv","non-dropping-particle":"","parse-names":false,"suffix":""},{"dropping-particle":"","family":"Clavel-Chapelon","given":"Françoise","non-dropping-particle":"","parse-names":false,"suffix":""},{"dropping-particle":"","family":"Boeing","given":"Heiner","non-dropping-particle":"","parse-names":false,"suffix":""},{"dropping-particle":"","family":"Trichopoulou","given":"Antonia","non-dropping-particle":"","parse-names":false,"suffix":""},{"dropping-particle":"","family":"Palli","given":"Domenico","non-dropping-particle":"","parse-names":false,"suffix":""},{"dropping-particle":"","family":"Krogh","given":"Vittorio","non-dropping-particle":"","parse-names":false,"suffix":""},{"dropping-particle":"","family":"Tumino","given":"Rosario","non-dropping-particle":"","parse-names":false,"suffix":""},{"dropping-particle":"","family":"Panico","given":"Salvatore","non-dropping-particle":"","parse-names":false,"suffix":""},{"dropping-particle":"","family":"Bueno-de-Mesquita","given":"H Bas","non-dropping-particle":"","parse-names":false,"suffix":""},{"dropping-particle":"","family":"Peeters","given":"Petra H","non-dropping-particle":"","parse-names":false,"suffix":""},{"dropping-particle":"","family":"Pera","given":"Guillem","non-dropping-particle":"","parse-names":false,"suffix":""},{"dropping-particle":"","family":"Martinez","given":"Carmen","non-dropping-particle":"","parse-names":false,"suffix":""},{"dropping-particle":"","family":"Dorronsoro","given":"Miren","non-dropping-particle":"","parse-names":false,"suffix":""},{"dropping-particle":"","family":"Barricarte","given":"Aurelio","non-dropping-particle":"","parse-names":false,"suffix":""},{"dropping-particle":"","family":"Navarro","given":"Carmen","non-dropping-particle":"","parse-names":false,"suffix":""},{"dropping-particle":"","family":"Quirós","given":"José Ramón","non-dropping-particle":"","parse-names":false,"suffix":""},{"dropping-particle":"","family":"Hallmans","given":"Göran","non-dropping-particle":"","parse-names":false,"suffix":""},{"dropping-particle":"","family":"Day","given":"Nicholas E","non-dropping-particle":"","parse-names":false,"suffix":""},{"dropping-particle":"","family":"Key","given":"Timothy J","non-dropping-particle":"","parse-names":false,"suffix":""},{"dropping-particle":"","family":"Saracci","given":"Rodolfo","non-dropping-particle":"","parse-names":false,"suffix":""},{"dropping-particle":"","family":"Kaaks","given":"Rudolf","non-dropping-particle":"","parse-names":false,"suffix":""},{"dropping-particle":"","family":"Riboli","given":"Elio","non-dropping-particle":"","parse-names":false,"suffix":""},{"dropping-particle":"","family":"Hainaut","given":"Pierre","non-dropping-particle":"","parse-names":false,"suffix":""}],"container-title":"Cancer Research","id":"ITEM-1","issue":"13","issued":{"date-parts":[["2006","7","1"]]},"page":"6871 LP  - 6876","title":"&amp;lt;em&amp;gt;TP53&amp;lt;/em&amp;gt; and &amp;lt;em&amp;gt;KRAS2&amp;lt;/em&amp;gt; Mutations in Plasma DNA of Healthy Subjects and Subsequent Cancer Occurrence: A Prospective Study","type":"article-journal","volume":"66"},"uris":["http://www.mendeley.com/documents/?uuid=58bd8a10-7c0e-419e-bd6b-9c9fe9f0f8a7"]}],"mendeley":{"formattedCitation":"[92]","plainTextFormattedCitation":"[92]","previouslyFormattedCitation":"[92]"},"properties":{"noteIndex":0},"schema":"https://github.com/citation-style-language/schema/raw/master/csl-citation.json"}</w:instrText>
      </w:r>
      <w:r w:rsidR="00EB4ED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[92]</w:t>
      </w:r>
      <w:r w:rsidR="00EB4EDA" w:rsidRPr="005B1CCB">
        <w:rPr>
          <w:rFonts w:ascii="Palatino Linotype" w:hAnsi="Palatino Linotype"/>
          <w:sz w:val="24"/>
          <w:szCs w:val="24"/>
          <w:lang w:bidi="en-US"/>
        </w:rPr>
        <w:fldChar w:fldCharType="end"/>
      </w:r>
      <w:r w:rsidR="00EB4ED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{"citationItems":[{"id":"ITEM-1","itemData":{"abstract":"The Johns Hopkins Lung Project developed an archive of sputum specimens during a randomized trial of lung cancer screening (1974–1982). We identified 15 patients from that trial who later developed adenocarcinoma of the lung. The primary lung carcinomas from 10 of these 15 patients contained either a ras or a p53 gene mutation. Using a polymerase chain reaction-based assay, stored sputum samples obtained prior to clinical diagnosis were examined for the presence of these same oncogene mutations. In 8 of 10 patients, the identical mutation identified in the primary tumor was also detected in at least one sputum sample. The earliest detection of a clonal population of cancer cells in sputum was in a sample obtained more than 1 year prior to clinical diagnosis. These results provide the basis of a novel approach for detection of lung cancer based on the evolving molecular genetics of this disease. ©1994 American Association for Cancer Research.","author":[{"dropping-particle":"","family":"Mao","given":"Li","non-dropping-particle":"","parse-names":false,"suffix":""},{"dropping-particle":"","family":"Hruban","given":"Ralph H","non-dropping-particle":"","parse-names":false,"suffix":""},{"dropping-particle":"","family":"Boyle","given":"Jay O","non-dropping-particle":"","parse-names":false,"suffix":""},{"dropping-particle":"","family":"Tockman","given":"Melvyn","non-dropping-particle":"","parse-names":false,"suffix":""},{"dropping-particle":"","family":"Sidransky","given":"David","non-dropping-particle":"","parse-names":false,"suffix":""}],"container-title":"Cancer Research","id":"ITEM-1","issue":"7","issued":{"date-parts":[["1994","4","1"]]},"page":"1634 LP  - 1637","title":"Detection of Oncogene Mutations in Sputum Precedes Diagnosis of Lung Cancer","type":"article-journal","volume":"54"},"uris":["http://www.mendeley.com/documents/?uuid=95454f1e-4418-4874-9e9e-1c62d0d280c7"]}],"mendeley":{"formattedCitation":"[93]","plainTextFormattedCitation":"[93]","previouslyFormattedCitation":"[93]"},"properties":{"noteIndex":0},"schema":"https://github.com/citation-style-language/schema/raw/master/csl-citation.json"}</w:instrText>
      </w:r>
      <w:r w:rsidR="00EB4ED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[93]</w:t>
      </w:r>
      <w:r w:rsidR="00EB4EDA" w:rsidRPr="005B1CCB">
        <w:rPr>
          <w:rFonts w:ascii="Palatino Linotype" w:hAnsi="Palatino Linotype"/>
          <w:sz w:val="24"/>
          <w:szCs w:val="24"/>
          <w:lang w:bidi="en-US"/>
        </w:rPr>
        <w:fldChar w:fldCharType="end"/>
      </w:r>
      <w:r w:rsidR="001C719E" w:rsidRPr="005B1CCB">
        <w:rPr>
          <w:rFonts w:ascii="Palatino Linotype" w:hAnsi="Palatino Linotype"/>
          <w:sz w:val="24"/>
          <w:szCs w:val="24"/>
          <w:lang w:bidi="en-US"/>
        </w:rPr>
        <w:t xml:space="preserve">. </w:t>
      </w:r>
      <w:r w:rsidR="00801277" w:rsidRPr="005B1CCB">
        <w:rPr>
          <w:rFonts w:ascii="Palatino Linotype" w:hAnsi="Palatino Linotype"/>
          <w:sz w:val="24"/>
          <w:szCs w:val="24"/>
          <w:lang w:bidi="en-US"/>
        </w:rPr>
        <w:t>Studies have shown that ctDNA can be used for early lung cancer diagnosis and can achieve a</w:t>
      </w:r>
      <w:r w:rsidR="00E7150E" w:rsidRPr="005B1CCB">
        <w:rPr>
          <w:rFonts w:ascii="Palatino Linotype" w:hAnsi="Palatino Linotype"/>
          <w:sz w:val="24"/>
          <w:szCs w:val="24"/>
          <w:lang w:bidi="en-US"/>
        </w:rPr>
        <w:t xml:space="preserve"> </w:t>
      </w:r>
      <w:r w:rsidR="00801277" w:rsidRPr="005B1CCB">
        <w:rPr>
          <w:rFonts w:ascii="Palatino Linotype" w:hAnsi="Palatino Linotype"/>
          <w:sz w:val="24"/>
          <w:szCs w:val="24"/>
          <w:lang w:bidi="en-US"/>
        </w:rPr>
        <w:t>relatively high specificity and sensitivity</w:t>
      </w:r>
      <w:r w:rsidR="00060D04" w:rsidRPr="005B1CCB">
        <w:rPr>
          <w:rFonts w:ascii="Palatino Linotype" w:hAnsi="Palatino Linotype"/>
          <w:sz w:val="24"/>
          <w:szCs w:val="24"/>
          <w:lang w:bidi="en-US"/>
        </w:rPr>
        <w:t xml:space="preserve"> </w:t>
      </w:r>
      <w:r w:rsidR="00060D0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{"citationItems":[{"id":"ITEM-1","itemData":{"DOI":"10.3390/cancers12103002","ISSN":"20726694","abstract":"Plasma-based tumor mutational profiling is arising as a reliable approach to detect primary and therapy-induced resistance mutations required for accurate treatment decision making. Here, we compared the FDA-approved Cobas® EGFR Mutation Test v2 with the UltraSEEK™ Lung Panel on the MassARRAY® System on detection of EGFR mutations, accompanied with preanalytical sample assessment using the novel Liquid IQ® Panel. 137 cancer patient-derived cell-free plasma samples were analyzed with the Cobas® and UltraSEEK™ tests. Liquid IQ® analysis was initially validated (n = 84) and used to determine ccfDNA input for all samples. Subsequently, Liquid IQ® results were applied to harmonize ccfDNA input for the Cobas® and UltraSEEK™ tests for 63 NSCLC patients. The overall concordance between the Cobas® and UltraSEEK™ tests was 86%. The Cobas® test detected more EGFR exon19 deletions and L858R mutations, while the UltraSEEK™ test detected more T790M mutations. A 100% concordance in both the clinical (n = 137) and harmonized (n = 63) cohorts was observed when &gt;10 ng of ccfDNA was used as determined by the Liquid IQ® Panel. The Cobas® and UltraSEEK™ tests showed similar sensitivity in EGFR mutation detection, particularly when ccfDNA input was sufficient. It is recommended to preanalytically determine the ccfDNA concentration accurately to ensure sufficient input for reliable interpretation and treatment decision making.","author":[{"dropping-particle":"","family":"Lamy","given":"Pierre Jean","non-dropping-particle":"","parse-names":false,"suffix":""},{"dropping-particle":"","family":"Leest","given":"Paul","non-dropping-particle":"van der","parse-names":false,"suffix":""},{"dropping-particle":"","family":"Lozano","given":"Nicolas","non-dropping-particle":"","parse-names":false,"suffix":""},{"dropping-particle":"","family":"Becht","given":"Catherine","non-dropping-particle":"","parse-names":false,"suffix":""},{"dropping-particle":"","family":"Duboeuf","given":"Frédérique","non-dropping-particle":"","parse-names":false,"suffix":""},{"dropping-particle":"","family":"Groen","given":"Harry J.M.","non-dropping-particle":"","parse-names":false,"suffix":""},{"dropping-particle":"","family":"Hilgers","given":"Werner","non-dropping-particle":"","parse-names":false,"suffix":""},{"dropping-particle":"","family":"Pourel","given":"Nicolas","non-dropping-particle":"","parse-names":false,"suffix":""},{"dropping-particle":"","family":"Rifaela","given":"Naomi","non-dropping-particle":"","parse-names":false,"suffix":""},{"dropping-particle":"","family":"Schuuring","given":"Ed","non-dropping-particle":"","parse-names":false,"suffix":""},{"dropping-particle":"","family":"Alix-Panabières","given":"Catherine","non-dropping-particle":"","parse-names":false,"suffix":""}],"container-title":"Cancers","id":"ITEM-1","issue":"10","issued":{"date-parts":[["2020"]]},"page":"1-14","title":"Mass spectrometry as a highly sensitive method for specific circulating tumor dna analysis in nsclc: A comparison study","type":"article-journal","volume":"12"},"uris":["http://www.mendeley.com/documents/?uuid=098c2fac-1fb7-4ddb-8a94-e358a6c64d86"]}],"mendeley":{"formattedCitation":"[94]","plainTextFormattedCitation":"[94]","previouslyFormattedCitation":"[94]"},"properties":{"noteIndex":0},"schema":"https://github.com/citation-style-language/schema/raw/master/csl-citation.json"}</w:instrText>
      </w:r>
      <w:r w:rsidR="00060D0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[94]</w:t>
      </w:r>
      <w:r w:rsidR="00060D04" w:rsidRPr="005B1CCB">
        <w:rPr>
          <w:rFonts w:ascii="Palatino Linotype" w:hAnsi="Palatino Linotype"/>
          <w:sz w:val="24"/>
          <w:szCs w:val="24"/>
          <w:lang w:bidi="en-US"/>
        </w:rPr>
        <w:fldChar w:fldCharType="end"/>
      </w:r>
      <w:r w:rsidR="00060D04" w:rsidRPr="005B1CCB">
        <w:rPr>
          <w:rFonts w:ascii="Palatino Linotype" w:hAnsi="Palatino Linotype"/>
          <w:sz w:val="24"/>
          <w:szCs w:val="24"/>
          <w:lang w:bidi="en-US"/>
        </w:rPr>
        <w:t xml:space="preserve">. </w:t>
      </w:r>
      <w:r w:rsidR="00E7150E" w:rsidRPr="005B1CCB">
        <w:rPr>
          <w:rFonts w:ascii="Palatino Linotype" w:hAnsi="Palatino Linotype"/>
          <w:sz w:val="24"/>
          <w:szCs w:val="24"/>
          <w:lang w:bidi="en-US"/>
        </w:rPr>
        <w:t>In a prospective study, KRAS and T</w:t>
      </w:r>
      <w:r w:rsidR="00D2057F" w:rsidRPr="005B1CCB">
        <w:rPr>
          <w:rFonts w:ascii="Palatino Linotype" w:hAnsi="Palatino Linotype"/>
          <w:sz w:val="24"/>
          <w:szCs w:val="24"/>
          <w:lang w:bidi="en-US"/>
        </w:rPr>
        <w:t>p</w:t>
      </w:r>
      <w:r w:rsidR="00E7150E" w:rsidRPr="005B1CCB">
        <w:rPr>
          <w:rFonts w:ascii="Palatino Linotype" w:hAnsi="Palatino Linotype"/>
          <w:sz w:val="24"/>
          <w:szCs w:val="24"/>
          <w:lang w:bidi="en-US"/>
        </w:rPr>
        <w:t>53</w:t>
      </w:r>
      <w:r w:rsidR="00630811" w:rsidRPr="005B1CCB">
        <w:rPr>
          <w:rFonts w:ascii="Palatino Linotype" w:hAnsi="Palatino Linotype"/>
          <w:sz w:val="24"/>
          <w:szCs w:val="24"/>
          <w:lang w:bidi="en-US"/>
        </w:rPr>
        <w:t xml:space="preserve"> </w:t>
      </w:r>
      <w:r w:rsidR="00E7150E" w:rsidRPr="005B1CCB">
        <w:rPr>
          <w:rFonts w:ascii="Palatino Linotype" w:hAnsi="Palatino Linotype"/>
          <w:sz w:val="24"/>
          <w:szCs w:val="24"/>
          <w:lang w:bidi="en-US"/>
        </w:rPr>
        <w:t>mutations were</w:t>
      </w:r>
      <w:r w:rsidR="00605C82" w:rsidRPr="005B1CCB">
        <w:rPr>
          <w:rFonts w:ascii="Palatino Linotype" w:hAnsi="Palatino Linotype"/>
          <w:sz w:val="24"/>
          <w:szCs w:val="24"/>
          <w:lang w:bidi="en-US"/>
        </w:rPr>
        <w:t xml:space="preserve"> </w:t>
      </w:r>
      <w:r w:rsidR="00060D04" w:rsidRPr="005B1CCB">
        <w:rPr>
          <w:rFonts w:ascii="Palatino Linotype" w:hAnsi="Palatino Linotype"/>
          <w:sz w:val="24"/>
          <w:szCs w:val="24"/>
          <w:lang w:bidi="en-US"/>
        </w:rPr>
        <w:t xml:space="preserve">also </w:t>
      </w:r>
      <w:r w:rsidR="00E7150E" w:rsidRPr="005B1CCB">
        <w:rPr>
          <w:rFonts w:ascii="Palatino Linotype" w:hAnsi="Palatino Linotype"/>
          <w:sz w:val="24"/>
          <w:szCs w:val="24"/>
          <w:lang w:bidi="en-US"/>
        </w:rPr>
        <w:t>detect</w:t>
      </w:r>
      <w:r w:rsidR="00925435" w:rsidRPr="005B1CCB">
        <w:rPr>
          <w:rFonts w:ascii="Palatino Linotype" w:hAnsi="Palatino Linotype"/>
          <w:sz w:val="24"/>
          <w:szCs w:val="24"/>
          <w:lang w:bidi="en-US"/>
        </w:rPr>
        <w:t>ed in stored sputum samples from individuals up to a year before cancer diagnosis</w:t>
      </w:r>
      <w:r w:rsidR="00607C18" w:rsidRPr="005B1CCB">
        <w:rPr>
          <w:rFonts w:ascii="Palatino Linotype" w:hAnsi="Palatino Linotype"/>
          <w:sz w:val="24"/>
          <w:szCs w:val="24"/>
          <w:lang w:bidi="en-US"/>
        </w:rPr>
        <w:t xml:space="preserve"> </w:t>
      </w:r>
      <w:r w:rsidR="0009006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{"citationItems":[{"id":"ITEM-1","itemData":{"DOI":"10.1186/s40246-019-0220-8","ISSN":"1479-7364","abstract":"In recent years, the rapid development of next-generation sequencing (NGS) technologies has led to a significant reduction in sequencing cost with improved accuracy. In the area of liquid biopsy, NGS has been applied to sequence circulating tumor DNA (ctDNA). Since ctDNA is the DNA fragments released by tumor cells, it can provide a molecular profile of cancer. Liquid biopsy can be applied to all stages of cancer diagnosis and treatment, allowing non-invasive and real-time monitoring of disease development. The most promising aspects of liquid biopsy in cancer applications are cancer screening and early diagnosis because they can lead to better survival results and less disease burden. Although many ctDNA sequencing methods have enough sensitivity to detect extremely low levels of mutation frequency at the early stage of cancer, how to effectively implement them in population screening settings remains challenging. This paper focuses on the application of liquid biopsy in the early screening and diagnosis of cancer, introduces NGS-related methods, reviews recent progress, summarizes challenges, and discusses future research directions.","author":[{"dropping-particle":"","family":"Chen","given":"Ming","non-dropping-particle":"","parse-names":false,"suffix":""},{"dropping-particle":"","family":"Zhao","given":"Hongyu","non-dropping-particle":"","parse-names":false,"suffix":""}],"container-title":"Human Genomics","id":"ITEM-1","issue":"1","issued":{"date-parts":[["2019"]]},"page":"34","title":"Next-generation sequencing in liquid biopsy: cancer screening and early detection","type":"article-journal","volume":"13"},"uris":["http://www.mendeley.com/documents/?uuid=5bcdfd8a-4b54-4b76-b871-639dfeeab78e"]}],"mendeley":{"formattedCitation":"[74]","plainTextFormattedCitation":"[74]","previouslyFormattedCitation":"[74]"},"properties":{"noteIndex":0},"schema":"https://github.com/citation-style-language/schema/raw/master/csl-citation.json"}</w:instrText>
      </w:r>
      <w:r w:rsidR="0009006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[74]</w:t>
      </w:r>
      <w:r w:rsidR="00090065" w:rsidRPr="005B1CCB">
        <w:rPr>
          <w:rFonts w:ascii="Palatino Linotype" w:hAnsi="Palatino Linotype"/>
          <w:sz w:val="24"/>
          <w:szCs w:val="24"/>
          <w:lang w:bidi="en-US"/>
        </w:rPr>
        <w:fldChar w:fldCharType="end"/>
      </w:r>
      <w:r w:rsidR="00607C18" w:rsidRPr="005B1CCB">
        <w:rPr>
          <w:rFonts w:ascii="Palatino Linotype" w:hAnsi="Palatino Linotype"/>
          <w:sz w:val="24"/>
          <w:szCs w:val="24"/>
          <w:lang w:bidi="en-US"/>
        </w:rPr>
        <w:t>.</w:t>
      </w:r>
    </w:p>
    <w:p w14:paraId="72A23E63" w14:textId="77777777" w:rsidR="00F15C33" w:rsidRPr="005B1CCB" w:rsidRDefault="00F15C33" w:rsidP="00E56F58">
      <w:pPr>
        <w:spacing w:line="360" w:lineRule="auto"/>
        <w:jc w:val="both"/>
        <w:rPr>
          <w:rFonts w:ascii="Palatino Linotype" w:hAnsi="Palatino Linotype"/>
          <w:sz w:val="24"/>
          <w:szCs w:val="24"/>
          <w:lang w:bidi="en-US"/>
        </w:rPr>
      </w:pPr>
    </w:p>
    <w:p w14:paraId="55403E45" w14:textId="77777777" w:rsidR="00E7150E" w:rsidRPr="005B1CCB" w:rsidRDefault="00E7150E" w:rsidP="00BA1146">
      <w:pPr>
        <w:pStyle w:val="Heading4"/>
        <w:rPr>
          <w:lang w:bidi="en-US"/>
        </w:rPr>
      </w:pPr>
      <w:r w:rsidRPr="005B1CCB">
        <w:rPr>
          <w:lang w:bidi="en-US"/>
        </w:rPr>
        <w:t>Treatment selection and prognosis</w:t>
      </w:r>
    </w:p>
    <w:p w14:paraId="1CA1C2E5" w14:textId="360FD0C9" w:rsidR="00D02D70" w:rsidRPr="005B1CCB" w:rsidRDefault="004569A7" w:rsidP="000E71CE">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0E71CE" w:rsidRPr="005B1CCB">
        <w:rPr>
          <w:rFonts w:ascii="Palatino Linotype" w:hAnsi="Palatino Linotype"/>
          <w:sz w:val="24"/>
          <w:szCs w:val="24"/>
          <w:lang w:bidi="en-US"/>
        </w:rPr>
        <w:t xml:space="preserve">As the half-life of cfDNA in circulation is between 16 minutes and 2.5 hours, </w:t>
      </w:r>
      <w:r w:rsidR="008245AA" w:rsidRPr="005B1CCB">
        <w:rPr>
          <w:rFonts w:ascii="Palatino Linotype" w:hAnsi="Palatino Linotype"/>
          <w:sz w:val="24"/>
          <w:szCs w:val="24"/>
          <w:lang w:bidi="en-US"/>
        </w:rPr>
        <w:t xml:space="preserve">identifying mutations using </w:t>
      </w:r>
      <w:r w:rsidR="000E71CE" w:rsidRPr="005B1CCB">
        <w:rPr>
          <w:rFonts w:ascii="Palatino Linotype" w:hAnsi="Palatino Linotype"/>
          <w:sz w:val="24"/>
          <w:szCs w:val="24"/>
          <w:lang w:bidi="en-US"/>
        </w:rPr>
        <w:t>ctDNA enables tumour-specific molecular profile of the patients to guide targeted therapy for precision medicine</w:t>
      </w:r>
      <w:r w:rsidR="00914E1D" w:rsidRPr="005B1CCB">
        <w:rPr>
          <w:rFonts w:ascii="Palatino Linotype" w:hAnsi="Palatino Linotype"/>
          <w:sz w:val="24"/>
          <w:szCs w:val="24"/>
          <w:lang w:bidi="en-US"/>
        </w:rPr>
        <w:t xml:space="preserve"> </w:t>
      </w:r>
      <w:r w:rsidR="00914E1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{"citationItems":[{"id":"ITEM-1","itemData":{"DOI":"10.1136/jitc-2020-001504","abstract":"Background Currently available biomarkers are imperfect in their ability to predict responses to the multiple first-line treatment options available for patients with advanced non-small cell lung cancer (NSCLC). Having an early pharmacodynamic marker of treatment resistance may help redirect patients onto more effective alternative therapies. We sought to determine if changes in circulating tumor DNA (ctDNA) levels after initiation of first-line pembrolizumab±chemotherapy in NSCLC would enable early prediction of response prior to radiological assessment.Methods Plasma collected from patients with advanced NSCLC prior to and serially after starting first-line pembrolizumab±platinum doublet chemotherapy was analyzed by next-generation sequencing using enhanced tagged-amplicon sequencing of hotspots and coding regions from 36 genes. Early change in ctDNA allele fraction (AF) was correlated with radiographic responses and long-term clinical outcomes.Results Among 62 patients who received first-line pembrolizumab±platinum/pemetrexed and underwent ctDNA assessment, 45 had detectable ctDNA alterations at baseline. The median change in AF at the first follow-up (at a median of 21 days after treatment initiation) was −90.1% (range −100% to +65%) among patients who subsequently had a radiologic response (n=18), –19.9% (range: −100% to +1884%) among stable disease cases (n=15), and +28.8% (range: −100% to +410%) among progressive disease cases (n=12); p=0.003. In addition, there was a significant correlation between the percent change in ctDNA at the first follow-up and the percent change in tumor target lesions from baseline (R=0.66, p&amp;amp;lt;0.001). AF decrease between the pretreatment and first on-treatment blood draw was associated with significantly higher response rate (60.7% vs 5.8%, p=0.0003), and significantly longer median progression-free survival (8.3 vs 3.4 months, HR: 0.29 (95% CI: 0.14 to 0.60), p=0.0007) and median overall survival (26.2 vs 13.2 months, HR: 0.34 (95% CI: 0.15 to 0.75), p=0.008) compared with cases with an AF increase.Conclusion In patients with advanced NSCLC, rapid decreases in ctDNA prior to radiological assessment correlated with clinical benefit. These results suggest a potential role for ctDNA as an early pharmacodynamic biomarker of response or resistance to immunotherapies.","author":[{"dropping-particle":"","family":"Ricciuti","given":"Biagio","non-dropping-particle":"","parse-names":false,"suffix":""},{"dropping-particle":"","family":"Jones","given":"Greg","non-dropping-particle":"","parse-names":false,"suffix":""},{"dropping-particle":"","family":"Severgnini","given":"Mariano","non-dropping-particle":"","parse-names":false,"suffix":""},{"dropping-particle":"V","family":"Alessi","given":"Joao","non-dropping-particle":"","parse-names":false,"suffix":""},{"dropping-particle":"","family":"Recondo","given":"Gonzalo","non-dropping-particle":"","parse-names":false,"suffix":""},{"dropping-particle":"","family":"Lawrence","given":"Marissa","non-dropping-particle":"","parse-names":false,"suffix":""},{"dropping-particle":"","family":"Forshew","given":"Tim","non-dropping-particle":"","parse-names":false,"suffix":""},{"dropping-particle":"","family":"Lydon","given":"Christine","non-dropping-particle":"","parse-names":false,"suffix":""},{"dropping-particle":"","family":"Nishino","given":"Mizuki","non-dropping-particle":"","parse-names":false,"suffix":""},{"dropping-particle":"","family":"Cheng","given":"Michael","non-dropping-particle":"","parse-names":false,"suffix":""},{"dropping-particle":"","family":"Awad","given":"Mark","non-dropping-particle":"","parse-names":false,"suffix":""}],"container-title":"Journal for ImmunoTherapy of Cancer","id":"ITEM-1","issue":"3","issued":{"date-parts":[["2021","3","1"]]},"page":"e001504","title":"Early plasma circulating tumor DNA (ctDNA) changes predict response to first-line pembrolizumab-based therapy in non-small cell lung cancer (NSCLC)","type":"article-journal","volume":"9"},"uris":["http://www.mendeley.com/documents/?uuid=bd416e82-003f-4631-8b37-765ecd5315f2"]}],"mendeley":{"formattedCitation":"[95]","plainTextFormattedCitation":"[95]","previouslyFormattedCitation":"[95]"},"properties":{"noteIndex":0},"schema":"https://github.com/citation-style-language/schema/raw/master/csl-citation.json"}</w:instrText>
      </w:r>
      <w:r w:rsidR="00914E1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[95]</w:t>
      </w:r>
      <w:r w:rsidR="00914E1D" w:rsidRPr="005B1CCB">
        <w:rPr>
          <w:rFonts w:ascii="Palatino Linotype" w:hAnsi="Palatino Linotype"/>
          <w:sz w:val="24"/>
          <w:szCs w:val="24"/>
          <w:lang w:bidi="en-US"/>
        </w:rPr>
        <w:fldChar w:fldCharType="end"/>
      </w:r>
      <w:r w:rsidR="00914E1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{"citationItems":[{"id":"ITEM-1","itemData":{"DOI":"10.3390/diagnostics10080550","ISSN":"2075-4418","abstract":"BACKGROUND: Circulating tumor DNA (ctDNA) in the blood plasma of cancer patients is an emerging biomarker used across oncology, facilitating noninvasive disease monitoring and genetic profiling at various disease milestones. Digital droplet PCR (ddPCR) technologies have demonstrated high sensitivity and specificity for robust ctDNA detection at relatively low costs. Yet, their value for ctDNA-based management of a broad population of cancer patients beyond clinical trials remains elusive. METHODS: We developed mutation-specific ddPCR assays that were optimized for their use in real-world cancer management, covering 12 genetic aberrations in common cancer genes, such as EGFR, BRAF, KIT, KRAS, and NRAS. We assessed the limit of detection (LOD) and the limit of blank (LOB) for each assay and validated their performance for ctDNA detection using matched tumor sequencing. RESULTS: We applied our custom ddPCR assays to 352 plasma samples from 96 patients with solid tumors. Mutation detection in plasma was highly concordant with tumor sequencing, demonstrating high sensitivity and specificity across all assays. In 20 cases, radiographic cancer progression was mirrored by an increase of ctDNA concentrations or the occurrence of novel mutations in plasma. Moreover, ctDNA profiling at diagnosis and during disease progression reflected personalized treatment selection through the identification of actionable gene targets in 20 cases. CONCLUSION: Collectively, our work highlights the potential of ctDNA assessment by sensitive ddPCR for accurate disease monitoring, robust identification of resistance mutations, and upfront treatment selection in patients with solid tumors. We envision an increasing future role for ctDNA profiling within personalized cancer management in daily clinical routine.","author":[{"dropping-particle":"","family":"Wehrle","given":"Julius","non-dropping-particle":"","parse-names":false,"suffix":""},{"dropping-particle":"","family":"Philipp","given":"Ulrike","non-dropping-particle":"","parse-names":false,"suffix":""},{"dropping-particle":"","family":"Jolic","given":"Martina","non-dropping-particle":"","parse-names":false,"suffix":""},{"dropping-particle":"","family":"Follo","given":"Marie","non-dropping-particle":"","parse-names":false,"suffix":""},{"dropping-particle":"","family":"Hussung","given":"Saskia","non-dropping-particle":"","parse-names":false,"suffix":""},{"dropping-particle":"","family":"Waldeck","given":"Silvia","non-dropping-particle":"","parse-names":false,"suffix":""},{"dropping-particle":"","family":"Deuter","given":"Max","non-dropping-particle":"","parse-names":false,"suffix":""},{"dropping-particle":"","family":"Rassner","given":"Michael","non-dropping-particle":"","parse-names":false,"suffix":""},{"dropping-particle":"","family":"Braune","given":"Jan","non-dropping-particle":"","parse-names":false,"suffix":""},{"dropping-particle":"","family":"Rawluk","given":"Justyna","non-dropping-particle":"","parse-names":false,"suffix":""},{"dropping-particle":"","family":"Greil","given":"Christine","non-dropping-particle":"","parse-names":false,"suffix":""},{"dropping-particle":"","family":"Waller","given":"Cornelius F","non-dropping-particle":"","parse-names":false,"suffix":""},{"dropping-particle":"","family":"Becker","given":"Heiko","non-dropping-particle":"","parse-names":false,"suffix":""},{"dropping-particle":"","family":"Duque-Afonso","given":"Jesús","non-dropping-particle":"","parse-names":false,"suffix":""},{"dropping-particle":"","family":"Illert","given":"Anna-L","non-dropping-particle":"","parse-names":false,"suffix":""},{"dropping-particle":"","family":"Fritsch","given":"Ralph M","non-dropping-particle":"","parse-names":false,"suffix":""},{"dropping-particle":"","family":"Meiss","given":"Frank","non-dropping-particle":"","parse-names":false,"suffix":""},{"dropping-particle":"","family":"Duyster","given":"Justus","non-dropping-particle":"","parse-names":false,"suffix":""},{"dropping-particle":"","family":"Bubnoff","given":"Nikolas","non-dropping-particle":"von","parse-names":false,"suffix":""},{"dropping-particle":"","family":"Scherer","given":"Florian","non-dropping-particle":"","parse-names":false,"suffix":""}],"container-title":"Diagnostics (Basel, Switzerland)","id":"ITEM-1","issue":"8","issued":{"date-parts":[["2020","8","2"]]},"language":"eng","page":"550","publisher":"MDPI","title":"Personalized Treatment Selection and Disease Monitoring Using Circulating Tumor DNA Profiling in Real-World Cancer Patient Management","type":"article-journal","volume":"10"},"uris":["http://www.mendeley.com/documents/?uuid=8a90b691-e7df-47e2-8276-5ba38efb1bc6"]}],"mendeley":{"formattedCitation":"[96]","plainTextFormattedCitation":"[96]","previouslyFormattedCitation":"[96]"},"properties":{"noteIndex":0},"schema":"https://github.com/citation-style-language/schema/raw/master/csl-citation.json"}</w:instrText>
      </w:r>
      <w:r w:rsidR="00914E1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[96]</w:t>
      </w:r>
      <w:r w:rsidR="00914E1D" w:rsidRPr="005B1CCB">
        <w:rPr>
          <w:rFonts w:ascii="Palatino Linotype" w:hAnsi="Palatino Linotype"/>
          <w:sz w:val="24"/>
          <w:szCs w:val="24"/>
          <w:lang w:bidi="en-US"/>
        </w:rPr>
        <w:fldChar w:fldCharType="end"/>
      </w:r>
      <w:r w:rsidR="001F5CD0"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{"citationItems":[{"id":"ITEM-1","itemData":{"DOI":"10.1007/s11523-021-00795-5","ISSN":"1776-260X","abstract":"Liquid biopsy recently gained widespread attention as a noninvasive alternative/complementary technique to tissue biopsy in patients with cancer. As technological advances have improved both feasibility and turnaround time, liquid biopsy has expanded tumor molecular analysis with acknowledgement of both spatial and temporal heterogeneity, overcoming many limitations of traditional tissue biopsy. Because of its diagnostic, prognostic, and predictive value, liquid biopsy has been extensively studied also in metastatic colorectal cancer. Indeed, as personalized medicine establishes its role in cancer treatment, genetic biomarkers unveiling the emergence of early resistance are needed. Among the wide variety of tumor analytes amenable to collection, circulating DNA and circulating tumor cells are the most adopted approaches, and both carry clinical relevance in colorectal cancer. However, few studies focused on comparing feasibility between these two approaches. In this review, we discuss the potential implications of liquid biopsy in metastatic colorectal cancer, assessing the advantages and drawbacks of circulating DNA and circulating tumor cells, and highlighting the most relevant trials for clinical practice.","author":[{"dropping-particle":"","family":"Patelli","given":"Giorgio","non-dropping-particle":"","parse-names":false,"suffix":""},{"dropping-particle":"","family":"Vaghi","given":"Caterina","non-dropping-particle":"","parse-names":false,"suffix":""},{"dropping-particle":"","family":"Tosi","given":"Federica","non-dropping-particle":"","parse-names":false,"suffix":""},{"dropping-particle":"","family":"Mauri","given":"Gianluca","non-dropping-particle":"","parse-names":false,"suffix":""},{"dropping-particle":"","family":"Amatu","given":"Alessio","non-dropping-particle":"","parse-names":false,"suffix":""},{"dropping-particle":"","family":"Massihnia","given":"Daniela","non-dropping-particle":"","parse-names":false,"suffix":""},{"dropping-particle":"","family":"Ghezzi","given":"Silvia","non-dropping-particle":"","parse-names":false,"suffix":""},{"dropping-particle":"","family":"Bonazzina","given":"Erica","non-dropping-particle":"","parse-names":false,"suffix":""},{"dropping-particle":"","family":"Bencardino","given":"Katia","non-dropping-particle":"","parse-names":false,"suffix":""},{"dropping-particle":"","family":"Cerea","given":"Giulio","non-dropping-particle":"","parse-names":false,"suffix":""},{"dropping-particle":"","family":"Siena","given":"Salvatore","non-dropping-particle":"","parse-names":false,"suffix":""},{"dropping-particle":"","family":"Sartore-Bianchi","given":"Andrea","non-dropping-particle":"","parse-names":false,"suffix":""}],"container-title":"Targeted Oncology","id":"ITEM-1","issue":"3","issued":{"date-parts":[["2021"]]},"page":"309-324","title":"Liquid Biopsy for Prognosis and Treatment in Metastatic Colorectal Cancer: Circulating Tumor Cells vs Circulating Tumor DNA","type":"article-journal","volume":"16"},"uris":["http://www.mendeley.com/documents/?uuid=77dc5246-0205-4349-a97c-b2d4e1c36103"]}],"mendeley":{"formattedCitation":"[72]","plainTextFormattedCitation":"[72]","previouslyFormattedCitation":"[72]"},"properties":{"noteIndex":0},"schema":"https://github.com/citation-style-language/schema/raw/master/csl-citation.json"}</w:instrText>
      </w:r>
      <w:r w:rsidR="001F5CD0"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[72]</w:t>
      </w:r>
      <w:r w:rsidR="001F5CD0" w:rsidRPr="005B1CCB">
        <w:rPr>
          <w:rFonts w:ascii="Palatino Linotype" w:hAnsi="Palatino Linotype"/>
          <w:sz w:val="24"/>
          <w:szCs w:val="24"/>
          <w:lang w:bidi="en-US"/>
        </w:rPr>
        <w:fldChar w:fldCharType="end"/>
      </w:r>
      <w:r w:rsidR="008245AA" w:rsidRPr="005B1CCB">
        <w:rPr>
          <w:rFonts w:ascii="Palatino Linotype" w:hAnsi="Palatino Linotype"/>
          <w:sz w:val="24"/>
          <w:szCs w:val="24"/>
          <w:lang w:bidi="en-US"/>
        </w:rPr>
        <w:t xml:space="preserve">. </w:t>
      </w:r>
      <w:r w:rsidR="0072334A" w:rsidRPr="005B1CCB">
        <w:rPr>
          <w:rFonts w:ascii="Palatino Linotype" w:hAnsi="Palatino Linotype"/>
          <w:sz w:val="24"/>
          <w:szCs w:val="24"/>
          <w:lang w:bidi="en-US"/>
        </w:rPr>
        <w:t>Ambiguous clinical scenarios like stable disease or mixed responses can be defined</w:t>
      </w:r>
      <w:r w:rsidR="00DF42AC" w:rsidRPr="005B1CCB">
        <w:rPr>
          <w:rFonts w:ascii="Palatino Linotype" w:hAnsi="Palatino Linotype"/>
          <w:sz w:val="24"/>
          <w:szCs w:val="24"/>
          <w:lang w:bidi="en-US"/>
        </w:rPr>
        <w:t>, and real-time modification of a treatment regimen can take place rather than waiting for weeks or month to monitor therapy response</w:t>
      </w:r>
      <w:r w:rsidR="003B5B20" w:rsidRPr="005B1CCB">
        <w:rPr>
          <w:rFonts w:ascii="Palatino Linotype" w:hAnsi="Palatino Linotype"/>
          <w:sz w:val="24"/>
          <w:szCs w:val="24"/>
          <w:lang w:bidi="en-US"/>
        </w:rPr>
        <w:t xml:space="preserve"> </w:t>
      </w:r>
      <w:r w:rsidR="003B5B20"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{"citationItems":[{"id":"ITEM-1","itemData":{"DOI":"10.1200/JCO.2012.45.2011","ISSN":"15277755","PMID":"24449238","abstract":"Genotyping tumor tissue in search of somatic genetic alterations for actionable information has become routine practice in clinical oncology. Although these sequence alterations are highly informative, sampling tumor tissue has significant inherent limitations; tumor tissue is a single snapshot in time, is subject to selection bias resulting from tumor heterogeneity, and can be difficult to obtain. Cell-free fragments of DNA are shed into the bloodstream by cells undergoing apoptosis or necrosis, and the load of circulating cell-free DNA (cfDNA) correlates with tumor staging and prognosis. Moreover, recent advances in the sensitivity and accuracy of DNA analysis have allowed for genotyping of cfDNA for somatic genomic alterations found in tumors. The ability to detect and quantify tumor mutations has proven effective in tracking tumor dynamics in real time as well as serving as a liquid biopsy that can be used for a variety of clinical and investigational applications not previously possible. © 2014 by American Society of Clinical Oncology.","author":[{"dropping-particle":"","family":"Diaz","given":"Luis A.","non-dropping-particle":"","parse-names":false,"suffix":""},{"dropping-particle":"","family":"Bardelli","given":"Alberto","non-dropping-particle":"","parse-names":false,"suffix":""}],"container-title":"Journal of Clinical Oncology","id":"ITEM-1","issue":"6","issued":{"date-parts":[["2014"]]},"page":"579-586","title":"Liquid biopsies: Genotyping circulating tumor DNA","type":"article-journal","volume":"32"},"uris":["http://www.mendeley.com/documents/?uuid=4e7342a2-96d2-43be-a15c-81d5082c0265"]}],"mendeley":{"formattedCitation":"[97]","plainTextFormattedCitation":"[97]","previouslyFormattedCitation":"[97]"},"properties":{"noteIndex":0},"schema":"https://github.com/citation-style-language/schema/raw/master/csl-citation.json"}</w:instrText>
      </w:r>
      <w:r w:rsidR="003B5B20"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[97]</w:t>
      </w:r>
      <w:r w:rsidR="003B5B20" w:rsidRPr="005B1CCB">
        <w:rPr>
          <w:rFonts w:ascii="Palatino Linotype" w:hAnsi="Palatino Linotype"/>
          <w:sz w:val="24"/>
          <w:szCs w:val="24"/>
          <w:lang w:bidi="en-US"/>
        </w:rPr>
        <w:fldChar w:fldCharType="end"/>
      </w:r>
      <w:r w:rsidR="0072334A" w:rsidRPr="005B1CCB">
        <w:rPr>
          <w:rFonts w:ascii="Palatino Linotype" w:hAnsi="Palatino Linotype"/>
          <w:sz w:val="24"/>
          <w:szCs w:val="24"/>
          <w:lang w:bidi="en-US"/>
        </w:rPr>
        <w:t xml:space="preserve">. </w:t>
      </w:r>
      <w:r w:rsidR="008245AA" w:rsidRPr="005B1CCB">
        <w:rPr>
          <w:rFonts w:ascii="Palatino Linotype" w:hAnsi="Palatino Linotype"/>
          <w:sz w:val="24"/>
          <w:szCs w:val="24"/>
          <w:lang w:bidi="en-US"/>
        </w:rPr>
        <w:t xml:space="preserve">ctDNA sequencing also allows researchers to understand the resistant mechanisms that </w:t>
      </w:r>
      <w:r w:rsidR="00E2536A" w:rsidRPr="005B1CCB">
        <w:rPr>
          <w:rFonts w:ascii="Palatino Linotype" w:hAnsi="Palatino Linotype"/>
          <w:sz w:val="24"/>
          <w:szCs w:val="24"/>
          <w:lang w:bidi="en-US"/>
        </w:rPr>
        <w:t>prevent</w:t>
      </w:r>
      <w:r w:rsidR="008245AA" w:rsidRPr="005B1CCB">
        <w:rPr>
          <w:rFonts w:ascii="Palatino Linotype" w:hAnsi="Palatino Linotype"/>
          <w:sz w:val="24"/>
          <w:szCs w:val="24"/>
          <w:lang w:bidi="en-US"/>
        </w:rPr>
        <w:t xml:space="preserve"> some tumours from responding to treatment and select new therapies according to new mutations</w:t>
      </w:r>
      <w:r w:rsidR="00191D48" w:rsidRPr="005B1CCB">
        <w:rPr>
          <w:rFonts w:ascii="Palatino Linotype" w:hAnsi="Palatino Linotype"/>
          <w:sz w:val="24"/>
          <w:szCs w:val="24"/>
          <w:lang w:bidi="en-US"/>
        </w:rPr>
        <w:t xml:space="preserve">  </w:t>
      </w:r>
      <w:r w:rsidR="00191D48"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{"citationItems":[{"id":"ITEM-1","itemData":{"author":[{"dropping-particle":"","family":"Schmitt","given":"Fernando","non-dropping-particle":"","parse-names":false,"suffix":""}],"id":"ITEM-1","issued":{"date-parts":[["2020"]]},"page":"1-14","title":"Utility of Circulating Tumor DNA in Di ff erent","type":"article-journal"},"uris":["http://www.mendeley.com/documents/?uuid=ec5aa85c-72a7-4492-8dd5-de55fb7f62c0"]}],"mendeley":{"formattedCitation":"[98]","plainTextFormattedCitation":"[98]","previouslyFormattedCitation":"[98]"},"properties":{"noteIndex":0},"schema":"https://github.com/citation-style-language/schema/raw/master/csl-citation.json"}</w:instrText>
      </w:r>
      <w:r w:rsidR="00191D48"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[98]</w:t>
      </w:r>
      <w:r w:rsidR="00191D48" w:rsidRPr="005B1CCB">
        <w:rPr>
          <w:rFonts w:ascii="Palatino Linotype" w:hAnsi="Palatino Linotype"/>
          <w:sz w:val="24"/>
          <w:szCs w:val="24"/>
          <w:lang w:bidi="en-US"/>
        </w:rPr>
        <w:fldChar w:fldCharType="end"/>
      </w:r>
      <w:r w:rsidR="000E71CE" w:rsidRPr="005B1CCB">
        <w:rPr>
          <w:rFonts w:ascii="Palatino Linotype" w:hAnsi="Palatino Linotype"/>
          <w:sz w:val="24"/>
          <w:szCs w:val="24"/>
          <w:lang w:bidi="en-US"/>
        </w:rPr>
        <w:t>.</w:t>
      </w:r>
      <w:r w:rsidR="008E7FBD" w:rsidRPr="005B1CCB">
        <w:rPr>
          <w:rFonts w:ascii="Palatino Linotype" w:hAnsi="Palatino Linotype"/>
          <w:sz w:val="24"/>
          <w:szCs w:val="24"/>
          <w:lang w:bidi="en-US"/>
        </w:rPr>
        <w:t xml:space="preserve"> </w:t>
      </w:r>
    </w:p>
    <w:p w14:paraId="04BE9F44" w14:textId="77777777" w:rsidR="00D2057F" w:rsidRPr="005B1CCB" w:rsidRDefault="00D2057F" w:rsidP="000E71CE">
      <w:pPr>
        <w:spacing w:line="360" w:lineRule="auto"/>
        <w:jc w:val="both"/>
        <w:rPr>
          <w:rFonts w:ascii="Palatino Linotype" w:hAnsi="Palatino Linotype"/>
          <w:sz w:val="24"/>
          <w:szCs w:val="24"/>
          <w:lang w:bidi="en-US"/>
        </w:rPr>
      </w:pPr>
    </w:p>
    <w:p w14:paraId="1FF09F8A" w14:textId="77777777" w:rsidR="00B14050" w:rsidRPr="005B1CCB" w:rsidRDefault="00B14050" w:rsidP="00BA1146">
      <w:pPr>
        <w:pStyle w:val="Heading4"/>
        <w:rPr>
          <w:lang w:bidi="en-US"/>
        </w:rPr>
      </w:pPr>
      <w:r w:rsidRPr="005B1CCB">
        <w:rPr>
          <w:lang w:bidi="en-US"/>
        </w:rPr>
        <w:t>Minimal residual disease</w:t>
      </w:r>
    </w:p>
    <w:p w14:paraId="6D252E92" w14:textId="39D5051A" w:rsidR="00B14050" w:rsidRDefault="004569A7" w:rsidP="002B5F40">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0E71CE" w:rsidRPr="005B1CCB">
        <w:rPr>
          <w:rFonts w:ascii="Palatino Linotype" w:hAnsi="Palatino Linotype"/>
          <w:sz w:val="24"/>
          <w:szCs w:val="24"/>
          <w:lang w:bidi="en-US"/>
        </w:rPr>
        <w:t xml:space="preserve">Relapse is still a significant threat to many cancer patients even when treatment is successful and it is hard to detect residual disease using tissue biopsy or imaging. </w:t>
      </w:r>
      <w:r w:rsidR="00B14050" w:rsidRPr="005B1CCB">
        <w:rPr>
          <w:rFonts w:ascii="Palatino Linotype" w:hAnsi="Palatino Linotype"/>
          <w:sz w:val="24"/>
          <w:szCs w:val="24"/>
          <w:lang w:bidi="en-US"/>
        </w:rPr>
        <w:t>Identifying patients with minimal residual disease will enable the delivery of new therapies to patients, reduce excessive treatment of patients with early-stage can</w:t>
      </w:r>
      <w:r w:rsidR="00625EC6">
        <w:rPr>
          <w:rFonts w:ascii="Palatino Linotype" w:hAnsi="Palatino Linotype"/>
          <w:sz w:val="24"/>
          <w:szCs w:val="24"/>
          <w:lang w:bidi="en-US"/>
        </w:rPr>
        <w:t>c</w:t>
      </w:r>
      <w:r w:rsidR="00B14050" w:rsidRPr="005B1CCB">
        <w:rPr>
          <w:rFonts w:ascii="Palatino Linotype" w:hAnsi="Palatino Linotype"/>
          <w:sz w:val="24"/>
          <w:szCs w:val="24"/>
          <w:lang w:bidi="en-US"/>
        </w:rPr>
        <w:t xml:space="preserve">er and help determine if patients with metastatic cancers can be cured. </w:t>
      </w:r>
      <w:r w:rsidR="006723C5" w:rsidRPr="00674196">
        <w:rPr>
          <w:rFonts w:ascii="Palatino Linotype" w:hAnsi="Palatino Linotype" w:cs="Times New Roman"/>
          <w:sz w:val="24"/>
          <w:szCs w:val="24"/>
          <w:lang w:bidi="en-US"/>
        </w:rPr>
        <w:t xml:space="preserve">The current method for monitoring cancer recurrence </w:t>
      </w:r>
      <w:r w:rsidR="00F95908" w:rsidRPr="007E3873">
        <w:rPr>
          <w:rFonts w:ascii="Palatino Linotype" w:hAnsi="Palatino Linotype" w:cs="Times New Roman"/>
          <w:sz w:val="24"/>
          <w:szCs w:val="24"/>
          <w:lang w:bidi="en-US"/>
        </w:rPr>
        <w:t>in the</w:t>
      </w:r>
      <w:r w:rsidR="00674196" w:rsidRPr="007E3873">
        <w:rPr>
          <w:rFonts w:ascii="Palatino Linotype" w:hAnsi="Palatino Linotype" w:cs="Times New Roman"/>
          <w:sz w:val="24"/>
          <w:szCs w:val="24"/>
          <w:lang w:bidi="en-US"/>
        </w:rPr>
        <w:t xml:space="preserve"> </w:t>
      </w:r>
      <w:r w:rsidR="00F95908" w:rsidRPr="007E3873">
        <w:rPr>
          <w:rFonts w:ascii="Palatino Linotype" w:hAnsi="Palatino Linotype" w:cs="Times New Roman"/>
          <w:sz w:val="24"/>
          <w:szCs w:val="24"/>
          <w:lang w:bidi="en-US"/>
        </w:rPr>
        <w:t xml:space="preserve">UK </w:t>
      </w:r>
      <w:r w:rsidR="006723C5" w:rsidRPr="00674196">
        <w:rPr>
          <w:rFonts w:ascii="Palatino Linotype" w:hAnsi="Palatino Linotype" w:cs="Times New Roman"/>
          <w:sz w:val="24"/>
          <w:szCs w:val="24"/>
          <w:lang w:bidi="en-US"/>
        </w:rPr>
        <w:t xml:space="preserve">is having a scan every </w:t>
      </w:r>
      <w:r w:rsidR="00D2057F" w:rsidRPr="00674196">
        <w:rPr>
          <w:rFonts w:ascii="Palatino Linotype" w:hAnsi="Palatino Linotype" w:cs="Times New Roman"/>
          <w:sz w:val="24"/>
          <w:szCs w:val="24"/>
          <w:lang w:bidi="en-US"/>
        </w:rPr>
        <w:t>three</w:t>
      </w:r>
      <w:r w:rsidR="006723C5" w:rsidRPr="00674196">
        <w:rPr>
          <w:rFonts w:ascii="Palatino Linotype" w:hAnsi="Palatino Linotype" w:cs="Times New Roman"/>
          <w:sz w:val="24"/>
          <w:szCs w:val="24"/>
          <w:lang w:bidi="en-US"/>
        </w:rPr>
        <w:t xml:space="preserve"> to </w:t>
      </w:r>
      <w:r w:rsidR="00D2057F" w:rsidRPr="00674196">
        <w:rPr>
          <w:rFonts w:ascii="Palatino Linotype" w:hAnsi="Palatino Linotype" w:cs="Times New Roman"/>
          <w:sz w:val="24"/>
          <w:szCs w:val="24"/>
          <w:lang w:bidi="en-US"/>
        </w:rPr>
        <w:t>six</w:t>
      </w:r>
      <w:r w:rsidR="006723C5" w:rsidRPr="00674196">
        <w:rPr>
          <w:rFonts w:ascii="Palatino Linotype" w:hAnsi="Palatino Linotype" w:cs="Times New Roman"/>
          <w:sz w:val="24"/>
          <w:szCs w:val="24"/>
          <w:lang w:bidi="en-US"/>
        </w:rPr>
        <w:t xml:space="preserve"> months for the first two years after treatment and then every </w:t>
      </w:r>
      <w:r w:rsidR="00D2057F" w:rsidRPr="00674196">
        <w:rPr>
          <w:rFonts w:ascii="Palatino Linotype" w:hAnsi="Palatino Linotype" w:cs="Times New Roman"/>
          <w:sz w:val="24"/>
          <w:szCs w:val="24"/>
          <w:lang w:bidi="en-US"/>
        </w:rPr>
        <w:t>six</w:t>
      </w:r>
      <w:r w:rsidR="006723C5" w:rsidRPr="00674196">
        <w:rPr>
          <w:rFonts w:ascii="Palatino Linotype" w:hAnsi="Palatino Linotype" w:cs="Times New Roman"/>
          <w:sz w:val="24"/>
          <w:szCs w:val="24"/>
          <w:lang w:bidi="en-US"/>
        </w:rPr>
        <w:t xml:space="preserve"> to </w:t>
      </w:r>
      <w:r w:rsidR="00D2057F" w:rsidRPr="00674196">
        <w:rPr>
          <w:rFonts w:ascii="Palatino Linotype" w:hAnsi="Palatino Linotype" w:cs="Times New Roman"/>
          <w:sz w:val="24"/>
          <w:szCs w:val="24"/>
          <w:lang w:bidi="en-US"/>
        </w:rPr>
        <w:t xml:space="preserve">twelve </w:t>
      </w:r>
      <w:r w:rsidR="006723C5" w:rsidRPr="00674196">
        <w:rPr>
          <w:rFonts w:ascii="Palatino Linotype" w:hAnsi="Palatino Linotype" w:cs="Times New Roman"/>
          <w:sz w:val="24"/>
          <w:szCs w:val="24"/>
          <w:lang w:bidi="en-US"/>
        </w:rPr>
        <w:t xml:space="preserve">months for a further </w:t>
      </w:r>
      <w:r w:rsidR="00D2057F" w:rsidRPr="00674196">
        <w:rPr>
          <w:rFonts w:ascii="Palatino Linotype" w:hAnsi="Palatino Linotype" w:cs="Times New Roman"/>
          <w:sz w:val="24"/>
          <w:szCs w:val="24"/>
          <w:lang w:bidi="en-US"/>
        </w:rPr>
        <w:t>three</w:t>
      </w:r>
      <w:r w:rsidR="006723C5" w:rsidRPr="00674196">
        <w:rPr>
          <w:rFonts w:ascii="Palatino Linotype" w:hAnsi="Palatino Linotype" w:cs="Times New Roman"/>
          <w:sz w:val="24"/>
          <w:szCs w:val="24"/>
          <w:lang w:bidi="en-US"/>
        </w:rPr>
        <w:t xml:space="preserve"> years</w:t>
      </w:r>
      <w:r w:rsidR="006723C5" w:rsidRPr="005B1CCB">
        <w:rPr>
          <w:rFonts w:ascii="Palatino Linotype" w:hAnsi="Palatino Linotype" w:cs="Times New Roman"/>
          <w:sz w:val="24"/>
          <w:szCs w:val="24"/>
          <w:lang w:bidi="en-US"/>
        </w:rPr>
        <w:t xml:space="preserve"> </w:t>
      </w:r>
      <w:r w:rsidR="000824D6" w:rsidRPr="005B1CCB">
        <w:rPr>
          <w:rFonts w:ascii="Palatino Linotype" w:hAnsi="Palatino Linotype" w:cs="Times New Roman"/>
          <w:sz w:val="24"/>
          <w:szCs w:val="24"/>
          <w:lang w:bidi="en-US"/>
        </w:rPr>
        <w:fldChar w:fldCharType="begin" w:fldLock="1"/>
      </w:r>
      <w:r w:rsidR="007F1AB4" w:rsidRPr="005B1CCB">
        <w:rPr>
          <w:rFonts w:ascii="Palatino Linotype" w:hAnsi="Palatino Linotype" w:cs="Times New Roman"/>
          <w:sz w:val="24"/>
          <w:szCs w:val="24"/>
          <w:lang w:bidi="en-US"/>
        </w:rPr>
        <w:instrText>ADDIN CSL_CITATION {"citationItems":[{"id":"ITEM-1","itemData":{"URL":"https://www.nhs.uk/conditions/biopsy/","accessed":{"date-parts":[["2019","7","18"]]},"author":[{"dropping-particle":"","family":"NHS","given":"","non-dropping-particle":"","parse-names":false,"suffix":""}],"container-title":"01.06.2018","id":"ITEM-1","issued":{"date-parts":[["2018"]]},"title":"Biopsy","type":"webpage"},"uris":["http://www.mendeley.com/documents/?uuid=30d755dd-77f2-47cf-9d75-5458e7ca1b0c"]}],"mendeley":{"formattedCitation":"[15]","plainTextFormattedCitation":"[15]","previouslyFormattedCitation":"[15]"},"properties":{"noteIndex":0},"schema":"https://github.com/citation-style-language/schema/raw/master/csl-citation.json"}</w:instrText>
      </w:r>
      <w:r w:rsidR="000824D6" w:rsidRPr="005B1CCB">
        <w:rPr>
          <w:rFonts w:ascii="Palatino Linotype" w:hAnsi="Palatino Linotype" w:cs="Times New Roman"/>
          <w:sz w:val="24"/>
          <w:szCs w:val="24"/>
          <w:lang w:bidi="en-US"/>
        </w:rPr>
        <w:fldChar w:fldCharType="separate"/>
      </w:r>
      <w:r w:rsidR="000824D6" w:rsidRPr="005B1CCB">
        <w:rPr>
          <w:rFonts w:ascii="Palatino Linotype" w:hAnsi="Palatino Linotype" w:cs="Times New Roman"/>
          <w:noProof/>
          <w:sz w:val="24"/>
          <w:szCs w:val="24"/>
          <w:lang w:bidi="en-US"/>
        </w:rPr>
        <w:t>[15]</w:t>
      </w:r>
      <w:r w:rsidR="000824D6" w:rsidRPr="005B1CCB">
        <w:rPr>
          <w:rFonts w:ascii="Palatino Linotype" w:hAnsi="Palatino Linotype" w:cs="Times New Roman"/>
          <w:sz w:val="24"/>
          <w:szCs w:val="24"/>
          <w:lang w:bidi="en-US"/>
        </w:rPr>
        <w:fldChar w:fldCharType="end"/>
      </w:r>
      <w:r w:rsidR="006723C5" w:rsidRPr="005B1CCB">
        <w:rPr>
          <w:rFonts w:ascii="Palatino Linotype" w:hAnsi="Palatino Linotype" w:cs="Times New Roman"/>
          <w:sz w:val="24"/>
          <w:szCs w:val="24"/>
          <w:lang w:bidi="en-US"/>
        </w:rPr>
        <w:t xml:space="preserve">. </w:t>
      </w:r>
      <w:r w:rsidR="00B75ACC" w:rsidRPr="005B1CCB">
        <w:rPr>
          <w:rFonts w:ascii="Palatino Linotype" w:hAnsi="Palatino Linotype"/>
          <w:sz w:val="24"/>
          <w:szCs w:val="24"/>
          <w:lang w:bidi="en-US"/>
        </w:rPr>
        <w:t>Higher levels of ctDNA after treatment often correlates with therapy resistance and reduced survival rates while low ctDNA levels have generally corresponded to a positive response to treatment</w:t>
      </w:r>
      <w:r w:rsidR="00FB5982" w:rsidRPr="005B1CCB">
        <w:rPr>
          <w:rFonts w:ascii="Palatino Linotype" w:hAnsi="Palatino Linotype"/>
          <w:sz w:val="24"/>
          <w:szCs w:val="24"/>
          <w:lang w:bidi="en-US"/>
        </w:rPr>
        <w:t xml:space="preserve"> </w:t>
      </w:r>
      <w:r w:rsidR="00FB5982" w:rsidRPr="005B1CCB">
        <w:rPr>
          <w:rFonts w:ascii="Palatino Linotype" w:hAnsi="Palatino Linotype"/>
          <w:sz w:val="24"/>
          <w:szCs w:val="24"/>
          <w:lang w:bidi="en-US"/>
        </w:rPr>
        <w:fldChar w:fldCharType="begin" w:fldLock="1"/>
      </w:r>
      <w:r w:rsidR="00FB5982" w:rsidRPr="005B1CCB">
        <w:rPr>
          <w:rFonts w:ascii="Palatino Linotype" w:hAnsi="Palatino Linotype"/>
          <w:sz w:val="24"/>
          <w:szCs w:val="24"/>
          <w:lang w:bidi="en-US"/>
        </w:rPr>
        <w:instrText>ADDIN CSL_CITATION {"citationItems":[{"id":"ITEM-1","itemData":{"DOI":"10.3389/fgene.2019.01118","ISSN":"16648021","abstract":"Background: Colorectal cancer is one of the most common cancers worldwide and has a high mortality rate following disease recurrence. Treatment efficacy is maximized by providing tailored cancer treatment, ideally involving surgical resection and personalized neoadjuvant and adjuvant therapies, including chemotherapy, radiotherapy and increasingly, targeted therapy. Early detection of recurrence or disease progression results in more treatable disease and is essential to improving survival outcomes. Recent advances in the understanding of tumor genetics have resulted in the discovery of circulating tumor DNA (ctDNA). A growing body of evidence supports the use of these sensitive biomarkers in detecting residual disease and diagnosing recurrence as well as enabling targeted and tumor-specific adjuvant therapies. Methods: A literature search in Pubmed was performed to identify all original articles preceding April 2019 that utilize ctDNA for the purpose of monitoring response to colorectal cancer treatment. Results: Ninety-two clinical studies were included. These studies demonstrate that ctDNA is a reliable measure of tumor burden. Studies show the utility of ctDNA in assessing the adequacy of surgical tumor clearance and changes in ctDNA levels reflect response to systemic treatments. ctDNA can be used in the selection of targeted treatments. The reappearance or increase in ctDNA, as well as the emergence of new mutations, correlates with disease recurrence, progression, and resistance to therapy, with ctDNA measurement allowing more sensitive monitoring than currently used clinical tools. Conclusions: ctDNA shows enormous promise as a sensitive biomarker for monitoring response to many treatment modalities and for targeting therapy. Thus, it is emerging as a new way for guiding treatment decisions—initiating, altering, and ceasing treatments, or prompting investigation into the potential for residual disease. However, many potentially useful ctDNA markers are available and more work is needed to determine which are best suited for specific purposes and for improving specific outcomes.","author":[{"dropping-particle":"","family":"Reece","given":"Mifanwy","non-dropping-particle":"","parse-names":false,"suffix":""},{"dropping-particle":"","family":"Saluja","given":"Hariti","non-dropping-particle":"","parse-names":false,"suffix":""},{"dropping-particle":"","family":"Hollington","given":"Paul","non-dropping-particle":"","parse-names":false,"suffix":""},{"dropping-particle":"","family":"Karapetis","given":"Christos S.","non-dropping-particle":"","parse-names":false,"suffix":""},{"dropping-particle":"","family":"Vatandoust","given":"Sina","non-dropping-particle":"","parse-names":false,"suffix":""},{"dropping-particle":"","family":"Young","given":"Graeme P.","non-dropping-particle":"","parse-names":false,"suffix":""},{"dropping-particle":"","family":"Symonds","given":"Erin L.","non-dropping-particle":"","parse-names":false,"suffix":""}],"container-title":"Frontiers in Genetics","id":"ITEM-1","issue":"November","issued":{"date-parts":[["2019"]]},"title":"The Use of Circulating Tumor DNA to Monitor and Predict Response to Treatment in Colorectal Cancer","type":"article-journal","volume":"10"},"uris":["http://www.mendeley.com/documents/?uuid=3aa095af-ca8c-470e-8817-0de71540dfa4"]}],"mendeley":{"formattedCitation":"[3]","plainTextFormattedCitation":"[3]","previouslyFormattedCitation":"[3]"},"properties":{"noteIndex":0},"schema":"https://github.com/citation-style-language/schema/raw/master/csl-citation.json"}</w:instrText>
      </w:r>
      <w:r w:rsidR="00FB5982" w:rsidRPr="005B1CCB">
        <w:rPr>
          <w:rFonts w:ascii="Palatino Linotype" w:hAnsi="Palatino Linotype"/>
          <w:sz w:val="24"/>
          <w:szCs w:val="24"/>
          <w:lang w:bidi="en-US"/>
        </w:rPr>
        <w:fldChar w:fldCharType="separate"/>
      </w:r>
      <w:r w:rsidR="00FB5982" w:rsidRPr="005B1CCB">
        <w:rPr>
          <w:rFonts w:ascii="Palatino Linotype" w:hAnsi="Palatino Linotype"/>
          <w:noProof/>
          <w:sz w:val="24"/>
          <w:szCs w:val="24"/>
          <w:lang w:bidi="en-US"/>
        </w:rPr>
        <w:t>[3]</w:t>
      </w:r>
      <w:r w:rsidR="00FB5982" w:rsidRPr="005B1CCB">
        <w:rPr>
          <w:rFonts w:ascii="Palatino Linotype" w:hAnsi="Palatino Linotype"/>
          <w:sz w:val="24"/>
          <w:szCs w:val="24"/>
          <w:lang w:bidi="en-US"/>
        </w:rPr>
        <w:fldChar w:fldCharType="end"/>
      </w:r>
      <w:r w:rsidR="00FB5982"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{"citationItems":[{"id":"ITEM-1","itemData":{"DOI":"10.1038/s41598-019-53711-3","ISSN":"2045-2322","abstract":"The impact of ctDNA changes after chemotherapy on the clinical outcomes of patients with metastatic colorectal cancer (mCRC) remains unclear. The present study evaluated the clinical implications of the early change in ctDNA levels as a predictor of objective response and clinical outcome in mCRC patients who received chemotherapy. We investigated the effects of after/before ratio of ctDNA levels 2 and 8 weeks after initiation of second-line chemotherapy, on objective response rate (ORR), progression-free survival (PFS), and overall survival (OS). ctDNA was detected using amplicon-based deep sequencing with a molecular barcode encompassing &gt;240 hotspot mutations in 14 colon cancer-related genes. In multivariate analysis, as compared to baseline, patients with lower ctDNA level (≤50%) 8 weeks after initiation of chemotherapy showed significantly longer PFS and OS than the patients with higher (&gt;50%) ctDNA level. In patients achieving a partial response or stable disease, the after/before ratio of ctDNA level 8 weeks after initiation of chemotherapy was significantly lower than those in patients with progressive disease. The present study suggests that an early change in the ctDNA level might serve as a biomarker to predict the chemotherapeutic efficacy and clinical outcomes in patients with mCRC.","author":[{"dropping-particle":"","family":"Osumi","given":"Hiroki","non-dropping-particle":"","parse-names":false,"suffix":""},{"dropping-particle":"","family":"Shinozaki","given":"Eiji","non-dropping-particle":"","parse-names":false,"suffix":""},{"dropping-particle":"","family":"Yamaguchi","given":"Kensei","non-dropping-particle":"","parse-names":false,"suffix":""},{"dropping-particle":"","family":"Zembutsu","given":"Hitoshi","non-dropping-particle":"","parse-names":false,"suffix":""}],"container-title":"Scientific Reports","id":"ITEM-1","issue":"1","issued":{"date-parts":[["2019"]]},"page":"17358","title":"Early change in circulating tumor DNA as a potential predictor of response to chemotherapy in patients with metastatic colorectal cancer","type":"article-journal","volume":"9"},"uris":["http://www.mendeley.com/documents/?uuid=c5b421c9-182c-487d-9aac-c1cdba58a8d2"]}],"mendeley":{"formattedCitation":"[99]","plainTextFormattedCitation":"[99]","previouslyFormattedCitation":"[99]"},"properties":{"noteIndex":0},"schema":"https://github.com/citation-style-language/schema/raw/master/csl-citation.json"}</w:instrText>
      </w:r>
      <w:r w:rsidR="00FB5982"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[99]</w:t>
      </w:r>
      <w:r w:rsidR="00FB5982" w:rsidRPr="005B1CCB">
        <w:rPr>
          <w:rFonts w:ascii="Palatino Linotype" w:hAnsi="Palatino Linotype"/>
          <w:sz w:val="24"/>
          <w:szCs w:val="24"/>
          <w:lang w:bidi="en-US"/>
        </w:rPr>
        <w:fldChar w:fldCharType="end"/>
      </w:r>
      <w:r w:rsidR="00B75ACC" w:rsidRPr="005B1CCB">
        <w:rPr>
          <w:rFonts w:ascii="Palatino Linotype" w:hAnsi="Palatino Linotype"/>
          <w:sz w:val="24"/>
          <w:szCs w:val="24"/>
          <w:lang w:bidi="en-US"/>
        </w:rPr>
        <w:t xml:space="preserve">. </w:t>
      </w:r>
      <w:r w:rsidR="004E384B" w:rsidRPr="00674196">
        <w:rPr>
          <w:rFonts w:ascii="Palatino Linotype" w:hAnsi="Palatino Linotype"/>
          <w:sz w:val="24"/>
          <w:szCs w:val="24"/>
          <w:lang w:bidi="en-US"/>
        </w:rPr>
        <w:t>Studies have shown that ctDNA assays were able to detect residual disease several weeks earlier than CT scan</w:t>
      </w:r>
      <w:r w:rsidR="004E384B" w:rsidRPr="005B1CCB">
        <w:rPr>
          <w:rFonts w:ascii="Palatino Linotype" w:hAnsi="Palatino Linotype"/>
          <w:sz w:val="24"/>
          <w:szCs w:val="24"/>
          <w:lang w:bidi="en-US"/>
        </w:rPr>
        <w:t xml:space="preserve"> </w:t>
      </w:r>
      <w:r w:rsidR="004E384B"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{"citationItems":[{"id":"ITEM-1","itemData":{"DOI":"10.1136/gutjnl-2014-308859","ISSN":"14683288","PMID":"25654990","abstract":"Objective To develop an affordable and robust pipeline for selection of patient-specific somatic structural variants (SSVs) being informative about radicality of the primary resection, response to adjuvant therapy, incipient recurrence and response to treatment performed in relation to diagnosis of recurrence. Design We have established efficient procedures for identification of SSVs by next-generation sequencing and subsequent quantification of 3-6 SSVs in plasma. The consequence of intratumour heterogeneity on our approach was assessed. The level of circulating tumour DNA (ctDNA) was quantified in 151 serial plasma samples from six relapsing and five non-relapsing colorectal cancer (CRC) patients by droplet digital PCR, and correlated to clinical findings. Results Up to six personalised assays were designed for each patient. Our approach enabled efficient temporal assessment of disease status, response to surgical and oncological intervention, and early detection of incipient recurrence. Our approach provided 2-15 (mean 10) months' lead time on detection of metastatic recurrence compared to conventional follow-up. The sensitivity and specificity of the SSVs in terms of detecting postsurgery relapse were 100%. Conclusions We show that assessment of ctDNA is a non-invasive, exquisitely specific and highly sensitive approach for monitoring disease load, which has the potential to provide clinically relevant lead times compared with conventional methods. Furthermore, we provide a low-coverage protocol optimised for identifying SSVs with excellent correlation between SSVs identified in tumours and matched metastases. Application of ctDNA analysis has the potential to change clinical practice in the management of CRC.","author":[{"dropping-particle":"","family":"Reinert","given":"Thomas","non-dropping-particle":"","parse-names":false,"suffix":""},{"dropping-particle":"V.","family":"Schøler","given":"Lone","non-dropping-particle":"","parse-names":false,"suffix":""},{"dropping-particle":"","family":"Thomsen","given":"Rune","non-dropping-particle":"","parse-names":false,"suffix":""},{"dropping-particle":"","family":"Tobiasen","given":"Heidi","non-dropping-particle":"","parse-names":false,"suffix":""},{"dropping-particle":"","family":"Vang","given":"Søren","non-dropping-particle":"","parse-names":false,"suffix":""},{"dropping-particle":"","family":"Nordentoft","given":"Iver","non-dropping-particle":"","parse-names":false,"suffix":""},{"dropping-particle":"","family":"Lamy","given":"Philippe","non-dropping-particle":"","parse-names":false,"suffix":""},{"dropping-particle":"","family":"Kannerup","given":"Anne Sofie","non-dropping-particle":"","parse-names":false,"suffix":""},{"dropping-particle":"V.","family":"Mortensen","given":"Frank","non-dropping-particle":"","parse-names":false,"suffix":""},{"dropping-particle":"","family":"Stribolt","given":"Katrine","non-dropping-particle":"","parse-names":false,"suffix":""},{"dropping-particle":"","family":"Hamilton-Dutoit","given":"Stephen","non-dropping-particle":"","parse-names":false,"suffix":""},{"dropping-particle":"","family":"Nielsen","given":"Hans J.","non-dropping-particle":"","parse-names":false,"suffix":""},{"dropping-particle":"","family":"Laurberg","given":"Søren","non-dropping-particle":"","parse-names":false,"suffix":""},{"dropping-particle":"","family":"Pallisgaard","given":"Niels","non-dropping-particle":"","parse-names":false,"suffix":""},{"dropping-particle":"","family":"Pedersen","given":"Jakob S.","non-dropping-particle":"","parse-names":false,"suffix":""},{"dropping-particle":"","family":"Ørntoft","given":"Torben F.","non-dropping-particle":"","parse-names":false,"suffix":""},{"dropping-particle":"","family":"Andersen","given":"Claus L.","non-dropping-particle":"","parse-names":false,"suffix":""}],"container-title":"Gut","id":"ITEM-1","issue":"4","issued":{"date-parts":[["2016"]]},"page":"625-634","title":"Analysis of circulating tumour DNA to monitor disease burden following colorectal cancer surgery","type":"article-journal","volume":"65"},"uris":["http://www.mendeley.com/documents/?uuid=313d1ecd-377e-45e6-96a2-7b10d7ed22a0"]}],"mendeley":{"formattedCitation":"[100]","plainTextFormattedCitation":"[100]","previouslyFormattedCitation":"[100]"},"properties":{"noteIndex":0},"schema":"https://github.com/citation-style-language/schema/raw/master/csl-citation.json"}</w:instrText>
      </w:r>
      <w:r w:rsidR="004E384B"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[100]</w:t>
      </w:r>
      <w:r w:rsidR="004E384B" w:rsidRPr="005B1CCB">
        <w:rPr>
          <w:rFonts w:ascii="Palatino Linotype" w:hAnsi="Palatino Linotype"/>
          <w:sz w:val="24"/>
          <w:szCs w:val="24"/>
          <w:lang w:bidi="en-US"/>
        </w:rPr>
        <w:fldChar w:fldCharType="end"/>
      </w:r>
      <w:r w:rsidR="004E384B" w:rsidRPr="005B1CCB">
        <w:rPr>
          <w:rFonts w:ascii="Palatino Linotype" w:hAnsi="Palatino Linotype"/>
          <w:sz w:val="24"/>
          <w:szCs w:val="24"/>
          <w:lang w:bidi="en-US"/>
        </w:rPr>
        <w:t xml:space="preserve"> however i</w:t>
      </w:r>
      <w:r w:rsidR="00B14050" w:rsidRPr="005B1CCB">
        <w:rPr>
          <w:rFonts w:ascii="Palatino Linotype" w:hAnsi="Palatino Linotype"/>
          <w:sz w:val="24"/>
          <w:szCs w:val="24"/>
          <w:lang w:bidi="en-US"/>
        </w:rPr>
        <w:t xml:space="preserve">t is important to note that tracking cfDNA in </w:t>
      </w:r>
      <w:r w:rsidR="004E384B" w:rsidRPr="005B1CCB">
        <w:rPr>
          <w:rFonts w:ascii="Palatino Linotype" w:hAnsi="Palatino Linotype"/>
          <w:sz w:val="24"/>
          <w:szCs w:val="24"/>
          <w:lang w:bidi="en-US"/>
        </w:rPr>
        <w:t xml:space="preserve">some </w:t>
      </w:r>
      <w:r w:rsidR="00B14050" w:rsidRPr="005B1CCB">
        <w:rPr>
          <w:rFonts w:ascii="Palatino Linotype" w:hAnsi="Palatino Linotype"/>
          <w:sz w:val="24"/>
          <w:szCs w:val="24"/>
          <w:lang w:bidi="en-US"/>
        </w:rPr>
        <w:t xml:space="preserve">post-surgical patients might not be so easy as the levels in circulation is low, limiting sensitivity </w:t>
      </w:r>
      <w:r w:rsidR="00201B89"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{"citationItems":[{"id":"ITEM-1","itemData":{"DOI":"10.1186/s12943-021-01371-1","ISSN":"1476-4598","abstract":"Liquid biopsy is now considered a valuable diagnostic tool for advanced metastatic non-small cell lung cancer (NSCLC). In NSCLC, circulating tumor DNA (ctDNA) analysis has been shown to increase the chances of identifying the presence of targetable mutations and has been adopted by many clinicians owing to its low risk. Serial monitoring of ctDNA may also help assess the treatment response or for monitoring relapse. As the presence of detectable plasma ctDNA post-surgery likely indicates residual tumor burden, studies have been performed to quantify plasma ctDNA to assess minimal residual disease (MRD) in early-stage resected NSCLC. Most data on utilizing liquid biopsy for monitoring MRD in early-stage NSCLC are from small-scale studies using ctDNA. Here, we review the recent research on liquid biopsy in NSCLC, not limited to ctDNA, and focus on novel methods such as micro RNAs (miRNA) and long non-coding (lncRNA).","author":[{"dropping-particle":"","family":"Nagasaka","given":"Misako","non-dropping-particle":"","parse-names":false,"suffix":""},{"dropping-particle":"","family":"Uddin","given":"Mohammed Hafiz","non-dropping-particle":"","parse-names":false,"suffix":""},{"dropping-particle":"","family":"Al-Hallak","given":"Mohammed Najeeb","non-dropping-particle":"","parse-names":false,"suffix":""},{"dropping-particle":"","family":"Rahman","given":"Sarah","non-dropping-particle":"","parse-names":false,"suffix":""},{"dropping-particle":"","family":"Balasubramanian","given":"Suresh","non-dropping-particle":"","parse-names":false,"suffix":""},{"dropping-particle":"","family":"Sukari","given":"Ammar","non-dropping-particle":"","parse-names":false,"suffix":""},{"dropping-particle":"","family":"Azmi","given":"Asfar S","non-dropping-particle":"","parse-names":false,"suffix":""}],"container-title":"Molecular Cancer","id":"ITEM-1","issue":"1","issued":{"date-parts":[["2021"]]},"page":"82","title":"Liquid biopsy for therapy monitoring in early-stage non-small cell lung cancer","type":"article-journal","volume":"20"},"uris":["http://www.mendeley.com/documents/?uuid=8c47d7a7-d4c3-4f70-a3c5-30887ec1fb81"]}],"mendeley":{"formattedCitation":"[101]","plainTextFormattedCitation":"[101]","previouslyFormattedCitation":"[101]"},"properties":{"noteIndex":0},"schema":"https://github.com/citation-style-language/schema/raw/master/csl-citation.json"}</w:instrText>
      </w:r>
      <w:r w:rsidR="00201B89"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[101]</w:t>
      </w:r>
      <w:r w:rsidR="00201B89" w:rsidRPr="005B1CCB">
        <w:rPr>
          <w:rFonts w:ascii="Palatino Linotype" w:hAnsi="Palatino Linotype"/>
          <w:sz w:val="24"/>
          <w:szCs w:val="24"/>
          <w:lang w:bidi="en-US"/>
        </w:rPr>
        <w:fldChar w:fldCharType="end"/>
      </w:r>
      <w:r w:rsidR="00B14050" w:rsidRPr="005B1CCB">
        <w:rPr>
          <w:rFonts w:ascii="Palatino Linotype" w:hAnsi="Palatino Linotype"/>
          <w:sz w:val="24"/>
          <w:szCs w:val="24"/>
          <w:lang w:bidi="en-US"/>
        </w:rPr>
        <w:t xml:space="preserve">. Other challenges include variable cfDNA amounts from different cells and sites and uncertain lead time </w:t>
      </w:r>
      <w:r w:rsidR="0077244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{"citationItems":[{"id":"ITEM-1","itemData":{"DOI":"10.1016/j.bdq.2019.100087","ISSN":"2214-7535","abstract":"An increasing number of studies demonstrate the potential use of cell-free DNA (cfDNA) as a surrogate marker for multiple indications in cancer, including diagnosis, prognosis, and monitoring. However, harnessing the full potential of cfDNA requires (i) the optimization and standardization of preanalytical steps, (ii) refinement of current analysis strategies, and, perhaps most importantly, (iii) significant improvements in our understanding of its origin, physical properties, and dynamics in circulation. The latter knowledge is crucial for interpreting the associations between changes in the baseline characteristics of cfDNA and the clinical manifestations of cancer. In this review we explore recent advancements and highlight the current gaps in our knowledge concerning each point of contact between cfDNA analysis and the different stages of cancer management.","author":[{"dropping-particle":"","family":"Bronkhorst","given":"Abel Jacobus","non-dropping-particle":"","parse-names":false,"suffix":""},{"dropping-particle":"","family":"Ungerer","given":"Vida","non-dropping-particle":"","parse-names":false,"suffix":""},{"dropping-particle":"","family":"Holdenrieder","given":"Stefan","non-dropping-particle":"","parse-names":false,"suffix":""}],"container-title":"Biomolecular detection and quantification","id":"ITEM-1","issued":{"date-parts":[["2019","3","18"]]},"language":"eng","page":"100087","publisher":"Elsevier","title":"The emerging role of cell-free DNA as a molecular marker for cancer management","type":"article-journal","volume":"17"},"uris":["http://www.mendeley.com/documents/?uuid=b8e76113-6dd8-4e4e-afc8-55ad40de6d39"]}],"mendeley":{"formattedCitation":"[102]","plainTextFormattedCitation":"[102]","previouslyFormattedCitation":"[102]"},"properties":{"noteIndex":0},"schema":"https://github.com/citation-style-language/schema/raw/master/csl-citation.json"}</w:instrText>
      </w:r>
      <w:r w:rsidR="0077244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[102]</w:t>
      </w:r>
      <w:r w:rsidR="00772441" w:rsidRPr="005B1CCB">
        <w:rPr>
          <w:rFonts w:ascii="Palatino Linotype" w:hAnsi="Palatino Linotype"/>
          <w:sz w:val="24"/>
          <w:szCs w:val="24"/>
          <w:lang w:bidi="en-US"/>
        </w:rPr>
        <w:fldChar w:fldCharType="end"/>
      </w:r>
      <w:r w:rsidR="00772441" w:rsidRPr="005B1CCB">
        <w:rPr>
          <w:rFonts w:ascii="Palatino Linotype" w:hAnsi="Palatino Linotype"/>
          <w:sz w:val="24"/>
          <w:szCs w:val="24"/>
          <w:lang w:bidi="en-US"/>
        </w:rPr>
        <w:t>.</w:t>
      </w:r>
    </w:p>
    <w:p w14:paraId="46789525" w14:textId="77777777" w:rsidR="00F15C33" w:rsidRPr="005B1CCB" w:rsidRDefault="00F15C33" w:rsidP="002B5F40">
      <w:pPr>
        <w:spacing w:line="360" w:lineRule="auto"/>
        <w:jc w:val="both"/>
        <w:rPr>
          <w:rFonts w:ascii="Palatino Linotype" w:hAnsi="Palatino Linotype"/>
          <w:sz w:val="24"/>
          <w:szCs w:val="24"/>
          <w:lang w:bidi="en-US"/>
        </w:rPr>
      </w:pPr>
    </w:p>
    <w:p w14:paraId="1AFE7AE5" w14:textId="77777777" w:rsidR="00B14050" w:rsidRPr="005B1CCB" w:rsidRDefault="00B14050" w:rsidP="00BA1146">
      <w:pPr>
        <w:pStyle w:val="Heading4"/>
        <w:rPr>
          <w:lang w:bidi="en-US"/>
        </w:rPr>
      </w:pPr>
      <w:r w:rsidRPr="005B1CCB">
        <w:rPr>
          <w:lang w:bidi="en-US"/>
        </w:rPr>
        <w:t>Patient-specific tumour fingerprint panel</w:t>
      </w:r>
    </w:p>
    <w:p w14:paraId="2FBD5D7D" w14:textId="2539F180" w:rsidR="00300D23" w:rsidRPr="005B1CCB" w:rsidRDefault="004569A7" w:rsidP="00300D23">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6F656B" w:rsidRPr="005B1CCB">
        <w:rPr>
          <w:rFonts w:ascii="Palatino Linotype" w:hAnsi="Palatino Linotype"/>
          <w:sz w:val="24"/>
          <w:szCs w:val="24"/>
          <w:lang w:bidi="en-US"/>
        </w:rPr>
        <w:t xml:space="preserve">The sensitivity of cancer personalised profiling can be improved using a patient-specific tumour fingerprint panel. </w:t>
      </w:r>
      <w:r w:rsidR="00131FF2" w:rsidRPr="005B1CCB">
        <w:rPr>
          <w:rFonts w:ascii="Palatino Linotype" w:hAnsi="Palatino Linotype"/>
          <w:sz w:val="24"/>
          <w:szCs w:val="24"/>
          <w:lang w:bidi="en-US"/>
        </w:rPr>
        <w:t>The rationale behind this application is that tumour mutational profiles are very variable from one person to another and a fixed content panel may not be sufficient enough to track treatment response in all patients.</w:t>
      </w:r>
      <w:r w:rsidR="0075361E" w:rsidRPr="005B1CCB">
        <w:rPr>
          <w:rFonts w:ascii="Palatino Linotype" w:hAnsi="Palatino Linotype"/>
          <w:sz w:val="24"/>
          <w:szCs w:val="24"/>
          <w:lang w:bidi="en-US"/>
        </w:rPr>
        <w:t xml:space="preserve"> It is also important to note that it is more cost-effective and time-efficient to capture genomic regions which are of high clinical importance</w:t>
      </w:r>
      <w:r w:rsidR="00EE566D" w:rsidRPr="005B1CCB">
        <w:rPr>
          <w:rFonts w:ascii="Palatino Linotype" w:hAnsi="Palatino Linotype"/>
          <w:sz w:val="24"/>
          <w:szCs w:val="24"/>
          <w:lang w:bidi="en-US"/>
        </w:rPr>
        <w:t xml:space="preserve"> </w:t>
      </w:r>
      <w:r w:rsidR="00EE566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{"citationItems":[{"id":"ITEM-1","itemData":{"DOI":"10.1038/s41598-020-60375-x","ISSN":"2045-2322","abstract":"Cancer-related mortality of solid tumors remains the major cause of death worldwide. Circulating tumor DNA (ctDNA) released from cancer cells harbors specific somatic mutations. Sequencing ctDNA opens opportunities to non-invasive population screening and lays foundations for personalized therapy. In this study, two commercially available platforms, Roche’s Avenio ctDNA Expanded panel and QIAgen’s QIAseq Human Comprehensive Cancer  panel were compared for (1) panel coverage of clinically relevant variants; (2) target enrichment specificity and sequencing performance; (3) the sensitivity; (4) concordance and (5) sequencing coverage using the same human blood sample with ultra-deep next-generation sequencing. Our finding suggests that Avenio detected somatic mutations in common cancers in over 70% of patients while QIAseq covered nearly 90% with a higher average number of variants per patient (Avenio: 3; QIAseq: 8 variants per patient). Both panels demonstrated similar on-target rate and percentage of reads mapped. However, Avenio had more uniform sequencing coverage across regions with different GC content. Avenio had a higher sensitivity and concordance compared with QIAseq at the same sequencing depth. This study identifies a unique niche for the application of each of the panel and allows the scientific community to make an informed decision on the technologies to meet research or application needs.","author":[{"dropping-particle":"","family":"Lam","given":"So Ngo","non-dropping-particle":"","parse-names":false,"suffix":""},{"dropping-particle":"","family":"Zhou","given":"Ying Chun","non-dropping-particle":"","parse-names":false,"suffix":""},{"dropping-particle":"","family":"Chan","given":"Yee Man","non-dropping-particle":"","parse-names":false,"suffix":""},{"dropping-particle":"","family":"Foo","given":"Ching Man","non-dropping-particle":"","parse-names":false,"suffix":""},{"dropping-particle":"","family":"Lee","given":"Po Yi","non-dropping-particle":"","parse-names":false,"suffix":""},{"dropping-particle":"","family":"Mok","given":"Wing Yeung","non-dropping-particle":"","parse-names":false,"suffix":""},{"dropping-particle":"","family":"Wong","given":"Wing Sum","non-dropping-particle":"","parse-names":false,"suffix":""},{"dropping-particle":"","family":"Fung","given":"Yan Yee","non-dropping-particle":"","parse-names":false,"suffix":""},{"dropping-particle":"","family":"Wong","given":"Kit Yee","non-dropping-particle":"","parse-names":false,"suffix":""},{"dropping-particle":"","family":"Huang","given":"Jun Yuan","non-dropping-particle":"","parse-names":false,"suffix":""},{"dropping-particle":"","family":"Chow","given":"Chun Kin","non-dropping-particle":"","parse-names":false,"suffix":""}],"container-title":"Scientific Reports","id":"ITEM-1","issue":"1","issued":{"date-parts":[["2020"]]},"page":"4124","title":"Comparison of Target Enrichment Platforms for Circulating Tumor DNA Detection","type":"article-journal","volume":"10"},"uris":["http://www.mendeley.com/documents/?uuid=2f80647f-8472-4bab-95c2-c916199c3406"]}],"mendeley":{"formattedCitation":"[103]","plainTextFormattedCitation":"[103]","previouslyFormattedCitation":"[103]"},"properties":{"noteIndex":0},"schema":"https://github.com/citation-style-language/schema/raw/master/csl-citation.json"}</w:instrText>
      </w:r>
      <w:r w:rsidR="00EE566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[103]</w:t>
      </w:r>
      <w:r w:rsidR="00EE566D" w:rsidRPr="005B1CCB">
        <w:rPr>
          <w:rFonts w:ascii="Palatino Linotype" w:hAnsi="Palatino Linotype"/>
          <w:sz w:val="24"/>
          <w:szCs w:val="24"/>
          <w:lang w:bidi="en-US"/>
        </w:rPr>
        <w:fldChar w:fldCharType="end"/>
      </w:r>
      <w:r w:rsidR="0075361E" w:rsidRPr="005B1CCB">
        <w:rPr>
          <w:rFonts w:ascii="Palatino Linotype" w:hAnsi="Palatino Linotype"/>
          <w:sz w:val="24"/>
          <w:szCs w:val="24"/>
          <w:lang w:bidi="en-US"/>
        </w:rPr>
        <w:t>.</w:t>
      </w:r>
      <w:r w:rsidR="00131FF2" w:rsidRPr="005B1CCB">
        <w:rPr>
          <w:rFonts w:ascii="Palatino Linotype" w:hAnsi="Palatino Linotype"/>
          <w:sz w:val="24"/>
          <w:szCs w:val="24"/>
          <w:lang w:bidi="en-US"/>
        </w:rPr>
        <w:t xml:space="preserve"> </w:t>
      </w:r>
      <w:r w:rsidR="00300D23" w:rsidRPr="005B1CCB">
        <w:rPr>
          <w:rFonts w:ascii="Palatino Linotype" w:hAnsi="Palatino Linotype"/>
          <w:sz w:val="24"/>
          <w:szCs w:val="24"/>
          <w:lang w:bidi="en-US"/>
        </w:rPr>
        <w:t>A molecular profile of cancer can be produced and applied to all stages of cancer diagnosis and treatment using the DNA fragments released by tumour cells.</w:t>
      </w:r>
      <w:r w:rsidR="00D92C05" w:rsidRPr="005B1CCB">
        <w:rPr>
          <w:rFonts w:ascii="Palatino Linotype" w:hAnsi="Palatino Linotype"/>
          <w:sz w:val="24"/>
          <w:szCs w:val="24"/>
          <w:lang w:bidi="en-US"/>
        </w:rPr>
        <w:t xml:space="preserve"> Studies show that the fingerprint panel method improves specificity and sensitivity across several tumour types and can potentially identify relapse earlier than image based diagnosis</w:t>
      </w:r>
      <w:r w:rsidR="00822406" w:rsidRPr="005B1CCB">
        <w:rPr>
          <w:rFonts w:ascii="Palatino Linotype" w:hAnsi="Palatino Linotype"/>
          <w:sz w:val="24"/>
          <w:szCs w:val="24"/>
          <w:lang w:bidi="en-US"/>
        </w:rPr>
        <w:t xml:space="preserve"> </w:t>
      </w:r>
      <w:r w:rsidR="0082240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{"citationItems":[{"id":"ITEM-1","itemData":{"DOI":"10.1186/s12967-020-02449-y","ISSN":"1479-5876","abstract":"Circulating tumor DNA (ctDNA) offers a convenient way to monitor tumor progression and treatment response. Because tumor mutational profiles are highly variable from person to person, a fixed content panel may be insufficient to track treatment response in all patients.","author":[{"dropping-particle":"","family":"Li","given":"Jiaping","non-dropping-particle":"","parse-names":false,"suffix":""},{"dropping-particle":"","family":"Jiang","given":"Wei","non-dropping-particle":"","parse-names":false,"suffix":""},{"dropping-particle":"","family":"Wei","given":"Jinwang","non-dropping-particle":"","parse-names":false,"suffix":""},{"dropping-particle":"","family":"Zhang","given":"Jianwei","non-dropping-particle":"","parse-names":false,"suffix":""},{"dropping-particle":"","family":"Cai","given":"Linbo","non-dropping-particle":"","parse-names":false,"suffix":""},{"dropping-particle":"","family":"Luo","given":"Minjie","non-dropping-particle":"","parse-names":false,"suffix":""},{"dropping-particle":"","family":"Wang","given":"Zhan","non-dropping-particle":"","parse-names":false,"suffix":""},{"dropping-particle":"","family":"Sun","given":"Wending","non-dropping-particle":"","parse-names":false,"suffix":""},{"dropping-particle":"","family":"Wang","given":"Shengzhou","non-dropping-particle":"","parse-names":false,"suffix":""},{"dropping-particle":"","family":"Wang","given":"Chen","non-dropping-particle":"","parse-names":false,"suffix":""},{"dropping-particle":"","family":"Dai","given":"Chun","non-dropping-particle":"","parse-names":false,"suffix":""},{"dropping-particle":"","family":"Liu","given":"Jun","non-dropping-particle":"","parse-names":false,"suffix":""},{"dropping-particle":"","family":"Wang","given":"Guan","non-dropping-particle":"","parse-names":false,"suffix":""},{"dropping-particle":"","family":"Wang","given":"Jiping","non-dropping-particle":"","parse-names":false,"suffix":""},{"dropping-particle":"","family":"Xu","given":"Qiang","non-dropping-particle":"","parse-names":false,"suffix":""},{"dropping-particle":"","family":"Deng","given":"Yanhong","non-dropping-particle":"","parse-names":false,"suffix":""}],"container-title":"Journal of Translational Medicine","id":"ITEM-1","issue":"1","issued":{"date-parts":[["2020"]]},"page":"293","title":"Patient specific circulating tumor DNA fingerprints to monitor treatment response across multiple tumors","type":"article-journal","volume":"18"},"uris":["http://www.mendeley.com/documents/?uuid=98f826f6-a943-44ab-86fa-562384e30d5f"]}],"mendeley":{"formattedCitation":"[104]","plainTextFormattedCitation":"[104]","previouslyFormattedCitation":"[104]"},"properties":{"noteIndex":0},"schema":"https://github.com/citation-style-language/schema/raw/master/csl-citation.json"}</w:instrText>
      </w:r>
      <w:r w:rsidR="0082240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[104]</w:t>
      </w:r>
      <w:r w:rsidR="00822406" w:rsidRPr="005B1CCB">
        <w:rPr>
          <w:rFonts w:ascii="Palatino Linotype" w:hAnsi="Palatino Linotype"/>
          <w:sz w:val="24"/>
          <w:szCs w:val="24"/>
          <w:lang w:bidi="en-US"/>
        </w:rPr>
        <w:fldChar w:fldCharType="end"/>
      </w:r>
      <w:r w:rsidR="00D92C05" w:rsidRPr="005B1CCB">
        <w:rPr>
          <w:rFonts w:ascii="Palatino Linotype" w:hAnsi="Palatino Linotype"/>
          <w:sz w:val="24"/>
          <w:szCs w:val="24"/>
          <w:lang w:bidi="en-US"/>
        </w:rPr>
        <w:t>.</w:t>
      </w:r>
    </w:p>
    <w:p w14:paraId="0EB84407" w14:textId="77777777" w:rsidR="00D2057F" w:rsidRPr="005B1CCB" w:rsidRDefault="00D2057F" w:rsidP="00300D23">
      <w:pPr>
        <w:spacing w:line="360" w:lineRule="auto"/>
        <w:jc w:val="both"/>
        <w:rPr>
          <w:rFonts w:ascii="Palatino Linotype" w:hAnsi="Palatino Linotype"/>
          <w:sz w:val="24"/>
          <w:szCs w:val="24"/>
          <w:lang w:bidi="en-US"/>
        </w:rPr>
      </w:pPr>
    </w:p>
    <w:p w14:paraId="4E167C2F" w14:textId="77777777" w:rsidR="00B14050" w:rsidRPr="005B1CCB" w:rsidRDefault="004F2020" w:rsidP="00BA1146">
      <w:pPr>
        <w:pStyle w:val="Heading4"/>
        <w:rPr>
          <w:lang w:bidi="en-US"/>
        </w:rPr>
      </w:pPr>
      <w:r w:rsidRPr="005B1CCB">
        <w:rPr>
          <w:lang w:bidi="en-US"/>
        </w:rPr>
        <w:t xml:space="preserve">Molecular </w:t>
      </w:r>
      <w:r w:rsidR="00B14050" w:rsidRPr="005B1CCB">
        <w:rPr>
          <w:lang w:bidi="en-US"/>
        </w:rPr>
        <w:t>Barcode</w:t>
      </w:r>
    </w:p>
    <w:p w14:paraId="4FA70764" w14:textId="49877700" w:rsidR="00A75857" w:rsidRPr="005B1CCB" w:rsidRDefault="004569A7" w:rsidP="00A350BE">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B57147" w:rsidRPr="005B1CCB">
        <w:rPr>
          <w:rFonts w:ascii="Palatino Linotype" w:hAnsi="Palatino Linotype"/>
          <w:sz w:val="24"/>
          <w:szCs w:val="24"/>
          <w:lang w:bidi="en-US"/>
        </w:rPr>
        <w:t xml:space="preserve">These are also known as unique identifiers and have been used to tag DNA molecules in order to distinguish real somatic mutations arising in vivo from </w:t>
      </w:r>
      <w:r w:rsidR="00410FBF" w:rsidRPr="005B1CCB">
        <w:rPr>
          <w:rFonts w:ascii="Palatino Linotype" w:hAnsi="Palatino Linotype"/>
          <w:sz w:val="24"/>
          <w:szCs w:val="24"/>
          <w:lang w:bidi="en-US"/>
        </w:rPr>
        <w:t>artefacts</w:t>
      </w:r>
      <w:r w:rsidR="00B57147" w:rsidRPr="005B1CCB">
        <w:rPr>
          <w:rFonts w:ascii="Palatino Linotype" w:hAnsi="Palatino Linotype"/>
          <w:sz w:val="24"/>
          <w:szCs w:val="24"/>
          <w:lang w:bidi="en-US"/>
        </w:rPr>
        <w:t xml:space="preserve"> introduced ex</w:t>
      </w:r>
      <w:r w:rsidR="00D2057F" w:rsidRPr="005B1CCB">
        <w:rPr>
          <w:rFonts w:ascii="Palatino Linotype" w:hAnsi="Palatino Linotype"/>
          <w:sz w:val="24"/>
          <w:szCs w:val="24"/>
          <w:lang w:bidi="en-US"/>
        </w:rPr>
        <w:t>-</w:t>
      </w:r>
      <w:r w:rsidR="00B57147" w:rsidRPr="005B1CCB">
        <w:rPr>
          <w:rFonts w:ascii="Palatino Linotype" w:hAnsi="Palatino Linotype"/>
          <w:sz w:val="24"/>
          <w:szCs w:val="24"/>
          <w:lang w:bidi="en-US"/>
        </w:rPr>
        <w:t xml:space="preserve">vivo </w:t>
      </w:r>
      <w:r w:rsidR="00B5714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 xml:space="preserve">ADDIN CSL_CITATION {"citationItems":[{"id":"ITEM-1","itemData":{"DOI":"10.1038/nbt.3520","ISSN":"1546-1696","abstract":"High-throughput sequencing of circulating tumor DNA (ctDNA) promises to facilitate personalized cancer therapy. However, low quantities of cell-free DNA (cfDNA) in the blood and sequencing artifacts currently limit analytical sensitivity. To overcome these limitations, we introduce an approach for integrated digital error suppression (iDES). Our method combines in silico elimination of highly stereotypical background artifacts with a molecular barcoding strategy for the efficient recovery of cfDNA molecules. Individually, these two methods each improve the sensitivity of cancer personalized profiling by deep sequencing (CAPP-Seq) by about threefold, and synergize when combined to yield </w:instrText>
      </w:r>
      <w:r w:rsidR="000766C5">
        <w:rPr>
          <w:rFonts w:ascii="Cambria Math" w:hAnsi="Cambria Math" w:cs="Cambria Math"/>
          <w:sz w:val="24"/>
          <w:szCs w:val="24"/>
          <w:lang w:bidi="en-US"/>
        </w:rPr>
        <w:instrText>∼</w:instrText>
      </w:r>
      <w:r w:rsidR="000766C5">
        <w:rPr>
          <w:rFonts w:ascii="Palatino Linotype" w:hAnsi="Palatino Linotype"/>
          <w:sz w:val="24"/>
          <w:szCs w:val="24"/>
          <w:lang w:bidi="en-US"/>
        </w:rPr>
        <w:instrText>15-fold improvements. As a result, iDES-enhanced CAPP-Seq facilitates noninvasive variant detection across hundreds of kilobases. Applied to non-small cell lung cancer (NSCLC) patients, our method enabled biopsy-free profiling of EGFR kinase domain mutations with 92% sensitivity and &gt;99.99% specificity at the variant level, and with 90% sensitivity and 96% specificity at the patient level. In addition, our approach allowed monitoring of NSCLC ctDNA down to 4 in 10(5) cfDNA molecules. We anticipate that iDES will aid the noninvasive genotyping and detection of ctDNA in research and clinical settings.","author":[{"dropping-particle":"","family":"Newman","given":"Aaron M","non-dropping-particle":"","parse-names":false,"suffix":""},{"dropping-particle":"","family":"Lovejoy","given":"Alexander F","non-dropping-particle":"","parse-names":false,"suffix":""},{"dropping-particle":"","family":"Klass","given":"Daniel M","non-dropping-particle":"","parse-names":false,"suffix":""},{"dropping-particle":"","family":"Kurtz","given":"David M","non-dropping-particle":"","parse-names":false,"suffix":""},{"dropping-particle":"","family":"Chabon","given":"Jacob J","non-dropping-particle":"","parse-names":false,"suffix":""},{"dropping-particle":"","family":"Scherer","given":"Florian","non-dropping-particle":"","parse-names":false,"suffix":""},{"dropping-particle":"","family":"Stehr","given":"Henning","non-dropping-particle":"","parse-names":false,"suffix":""},{"dropping-particle":"","family":"Liu","given":"Chih Long","non-dropping-particle":"","parse-names":false,"suffix":""},{"dropping-particle":"V","family":"Bratman","given":"Scott","non-dropping-particle":"","parse-names":false,"suffix":""},{"dropping-particle":"","family":"Say","given":"Carmen","non-dropping-particle":"","parse-names":false,"suffix":""},{"dropping-particle":"","family":"Zhou","given":"Li","non-dropping-particle":"","parse-names":false,"suffix":""},{"dropping-particle":"","family":"Carter","given":"Justin N","non-dropping-particle":"","parse-names":false,"suffix":""},{"dropping-particle":"","family":"West","given":"Robert B","non-dropping-particle":"","parse-names":false,"suffix":""},{"dropping-particle":"","family":"Sledge","given":"George W","non-dropping-particle":"","parse-names":false,"suffix":""},{"dropping-particle":"","family":"Shrager","given":"Joseph B","non-dropping-particle":"","parse-names":false,"suffix":""},{"dropping-particle":"","family":"Loo  Jr","given":"Billy W","non-dropping-particle":"","parse-names":false,"suffix":""},{"dropping-particle":"","family":"Neal","given":"Joel W","non-dropping-particle":"","parse-names":false,"suffix":""},{"dropping-particle":"","family":"Wakelee","given":"Heather A","non-dropping-particle":"","parse-names":false,"suffix":""},{"dropping-particle":"","family":"Diehn","given":"Maximilian","non-dropping-particle":"","parse-names":false,"suffix":""},{"dropping-particle":"","family":"Alizadeh","given":"Ash A","non-dropping-particle":"","parse-names":false,"suffix":""}],"container-title":"Nature biotechnology","edition":"2016/03/28","id":"ITEM-1","issue":"5","issued":{"date-parts":[["2016","5"]]},"language":"eng","page":"547-555","title":"Integrated digital error suppression for improved detection of circulating tumor DNA","type":"article-journal","volume":"34"},"uris":["http://www.mendeley.com/documents/?uuid=e245f999-0617-4df8-ba4e-403ebd2f7172"]}],"mendeley":{"formattedCitation":"[105]","plainTextFormattedCitation":"[105]","previouslyFormattedCitation":"[105]"},"properties":{"noteIndex":0},"schema":"https://github.com/citation-style-language/schema/raw/master/csl-citation.json"}</w:instrText>
      </w:r>
      <w:r w:rsidR="00B5714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[105]</w:t>
      </w:r>
      <w:r w:rsidR="00B57147" w:rsidRPr="005B1CCB">
        <w:rPr>
          <w:rFonts w:ascii="Palatino Linotype" w:hAnsi="Palatino Linotype"/>
          <w:sz w:val="24"/>
          <w:szCs w:val="24"/>
          <w:lang w:bidi="en-US"/>
        </w:rPr>
        <w:fldChar w:fldCharType="end"/>
      </w:r>
      <w:r w:rsidR="00B57147" w:rsidRPr="005B1CCB">
        <w:rPr>
          <w:rFonts w:ascii="Palatino Linotype" w:hAnsi="Palatino Linotype"/>
          <w:sz w:val="24"/>
          <w:szCs w:val="24"/>
          <w:lang w:bidi="en-US"/>
        </w:rPr>
        <w:t xml:space="preserve">. </w:t>
      </w:r>
      <w:r w:rsidR="00410FBF" w:rsidRPr="005B1CCB">
        <w:rPr>
          <w:rFonts w:ascii="Palatino Linotype" w:hAnsi="Palatino Linotype"/>
          <w:sz w:val="24"/>
          <w:szCs w:val="24"/>
          <w:lang w:bidi="en-US"/>
        </w:rPr>
        <w:t xml:space="preserve">The initial set of barcoding strategies reduced errors by tracking single DNA strands </w:t>
      </w:r>
      <w:r w:rsidR="001F670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{"citationItems":[{"id":"ITEM-1","itemData":{"DOI":"10.1073/pnas.1105422108","ISSN":"1091-6490","abstract":"The identification of mutations that are present in a small fraction of DNA templates is essential for progress in several areas of biomedical research. Although massively parallel sequencing instruments are in principle well suited to this task, the error rates in such instruments are generally too high to allow confident identification of rare variants. We here describe an approach that can substantially increase the sensitivity of massively parallel sequencing instruments for this purpose. The keys to this approach, called the Safe-Sequencing System (\"Safe-SeqS\"), are (i) assignment of a unique identifier (UID) to each template molecule, (ii) amplification of each uniquely tagged template molecule to create UID families, and (iii) redundant sequencing of the amplification products. PCR fragments with the same UID are considered mutant (\"supermutants\") only if ≥95% of them contain the identical mutation. We illustrate the utility of this approach for determining the fidelity of a polymerase, the accuracy of oligonucleotides synthesized in vitro, and the prevalence of mutations in the nuclear and mitochondrial genomes of normal cells.","author":[{"dropping-particle":"","family":"Kinde","given":"Isaac","non-dropping-particle":"","parse-names":false,"suffix":""},{"dropping-particle":"","family":"Wu","given":"Jian","non-dropping-particle":"","parse-names":false,"suffix":""},{"dropping-particle":"","family":"Papadopoulos","given":"Nick","non-dropping-particle":"","parse-names":false,"suffix":""},{"dropping-particle":"","family":"Kinzler","given":"Kenneth W","non-dropping-particle":"","parse-names":false,"suffix":""},{"dropping-particle":"","family":"Vogelstein","given":"Bert","non-dropping-particle":"","parse-names":false,"suffix":""}],"container-title":"Proceedings of the National Academy of Sciences of the United States of America","edition":"2011/05/17","id":"ITEM-1","issue":"23","issued":{"date-parts":[["2011","6","7"]]},"language":"eng","page":"9530-9535","publisher":"National Academy of Sciences","title":"Detection and quantification of rare mutations with massively parallel sequencing","type":"article-journal","volume":"108"},"uris":["http://www.mendeley.com/documents/?uuid=720589e1-ed85-4023-bf94-81ecc00ab131"]}],"mendeley":{"formattedCitation":"[106]","plainTextFormattedCitation":"[106]","previouslyFormattedCitation":"[106]"},"properties":{"noteIndex":0},"schema":"https://github.com/citation-style-language/schema/raw/master/csl-citation.json"}</w:instrText>
      </w:r>
      <w:r w:rsidR="001F670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[106]</w:t>
      </w:r>
      <w:r w:rsidR="001F670A" w:rsidRPr="005B1CCB">
        <w:rPr>
          <w:rFonts w:ascii="Palatino Linotype" w:hAnsi="Palatino Linotype"/>
          <w:sz w:val="24"/>
          <w:szCs w:val="24"/>
          <w:lang w:bidi="en-US"/>
        </w:rPr>
        <w:fldChar w:fldCharType="end"/>
      </w:r>
      <w:r w:rsidR="00410FBF" w:rsidRPr="005B1CCB">
        <w:rPr>
          <w:rFonts w:ascii="Palatino Linotype" w:hAnsi="Palatino Linotype"/>
          <w:sz w:val="24"/>
          <w:szCs w:val="24"/>
          <w:lang w:bidi="en-US"/>
        </w:rPr>
        <w:t xml:space="preserve"> but recent studies have been shown to track double stranded DNA molecules present in the original sample </w:t>
      </w:r>
      <w:r w:rsidR="001F670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{"citationItems":[{"id":"ITEM-1","itemData":{"DOI":"10.1038/nprot.2014.170","ISSN":"1750-2799","abstract":"Duplex Sequencing (DS) is a next-generation sequencing methodology capable of detecting a single mutation among &gt;1 × 10(7) wild-type nucleotides, thereby enabling the study of heterogeneous populations and very-low-frequency genetic alterations. DS can be applied to any double-stranded DNA sample, but it is ideal for small genomic regions of &lt;1 Mb in size. The method relies on the ligation of sequencing adapters harboring random yet complementary double-stranded nucleotide sequences to the sample DNA of interest. Individually labeled strands are then PCR-amplified, creating sequence 'families' that share a common tag sequence derived from the two original complementary strands. Mutations are scored only if the variant is present in the PCR families arising from both of the two DNA strands. Here we provide a detailed protocol for efficient DS adapter synthesis, library preparation and target enrichment, as well as an overview of the data analysis workflow. The protocol typically takes 1-3 d.","author":[{"dropping-particle":"","family":"Kennedy","given":"Scott R","non-dropping-particle":"","parse-names":false,"suffix":""},{"dropping-particle":"","family":"Schmitt","given":"Michael W","non-dropping-particle":"","parse-names":false,"suffix":""},{"dropping-particle":"","family":"Fox","given":"Edward J","non-dropping-particle":"","parse-names":false,"suffix":""},{"dropping-particle":"","family":"Kohrn","given":"Brendan F","non-dropping-particle":"","parse-names":false,"suffix":""},{"dropping-particle":"","family":"Salk","given":"Jesse J","non-dropping-particle":"","parse-names":false,"suffix":""},{"dropping-particle":"","family":"Ahn","given":"Eun Hyun","non-dropping-particle":"","parse-names":false,"suffix":""},{"dropping-particle":"","family":"Prindle","given":"Marc J","non-dropping-particle":"","parse-names":false,"suffix":""},{"dropping-particle":"","family":"Kuong","given":"Kawai J","non-dropping-particle":"","parse-names":false,"suffix":""},{"dropping-particle":"","family":"Shen","given":"Jiang-Cheng","non-dropping-particle":"","parse-names":false,"suffix":""},{"dropping-particle":"","family":"Risques","given":"Rosa-Ana","non-dropping-particle":"","parse-names":false,"suffix":""},{"dropping-particle":"","family":"Loeb","given":"Lawrence A","non-dropping-particle":"","parse-names":false,"suffix":""}],"container-title":"Nature protocols","edition":"2014/10/09","id":"ITEM-1","issue":"11","issued":{"date-parts":[["2014","11"]]},"language":"eng","page":"2586-2606","title":"Detecting ultralow-frequency mutations by Duplex Sequencing","type":"article-journal","volume":"9"},"uris":["http://www.mendeley.com/documents/?uuid=cb2e5846-913d-4fa0-9804-6467b775de6b"]}],"mendeley":{"formattedCitation":"[107]","plainTextFormattedCitation":"[107]","previouslyFormattedCitation":"[107]"},"properties":{"noteIndex":0},"schema":"https://github.com/citation-style-language/schema/raw/master/csl-citation.json"}</w:instrText>
      </w:r>
      <w:r w:rsidR="001F670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[107]</w:t>
      </w:r>
      <w:r w:rsidR="001F670A" w:rsidRPr="005B1CCB">
        <w:rPr>
          <w:rFonts w:ascii="Palatino Linotype" w:hAnsi="Palatino Linotype"/>
          <w:sz w:val="24"/>
          <w:szCs w:val="24"/>
          <w:lang w:bidi="en-US"/>
        </w:rPr>
        <w:fldChar w:fldCharType="end"/>
      </w:r>
      <w:r w:rsidR="00410FBF" w:rsidRPr="005B1CCB">
        <w:rPr>
          <w:rFonts w:ascii="Palatino Linotype" w:hAnsi="Palatino Linotype"/>
          <w:sz w:val="24"/>
          <w:szCs w:val="24"/>
          <w:lang w:bidi="en-US"/>
        </w:rPr>
        <w:t xml:space="preserve">. </w:t>
      </w:r>
      <w:r w:rsidR="00A350BE" w:rsidRPr="005B1CCB">
        <w:rPr>
          <w:rFonts w:ascii="Palatino Linotype" w:hAnsi="Palatino Linotype"/>
          <w:sz w:val="24"/>
          <w:szCs w:val="24"/>
          <w:lang w:bidi="en-US"/>
        </w:rPr>
        <w:t>Up to 58 cancer-related genes have been examined using parallel sequencing and the analyses of these mutations revealed high similarities with alterations in the tumours of these patients</w:t>
      </w:r>
      <w:r w:rsidR="00983942" w:rsidRPr="005B1CCB">
        <w:rPr>
          <w:rFonts w:ascii="Palatino Linotype" w:hAnsi="Palatino Linotype"/>
          <w:sz w:val="24"/>
          <w:szCs w:val="24"/>
          <w:lang w:bidi="en-US"/>
        </w:rPr>
        <w:t xml:space="preserve">  </w:t>
      </w:r>
      <w:r w:rsidR="00983942"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{"citationItems":[{"id":"ITEM-1","itemData":{"DOI":"10.1126/scitranslmed.aan2415","ISSN":"1946-6242","abstract":"Early detection and intervention are likely to be the most effective means for reducing morbidity and mortality of human cancer. However, development of methods for noninvasive detection of early-stage tumors has remained a challenge. We have developed an approach called targeted error correction sequencing (TEC-Seq) that allows ultrasensitive direct evaluation of sequence changes in circulating cell-free DNA using massively parallel sequencing. We have used this approach to examine 58 cancer-related genes encompassing 81 kb. Analysis of plasma from 44 healthy individuals identified genomic changes related to clonal hematopoiesis in 16% of asymptomatic individuals but no alterations in driver genes related to solid cancers. Evaluation of 200 patients with colorectal, breast, lung, or ovarian cancer detected somatic mutations in the plasma of 71, 59, 59, and 68%, respectively, of patients with stage I or II disease. Analyses of mutations in the circulation revealed high concordance with alterations in the tumors of these patients. In patients with resectable colorectal cancers, higher amounts of preoperative circulating tumor DNA were associated with disease recurrence and decreased overall survival. These analyses provide a broadly applicable approach for noninvasive detection of early-stage tumors that may be useful for screening and management of patients with cancer.","author":[{"dropping-particle":"","family":"Phallen","given":"Jillian","non-dropping-particle":"","parse-names":false,"suffix":""},{"dropping-particle":"","family":"Sausen","given":"Mark","non-dropping-particle":"","parse-names":false,"suffix":""},{"dropping-particle":"","family":"Adleff","given":"Vilmos","non-dropping-particle":"","parse-names":false,"suffix":""},{"dropping-particle":"","family":"Leal","given":"Alessandro","non-dropping-particle":"","parse-names":false,"suffix":""},{"dropping-particle":"","family":"Hruban","given":"Carolyn","non-dropping-particle":"","parse-names":false,"suffix":""},{"dropping-particle":"","family":"White","given":"James","non-dropping-particle":"","parse-names":false,"suffix":""},{"dropping-particle":"","family":"Anagnostou","given":"Valsamo","non-dropping-particle":"","parse-names":false,"suffix":""},{"dropping-particle":"","family":"Fiksel","given":"Jacob","non-dropping-particle":"","parse-names":false,"suffix":""},{"dropping-particle":"","family":"Cristiano","given":"Stephen","non-dropping-particle":"","parse-names":false,"suffix":""},{"dropping-particle":"","family":"Papp","given":"Eniko","non-dropping-particle":"","parse-names":false,"suffix":""},{"dropping-particle":"","family":"Speir","given":"Savannah","non-dropping-particle":"","parse-names":false,"suffix":""},{"dropping-particle":"","family":"Reinert","given":"Thomas","non-dropping-particle":"","parse-names":false,"suffix":""},{"dropping-particle":"","family":"Orntoft","given":"Mai-Britt Worm","non-dropping-particle":"","parse-names":false,"suffix":""},{"dropping-particle":"","family":"Woodward","given":"Brian D","non-dropping-particle":"","parse-names":false,"suffix":""},{"dropping-particle":"","family":"Murphy","given":"Derek","non-dropping-particle":"","parse-names":false,"suffix":""},{"dropping-particle":"","family":"Parpart-Li","given":"Sonya","non-dropping-particle":"","parse-names":false,"suffix":""},{"dropping-particle":"","family":"Riley","given":"David","non-dropping-particle":"","parse-names":false,"suffix":""},{"dropping-particle":"","family":"Nesselbush","given":"Monica","non-dropping-particle":"","parse-names":false,"suffix":""},{"dropping-particle":"","family":"Sengamalay","given":"Naomi","non-dropping-particle":"","parse-names":false,"suffix":""},{"dropping-particle":"","family":"Georgiadis","given":"Andrew","non-dropping-particle":"","parse-names":false,"suffix":""},{"dropping-particle":"","family":"Li","given":"Qing Kay","non-dropping-particle":"","parse-names":false,"suffix":""},{"dropping-particle":"","family":"Madsen","given":"Mogens Rørbæk","non-dropping-particle":"","parse-names":false,"suffix":""},{"dropping-particle":"","family":"Mortensen","given":"Frank Viborg","non-dropping-particle":"","parse-names":false,"suffix":""},{"dropping-particle":"","family":"Huiskens","given":"Joost","non-dropping-particle":"","parse-names":false,"suffix":""},{"dropping-particle":"","family":"Punt","given":"Cornelis","non-dropping-particle":"","parse-names":false,"suffix":""},{"dropping-particle":"","family":"Grieken","given":"Nicole","non-dropping-particle":"van","parse-names":false,"suffix":""},{"dropping-particle":"","family":"Fijneman","given":"Remond","non-dropping-particle":"","parse-names":false,"suffix":""},{"dropping-particle":"","family":"Meijer","given":"Gerrit","non-dropping-particle":"","parse-names":false,"suffix":""},{"dropping-particle":"","family":"Husain","given":"Hatim","non-dropping-particle":"","parse-names":false,"suffix":""},{"dropping-particle":"","family":"Scharpf","given":"Robert B","non-dropping-particle":"","parse-names":false,"suffix":""},{"dropping-particle":"","family":"Diaz  Jr","given":"Luis A","non-dropping-particle":"","parse-names":false,"suffix":""},{"dropping-particle":"","family":"Jones","given":"Siân","non-dropping-particle":"","parse-names":false,"suffix":""},{"dropping-particle":"","family":"Angiuoli","given":"Sam","non-dropping-particle":"","parse-names":false,"suffix":""},{"dropping-particle":"","family":"Ørntoft","given":"Torben","non-dropping-particle":"","parse-names":false,"suffix":""},{"dropping-particle":"","family":"Nielsen","given":"Hans Jørgen","non-dropping-particle":"","parse-names":false,"suffix":""},{"dropping-particle":"","family":"Andersen","given":"Claus Lindbjerg","non-dropping-particle":"","parse-names":false,"suffix":""},{"dropping-particle":"","family":"Velculescu","given":"Victor E","non-dropping-particle":"","parse-names":false,"suffix":""}],"container-title":"Science translational medicine","id":"ITEM-1","issue":"403","issued":{"date-parts":[["2017","8","16"]]},"language":"eng","page":"eaan2415","title":"Direct detection of early-stage cancers using circulating tumor DNA","type":"article-journal","volume":"9"},"uris":["http://www.mendeley.com/documents/?uuid=3101bc44-a3c0-48fc-bcd8-44ba91902ea8"]}],"mendeley":{"formattedCitation":"[108]","plainTextFormattedCitation":"[108]","previouslyFormattedCitation":"[108]"},"properties":{"noteIndex":0},"schema":"https://github.com/citation-style-language/schema/raw/master/csl-citation.json"}</w:instrText>
      </w:r>
      <w:r w:rsidR="00983942"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[108]</w:t>
      </w:r>
      <w:r w:rsidR="00983942" w:rsidRPr="005B1CCB">
        <w:rPr>
          <w:rFonts w:ascii="Palatino Linotype" w:hAnsi="Palatino Linotype"/>
          <w:sz w:val="24"/>
          <w:szCs w:val="24"/>
          <w:lang w:bidi="en-US"/>
        </w:rPr>
        <w:fldChar w:fldCharType="end"/>
      </w:r>
      <w:r w:rsidR="00A350BE" w:rsidRPr="005B1CCB">
        <w:rPr>
          <w:rFonts w:ascii="Palatino Linotype" w:hAnsi="Palatino Linotype"/>
          <w:sz w:val="24"/>
          <w:szCs w:val="24"/>
          <w:lang w:bidi="en-US"/>
        </w:rPr>
        <w:t>.</w:t>
      </w:r>
      <w:r w:rsidR="008F2E87" w:rsidRPr="005B1CCB">
        <w:rPr>
          <w:rFonts w:ascii="Palatino Linotype" w:hAnsi="Palatino Linotype"/>
          <w:sz w:val="24"/>
          <w:szCs w:val="24"/>
          <w:lang w:bidi="en-US"/>
        </w:rPr>
        <w:t xml:space="preserve">   </w:t>
      </w:r>
    </w:p>
    <w:p w14:paraId="55D36BE2" w14:textId="23ABC09F" w:rsidR="008A1FCE" w:rsidRDefault="008A1FCE" w:rsidP="00A350BE">
      <w:pPr>
        <w:spacing w:line="360" w:lineRule="auto"/>
        <w:jc w:val="both"/>
        <w:rPr>
          <w:rFonts w:ascii="Palatino Linotype" w:hAnsi="Palatino Linotype"/>
          <w:sz w:val="24"/>
          <w:szCs w:val="24"/>
          <w:lang w:bidi="en-US"/>
        </w:rPr>
      </w:pPr>
    </w:p>
    <w:p w14:paraId="0F094F09" w14:textId="7329B361" w:rsidR="008858EE" w:rsidRDefault="008858EE" w:rsidP="00A350BE">
      <w:pPr>
        <w:spacing w:line="360" w:lineRule="auto"/>
        <w:jc w:val="both"/>
        <w:rPr>
          <w:rFonts w:ascii="Palatino Linotype" w:hAnsi="Palatino Linotype"/>
          <w:sz w:val="24"/>
          <w:szCs w:val="24"/>
          <w:lang w:bidi="en-US"/>
        </w:rPr>
      </w:pPr>
    </w:p>
    <w:p w14:paraId="21D38966" w14:textId="598B4CA3" w:rsidR="008858EE" w:rsidRDefault="008858EE" w:rsidP="00A350BE">
      <w:pPr>
        <w:spacing w:line="360" w:lineRule="auto"/>
        <w:jc w:val="both"/>
        <w:rPr>
          <w:rFonts w:ascii="Palatino Linotype" w:hAnsi="Palatino Linotype"/>
          <w:sz w:val="24"/>
          <w:szCs w:val="24"/>
          <w:lang w:bidi="en-US"/>
        </w:rPr>
      </w:pPr>
    </w:p>
    <w:p w14:paraId="5007ED78" w14:textId="26B1270F" w:rsidR="008858EE" w:rsidRDefault="008858EE" w:rsidP="00A350BE">
      <w:pPr>
        <w:spacing w:line="360" w:lineRule="auto"/>
        <w:jc w:val="both"/>
        <w:rPr>
          <w:rFonts w:ascii="Palatino Linotype" w:hAnsi="Palatino Linotype"/>
          <w:sz w:val="24"/>
          <w:szCs w:val="24"/>
          <w:lang w:bidi="en-US"/>
        </w:rPr>
      </w:pPr>
    </w:p>
    <w:p w14:paraId="75343F6A" w14:textId="602CE3CF" w:rsidR="008858EE" w:rsidRDefault="008858EE" w:rsidP="00A350BE">
      <w:pPr>
        <w:spacing w:line="360" w:lineRule="auto"/>
        <w:jc w:val="both"/>
        <w:rPr>
          <w:rFonts w:ascii="Palatino Linotype" w:hAnsi="Palatino Linotype"/>
          <w:sz w:val="24"/>
          <w:szCs w:val="24"/>
          <w:lang w:bidi="en-US"/>
        </w:rPr>
      </w:pPr>
    </w:p>
    <w:p w14:paraId="352C6FE4" w14:textId="5758CFC0" w:rsidR="008858EE" w:rsidRDefault="008858EE" w:rsidP="00A350BE">
      <w:pPr>
        <w:spacing w:line="360" w:lineRule="auto"/>
        <w:jc w:val="both"/>
        <w:rPr>
          <w:rFonts w:ascii="Palatino Linotype" w:hAnsi="Palatino Linotype"/>
          <w:sz w:val="24"/>
          <w:szCs w:val="24"/>
          <w:lang w:bidi="en-US"/>
        </w:rPr>
      </w:pPr>
    </w:p>
    <w:p w14:paraId="0526D12B" w14:textId="2C405CB3" w:rsidR="008858EE" w:rsidRDefault="008858EE" w:rsidP="00A350BE">
      <w:pPr>
        <w:spacing w:line="360" w:lineRule="auto"/>
        <w:jc w:val="both"/>
        <w:rPr>
          <w:rFonts w:ascii="Palatino Linotype" w:hAnsi="Palatino Linotype"/>
          <w:sz w:val="24"/>
          <w:szCs w:val="24"/>
          <w:lang w:bidi="en-US"/>
        </w:rPr>
      </w:pPr>
    </w:p>
    <w:p w14:paraId="3C31010A" w14:textId="2CBE8775" w:rsidR="008858EE" w:rsidRDefault="008858EE" w:rsidP="00A350BE">
      <w:pPr>
        <w:spacing w:line="360" w:lineRule="auto"/>
        <w:jc w:val="both"/>
        <w:rPr>
          <w:rFonts w:ascii="Palatino Linotype" w:hAnsi="Palatino Linotype"/>
          <w:sz w:val="24"/>
          <w:szCs w:val="24"/>
          <w:lang w:bidi="en-US"/>
        </w:rPr>
      </w:pPr>
    </w:p>
    <w:p w14:paraId="245F669A" w14:textId="302AEC25" w:rsidR="008858EE" w:rsidRDefault="008858EE" w:rsidP="00A350BE">
      <w:pPr>
        <w:spacing w:line="360" w:lineRule="auto"/>
        <w:jc w:val="both"/>
        <w:rPr>
          <w:rFonts w:ascii="Palatino Linotype" w:hAnsi="Palatino Linotype"/>
          <w:sz w:val="24"/>
          <w:szCs w:val="24"/>
          <w:lang w:bidi="en-US"/>
        </w:rPr>
      </w:pPr>
    </w:p>
    <w:p w14:paraId="79B22433" w14:textId="2FA339C9" w:rsidR="008858EE" w:rsidRDefault="008858EE" w:rsidP="00A350BE">
      <w:pPr>
        <w:spacing w:line="360" w:lineRule="auto"/>
        <w:jc w:val="both"/>
        <w:rPr>
          <w:rFonts w:ascii="Palatino Linotype" w:hAnsi="Palatino Linotype"/>
          <w:sz w:val="24"/>
          <w:szCs w:val="24"/>
          <w:lang w:bidi="en-US"/>
        </w:rPr>
      </w:pPr>
    </w:p>
    <w:p w14:paraId="23ECABC3" w14:textId="319BBB39" w:rsidR="008858EE" w:rsidRDefault="008858EE" w:rsidP="00A350BE">
      <w:pPr>
        <w:spacing w:line="360" w:lineRule="auto"/>
        <w:jc w:val="both"/>
        <w:rPr>
          <w:rFonts w:ascii="Palatino Linotype" w:hAnsi="Palatino Linotype"/>
          <w:sz w:val="24"/>
          <w:szCs w:val="24"/>
          <w:lang w:bidi="en-US"/>
        </w:rPr>
      </w:pPr>
    </w:p>
    <w:p w14:paraId="3E6A34FA" w14:textId="77777777" w:rsidR="008858EE" w:rsidRPr="005B1CCB" w:rsidRDefault="008858EE" w:rsidP="00A350BE">
      <w:pPr>
        <w:spacing w:line="360" w:lineRule="auto"/>
        <w:jc w:val="both"/>
        <w:rPr>
          <w:rFonts w:ascii="Palatino Linotype" w:hAnsi="Palatino Linotype"/>
          <w:sz w:val="24"/>
          <w:szCs w:val="24"/>
          <w:lang w:bidi="en-US"/>
        </w:rPr>
      </w:pPr>
    </w:p>
    <w:p w14:paraId="09017B35" w14:textId="67B0A989" w:rsidR="008B4F4A" w:rsidRPr="005B1CCB" w:rsidRDefault="00C955F5" w:rsidP="00C955F5">
      <w:pPr>
        <w:pStyle w:val="Heading1"/>
        <w:jc w:val="center"/>
      </w:pPr>
      <w:r>
        <w:t>-</w:t>
      </w:r>
      <w:r w:rsidR="00E06DAF" w:rsidRPr="005B1CCB">
        <w:t xml:space="preserve"> </w:t>
      </w:r>
      <w:bookmarkStart w:id="33" w:name="_Toc84528044"/>
      <w:r w:rsidR="00E06DAF" w:rsidRPr="00FA3B1C">
        <w:t>THEORETICAL</w:t>
      </w:r>
      <w:r w:rsidR="00E06DAF" w:rsidRPr="005B1CCB">
        <w:t xml:space="preserve"> ASPECTS</w:t>
      </w:r>
      <w:bookmarkEnd w:id="33"/>
    </w:p>
    <w:p w14:paraId="18E04532" w14:textId="77777777" w:rsidR="000313DD" w:rsidRPr="005B1CCB" w:rsidRDefault="000313DD" w:rsidP="000313DD">
      <w:pPr>
        <w:pStyle w:val="Heading2"/>
      </w:pPr>
      <w:bookmarkStart w:id="34" w:name="_Toc84528045"/>
      <w:r w:rsidRPr="005B1CCB">
        <w:t>Bio</w:t>
      </w:r>
      <w:r w:rsidR="00505BAB" w:rsidRPr="005B1CCB">
        <w:t>-</w:t>
      </w:r>
      <w:r w:rsidRPr="005B1CCB">
        <w:t>sensing</w:t>
      </w:r>
      <w:bookmarkEnd w:id="34"/>
    </w:p>
    <w:p w14:paraId="6ECB57B1" w14:textId="7944E60D" w:rsidR="000313DD" w:rsidRPr="005B1CCB" w:rsidRDefault="000313DD" w:rsidP="000313DD">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Sensors measure physical parameters and convert a signal from a non-electrical to an electrical form. </w:t>
      </w:r>
      <w:r w:rsidRPr="00674196">
        <w:rPr>
          <w:rFonts w:ascii="Palatino Linotype" w:hAnsi="Palatino Linotype" w:cs="Times New Roman"/>
          <w:sz w:val="24"/>
          <w:szCs w:val="24"/>
        </w:rPr>
        <w:t>The needs and demand of a biosensor will usually determine the fabrication technology as the selection of materials for the sensing elements</w:t>
      </w:r>
      <w:r w:rsidRPr="005B1CCB">
        <w:rPr>
          <w:rFonts w:ascii="Palatino Linotype" w:hAnsi="Palatino Linotype" w:cs="Times New Roman"/>
          <w:sz w:val="24"/>
          <w:szCs w:val="24"/>
        </w:rPr>
        <w:t xml:space="preserve"> will need to be taken into consideration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{"citationItems":[{"id":"ITEM-1","itemData":{"DOI":"10.3390/bios2030269","ISBN":"2079-6374","abstract":"This editorial summarizes the general approaches of the electrochemical based biosensors described in the manuscripts published in this Special Issue. Electrochemical based biosensors are scientifically and economically important for the detection and early diagnosis of many diseases, and they will be increasing used and developed in the coming years. The importance of the selection of recognition processes, fabrication techniques and biosensor materials will be introduced.","author":[{"dropping-particle":"","family":"Liu","given":"Chung Chiun","non-dropping-particle":"","parse-names":false,"suffix":""}],"container-title":"Biosensors ","id":"ITEM-1","issue":"3","issued":{"date-parts":[["2012"]]},"title":"Electrochemical Based Biosensors","type":"article","volume":"2"},"uris":["http://www.mendeley.com/documents/?uuid=368a41f8-97aa-4bb5-8822-d8e164b50289"]}],"mendeley":{"formattedCitation":"[109]","plainTextFormattedCitation":"[109]","previouslyFormattedCitation":"[109]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[109]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Most electrodes used in electrochemical measurements have customarily featured dimensions on the order of millimetres while “micrometre-scale electrodes” and </w:t>
      </w:r>
      <w:r w:rsidRPr="005B1CCB">
        <w:rPr>
          <w:rFonts w:ascii="Palatino Linotype" w:hAnsi="Palatino Linotype" w:cs="Times New Roman" w:hint="eastAsia"/>
          <w:sz w:val="24"/>
          <w:szCs w:val="24"/>
        </w:rPr>
        <w:t>‘‘</w:t>
      </w:r>
      <w:r w:rsidRPr="005B1CCB">
        <w:rPr>
          <w:rFonts w:ascii="Palatino Linotype" w:hAnsi="Palatino Linotype" w:cs="Times New Roman"/>
          <w:sz w:val="24"/>
          <w:szCs w:val="24"/>
        </w:rPr>
        <w:t>ultra-microelectrodes</w:t>
      </w:r>
      <w:r w:rsidRPr="005B1CCB">
        <w:rPr>
          <w:rFonts w:ascii="Palatino Linotype" w:hAnsi="Palatino Linotype" w:cs="Times New Roman" w:hint="eastAsia"/>
          <w:sz w:val="24"/>
          <w:szCs w:val="24"/>
        </w:rPr>
        <w:t>’’</w:t>
      </w:r>
      <w:r w:rsidRPr="005B1CCB">
        <w:rPr>
          <w:rFonts w:ascii="Palatino Linotype" w:hAnsi="Palatino Linotype" w:cs="Times New Roman"/>
          <w:sz w:val="24"/>
          <w:szCs w:val="24"/>
        </w:rPr>
        <w:t xml:space="preserve"> have recently become popular in applications related to bio</w:t>
      </w:r>
      <w:r w:rsidR="0083293F" w:rsidRPr="005B1CCB">
        <w:rPr>
          <w:rFonts w:ascii="Palatino Linotype" w:hAnsi="Palatino Linotype" w:cs="Times New Roman"/>
          <w:sz w:val="24"/>
          <w:szCs w:val="24"/>
        </w:rPr>
        <w:t>-</w:t>
      </w:r>
      <w:r w:rsidRPr="005B1CCB">
        <w:rPr>
          <w:rFonts w:ascii="Palatino Linotype" w:hAnsi="Palatino Linotype" w:cs="Times New Roman"/>
          <w:sz w:val="24"/>
          <w:szCs w:val="24"/>
        </w:rPr>
        <w:t>sensing. Electrodes with these dimensions provide advantages such as the ability to measure small currents in the range of picoamperes to nanoamperes (pA</w:t>
      </w:r>
      <w:r w:rsidRPr="005B1CCB">
        <w:rPr>
          <w:rFonts w:ascii="Palatino Linotype" w:hAnsi="Palatino Linotype" w:cs="Times New Roman" w:hint="eastAsia"/>
          <w:sz w:val="24"/>
          <w:szCs w:val="24"/>
        </w:rPr>
        <w:t>–</w:t>
      </w:r>
      <w:r w:rsidRPr="005B1CCB">
        <w:rPr>
          <w:rFonts w:ascii="Palatino Linotype" w:hAnsi="Palatino Linotype" w:cs="Times New Roman"/>
          <w:sz w:val="24"/>
          <w:szCs w:val="24"/>
        </w:rPr>
        <w:t xml:space="preserve">nA), low ohmic reduction in electric potential, rapid response to changes in applied potential, efficient diffusional mass transport, and steady-state response at diffusion controlled potential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{"citationItems":[{"id":"ITEM-1","itemData":{"DOI":"10.1039/c4cs00369a","ISSN":"14604744","PMID":"25962356","abstract":"Electrochemistry, biosensors and microfluidics are popular research topics that have attracted widespread attention from chemists, biologists, physicists, and engineers. Here, we introduce the basic concepts and recent histories of electrochemistry, biosensors, and microfluidics, and describe how they are combining to form new application-areas, including so-called \"point-of-care\" systems in which measurements traditionally performed in a laboratory are moved into the field. We propose that this review can serve both as a useful starting-point for researchers who are new to these topics, as well as being a compendium of the current state-of-the art for experts in these evolving areas.","author":[{"dropping-particle":"","family":"Rackus","given":"Darius G.","non-dropping-particle":"","parse-names":false,"suffix":""},{"dropping-particle":"","family":"Shamsi","given":"Mohtashim H.","non-dropping-particle":"","parse-names":false,"suffix":""},{"dropping-particle":"","family":"Wheeler","given":"Aaron R.","non-dropping-particle":"","parse-names":false,"suffix":""}],"container-title":"Chemical Society Reviews","id":"ITEM-1","issue":"15","issued":{"date-parts":[["2015"]]},"page":"5320-5340","publisher":"Royal Society of Chemistry","title":"Electrochemistry, biosensors and microfluidics: a convergence of fields","type":"article-journal","volume":"44"},"uris":["http://www.mendeley.com/documents/?uuid=8c428899-ed97-4858-b7b9-0e5cc72693de"]}],"mendeley":{"formattedCitation":"[110]","plainTextFormattedCitation":"[110]","previouslyFormattedCitation":"[110]"},"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[110]</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674196">
        <w:rPr>
          <w:rFonts w:ascii="Palatino Linotype" w:hAnsi="Palatino Linotype" w:cs="Times New Roman"/>
          <w:sz w:val="24"/>
          <w:szCs w:val="24"/>
        </w:rPr>
        <w:t>Various nanomaterials (materials with dimension ranging from 1-100</w:t>
      </w:r>
      <w:r w:rsidR="0083293F" w:rsidRPr="00674196">
        <w:rPr>
          <w:rFonts w:ascii="Palatino Linotype" w:hAnsi="Palatino Linotype" w:cs="Times New Roman"/>
          <w:sz w:val="24"/>
          <w:szCs w:val="24"/>
        </w:rPr>
        <w:t xml:space="preserve"> </w:t>
      </w:r>
      <w:r w:rsidRPr="00674196">
        <w:rPr>
          <w:rFonts w:ascii="Palatino Linotype" w:hAnsi="Palatino Linotype" w:cs="Times New Roman"/>
          <w:sz w:val="24"/>
          <w:szCs w:val="24"/>
        </w:rPr>
        <w:t>nm</w:t>
      </w:r>
      <w:r w:rsidRPr="005B1CCB">
        <w:rPr>
          <w:rFonts w:ascii="Palatino Linotype" w:hAnsi="Palatino Linotype" w:cs="Times New Roman"/>
          <w:sz w:val="24"/>
          <w:szCs w:val="24"/>
        </w:rPr>
        <w:t xml:space="preserve">) such as carbon materials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{"citationItems":[{"id":"ITEM-1","itemData":{"DOI":"10.1038/am.2012.42","ISSN":"1884-4057","abstract":"Carbon nanomaterials field-effect transistor (FET)-based electrical biosensors provide significant advantages over the current gold standards, holding great potential for realizing direct, label-free, real-time electrical detection of biomolecules in a multiplexed manner with ultrahigh sensitivity and excellent selectivity. The feasibility of integrating them with current complementary metal oxide semiconductor platform and a fluid handling module using standard microfabrication technology opens up new opportunities for the development of low-cost, low-noise, portable electrical biosensors for use in practical future devices. In this article, we review recent progress in the rapidly developing area of biomolecular interaction detection using FET-based biosensors based on the carbon nanomaterials single-walled carbon nanotubes (SWNTs) and graphene. Detection scenarios include DNA–DNA hybridization, DNA–protein interaction, protein function and cellular activity. In particular, we will highlight an amazing property of SWNT- or graphene-FETs in biosensing: their ability to detect biomolecules at the single-molecule level or at the single-cell level. This is due to the size comparability and the surface compatibility of the carbon nanomaterials with biological molecules. We also summarize some current challenges the scientific community is facing, including device-to-device heterogeneity and the lack of system integration for uniform device array mass production.","author":[{"dropping-particle":"","family":"Liu","given":"Song","non-dropping-particle":"","parse-names":false,"suffix":""},{"dropping-particle":"","family":"Guo","given":"Xuefeng","non-dropping-particle":"","parse-names":false,"suffix":""}],"container-title":"NPG Asia Materials","id":"ITEM-1","issue":"8","issued":{"date-parts":[["2012"]]},"page":"e23-e23","title":"Carbon nanomaterials field-effect-transistor-based biosensors","type":"article-journal","volume":"4"},"uris":["http://www.mendeley.com/documents/?uuid=9d9417a2-acbb-4c9a-b7df-ed5632702b3d"]}],"mendeley":{"formattedCitation":"[111]","plainTextFormattedCitation":"[111]","previouslyFormattedCitation":"[111]"},"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[111]</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metal nanoparticles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{"citationItems":[{"id":"ITEM-1","itemData":{"DOI":"10.1088/1757-899X/87/1/012009","ISSN":"1757899X","abstract":"Au and Ag nanoparticles are mainly employed in the fabrication of biosensors owing to their unique optical properties compared to other noble metal nanoparticles. Many biosensors are fabricated for the rapid detection of different analytes such as organic and inorganic molecules, biomolecules like DNA, proteins, biotoxins and pathogens. In this mini review we mainly discuss on the usage of Au and Ag nanoparticles for the fabrication of colorimetric, SERS and two photon based photoluminescence biosensors.","author":[{"dropping-particle":"","family":"Shen","given":"Hui","non-dropping-particle":"","parse-names":false,"suffix":""}],"container-title":"IOP Conference Series: Materials Science and Engineering","id":"ITEM-1","issue":"1","issued":{"date-parts":[["2015"]]},"title":"Plasmonic nanoparticles: Towards the fabrication of biosensors","type":"article-journal","volume":"87"},"uris":["http://www.mendeley.com/documents/?uuid=f60a6eac-3b3a-4096-826f-5a6a4a1e8b62"]}],"mendeley":{"formattedCitation":"[112]","plainTextFormattedCitation":"[112]","previouslyFormattedCitation":"[112]"},"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[112]</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oxide nanoparticles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{"citationItems":[{"id":"ITEM-1","itemData":{"DOI":"10.1007/s00604-013-1069-5","ISSN":"1436-5073","abstract":"Over the past decades, various techniques have been developed to obtain materials at a nanoscale level to design biosensors with high sensitivity, selectivity and efficiency. Metal oxide nanoparticles (MONPs) are of particular interests and have received much attention because of their unique physical, chemical and catalytic properties. This review summarizes the progress made in enzymatic biosensors based on the use of MONPs. Synthetic methods, strategies for immobilization, and the functions of MONPs in enzymatic biosensing systems are reviewed and discussed. The article is subdivided into sections on enzymatic biosensors based on (a) zinc oxide nanoparticles, (b) titanium oxide nanoparticles, (c) iron oxide nanoparticles, and (d) other metal oxide nanoparticles. While substantial advances have been made in MONPs-based enzymatic biosensors, their applications to real samples still lie ahead because issues such as reproducibility and sensor stability have to be solved. The article contains 256 references.","author":[{"dropping-particle":"","family":"Shi","given":"Xinhao","non-dropping-particle":"","parse-names":false,"suffix":""},{"dropping-particle":"","family":"Gu","given":"Wei","non-dropping-particle":"","parse-names":false,"suffix":""},{"dropping-particle":"","family":"Li","given":"Bingyu","non-dropping-particle":"","parse-names":false,"suffix":""},{"dropping-particle":"","family":"Chen","given":"Ningning","non-dropping-particle":"","parse-names":false,"suffix":""},{"dropping-particle":"","family":"Zhao","given":"Kai","non-dropping-particle":"","parse-names":false,"suffix":""},{"dropping-particle":"","family":"Xian","given":"Yuezhong","non-dropping-particle":"","parse-names":false,"suffix":""}],"container-title":"Microchimica Acta","id":"ITEM-1","issue":"1","issued":{"date-parts":[["2014"]]},"page":"1-22","title":"Enzymatic biosensors based on the use of metal oxide nanoparticles","type":"article-journal","volume":"181"},"uris":["http://www.mendeley.com/documents/?uuid=75c7af06-892d-475a-9dbd-7e9d6df453fc"]}],"mendeley":{"formattedCitation":"[113]","plainTextFormattedCitation":"[113]","previouslyFormattedCitation":"[113]"},"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[113]</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and magnetic nanomaterials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{"citationItems":[{"id":"ITEM-1","itemData":{"DOI":"https://doi.org/10.1016/j.nano.2016.07.003","ISSN":"1549-9634","abstract":"It is becoming progressively more understandable that sensitivity and versatility of magnetic biosensors provides unique platform for high performance diagnostics in clinical settings. Confluence of information suggested that magnetic biosensors required well-tailored magnetic particles as probes for detection that generate large and specific biological signal with minimum possible nonspecific binding. However, there are visible knowledge gaps in our understanding of the strategies to overcome existing challenges related to even smaller size of intracellular targets and lower signal-to-noise ratio than that in whole-cell studies, therefore tool designing and development for intracellular measurement and manipulation is problematic. In this review we describe magnetic nanoparticles, synthesis and sensing principles of magnetic nanoparticles as well as surface functionalization and modification and finally magnetic nanoparticles for medical diagnostics. This review gathers important and up-to-date information and may help to develop the method of obtaining magnetic materials especially for medical application.","author":[{"dropping-particle":"","family":"Sobczak-Kupiec","given":"Agnieszka","non-dropping-particle":"","parse-names":false,"suffix":""},{"dropping-particle":"","family":"Venkatesan","given":"Jayachandran","non-dropping-particle":"","parse-names":false,"suffix":""},{"dropping-particle":"","family":"Alhathal AlAnezi","given":"Adnan","non-dropping-particle":"","parse-names":false,"suffix":""},{"dropping-particle":"","family":"Walczyk","given":"Dorota","non-dropping-particle":"","parse-names":false,"suffix":""},{"dropping-particle":"","family":"Farooqi","given":"Ammad","non-dropping-particle":"","parse-names":false,"suffix":""},{"dropping-particle":"","family":"Malina","given":"Dagmara","non-dropping-particle":"","parse-names":false,"suffix":""},{"dropping-particle":"","family":"Hosseini","given":"Seyed Hossein","non-dropping-particle":"","parse-names":false,"suffix":""},{"dropping-particle":"","family":"Tyliszczak","given":"Bozena","non-dropping-particle":"","parse-names":false,"suffix":""}],"container-title":"Nanomedicine: Nanotechnology, Biology and Medicine","id":"ITEM-1","issue":"8","issued":{"date-parts":[["2016"]]},"page":"2459-2473","title":"Magnetic nanomaterials and sensors for biological detection","type":"article-journal","volume":"12"},"uris":["http://www.mendeley.com/documents/?uuid=5aa570d9-e9cb-465c-91ad-b7d7102e3665"]}],"mendeley":{"formattedCitation":"[114]","plainTextFormattedCitation":"[114]","previouslyFormattedCitation":"[114]"},"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[114]</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are usually employed for the development of biosensors due to their unique physiochemical characteristics emerging from their ‘small’ size structures.</w:t>
      </w:r>
    </w:p>
    <w:p w14:paraId="09F01AEA" w14:textId="503511A7" w:rsidR="000313DD" w:rsidRPr="005B1CCB" w:rsidRDefault="000313DD" w:rsidP="000313DD">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Practical application of bio</w:t>
      </w:r>
      <w:r w:rsidR="00505BAB" w:rsidRPr="005B1CCB">
        <w:rPr>
          <w:rFonts w:ascii="Palatino Linotype" w:hAnsi="Palatino Linotype" w:cs="Times New Roman"/>
          <w:sz w:val="24"/>
          <w:szCs w:val="24"/>
        </w:rPr>
        <w:t>-</w:t>
      </w:r>
      <w:r w:rsidRPr="005B1CCB">
        <w:rPr>
          <w:rFonts w:ascii="Palatino Linotype" w:hAnsi="Palatino Linotype" w:cs="Times New Roman"/>
          <w:sz w:val="24"/>
          <w:szCs w:val="24"/>
        </w:rPr>
        <w:t xml:space="preserve">sensing usually comprises of a combination of sampling, preparation, high throughput analysis and reporting all, integrated together as what can be termed a ‘lab on a chip’. Miniaturization, multiplicity, accuracy, cost, and sample size are factors currently being considered by researchers worldwide. </w:t>
      </w:r>
      <w:r w:rsidRPr="00674196">
        <w:rPr>
          <w:rFonts w:ascii="Palatino Linotype" w:hAnsi="Palatino Linotype" w:cs="Times New Roman"/>
          <w:sz w:val="24"/>
          <w:szCs w:val="24"/>
        </w:rPr>
        <w:t>Two common types of recognition molecules used in bio</w:t>
      </w:r>
      <w:r w:rsidR="00505BAB" w:rsidRPr="00674196">
        <w:rPr>
          <w:rFonts w:ascii="Palatino Linotype" w:hAnsi="Palatino Linotype" w:cs="Times New Roman"/>
          <w:sz w:val="24"/>
          <w:szCs w:val="24"/>
        </w:rPr>
        <w:t>-</w:t>
      </w:r>
      <w:r w:rsidRPr="00674196">
        <w:rPr>
          <w:rFonts w:ascii="Palatino Linotype" w:hAnsi="Palatino Linotype" w:cs="Times New Roman"/>
          <w:sz w:val="24"/>
          <w:szCs w:val="24"/>
        </w:rPr>
        <w:t>sensing are catalytic and affinity-based recognition elements</w:t>
      </w:r>
      <w:r w:rsidRPr="005B1CCB">
        <w:rPr>
          <w:rFonts w:ascii="Palatino Linotype" w:hAnsi="Palatino Linotype" w:cs="Times New Roman"/>
          <w:sz w:val="24"/>
          <w:szCs w:val="24"/>
        </w:rPr>
        <w:t xml:space="preserve">. The assay targets are selectively bound in an </w:t>
      </w:r>
      <w:r w:rsidRPr="00674196">
        <w:rPr>
          <w:rFonts w:ascii="Palatino Linotype" w:hAnsi="Palatino Linotype" w:cs="Times New Roman"/>
          <w:sz w:val="24"/>
          <w:szCs w:val="24"/>
        </w:rPr>
        <w:t>affinity-based biosensor and examples of theses recognition molecules include: nucleic acids, signalling receptors and antibodies</w:t>
      </w:r>
      <w:r w:rsidRPr="005B1CCB">
        <w:rPr>
          <w:rFonts w:ascii="Palatino Linotype" w:hAnsi="Palatino Linotype" w:cs="Times New Roman"/>
          <w:sz w:val="24"/>
          <w:szCs w:val="24"/>
        </w:rPr>
        <w:t xml:space="preserve">. In </w:t>
      </w:r>
      <w:r w:rsidRPr="00674196">
        <w:rPr>
          <w:rFonts w:ascii="Palatino Linotype" w:hAnsi="Palatino Linotype" w:cs="Times New Roman"/>
          <w:sz w:val="24"/>
          <w:szCs w:val="24"/>
        </w:rPr>
        <w:t>contrast, catalytic elements like enzymes and biological cells binds the molecule of interest, causing some catalysed chemical conversion of that molecule into a product</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{"citationItems":[{"id":"ITEM-1","itemData":{"DOI":"10.3390/s16101761","ISSN":"14248220","abstract":"In this review we present electrochemical biosensor developments, focusing on screen-printed electrodes (SPEs) and their applications. In particular, we discuss how SPEs enable simple integration, and the portability needed for on-field applications. First, we briefly discuss the general concept of biosensors and quickly move on to electrochemical biosensors. Drawing from research undertaken in this area, we cover the development of electrochemical DNA biosensors in great detail. Through specific examples, we describe the fabrication and surface modification of printed electrodes for sensitive and selective detection of targeted DNA sequences, as well as integration with reverse transcription-polymerase chain reaction (RT-PCR). For a more rounded approach, we also touch on electrochemical immunosensors and enzyme-based biosensors. Last, we present some electrochemical devices specifically developed for use with SPEs, including USB-powered compact mini potentiostat. The coupling demonstrates the practical use of printable electrode technologies for application at point-of-use. Although tremendous advances have indeed been made in this area, a few challenges remain. One of the main challenges is application of these technologies for on-field analysis, which involves complicated sample matrices.","author":[{"dropping-particle":"","family":"Yamanaka","given":"Keiichiro","non-dropping-particle":"","parse-names":false,"suffix":""},{"dropping-particle":"","family":"Vestergaard","given":"Mun’delanji C.","non-dropping-particle":"","parse-names":false,"suffix":""},{"dropping-particle":"","family":"Tamiya","given":"Eiichi","non-dropping-particle":"","parse-names":false,"suffix":""}],"container-title":"Sensors (Switzerland)","id":"ITEM-1","issue":"10","issued":{"date-parts":[["2016"]]},"page":"1-16","title":"Printable electrochemical biosensors: A focus on screen-printed electrodes and their application","type":"article-journal","volume":"16"},"uris":["http://www.mendeley.com/documents/?uuid=2343b118-81f3-4d8a-9d8d-7ead0294449f"]}],"mendeley":{"formattedCitation":"[115]","plainTextFormattedCitation":"[115]","previouslyFormattedCitation":"[115]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p>
    <w:p w14:paraId="5B452EFD" w14:textId="77777777" w:rsidR="000313DD" w:rsidRPr="005B1CCB" w:rsidRDefault="000313DD" w:rsidP="000313DD">
      <w:pPr>
        <w:spacing w:line="360" w:lineRule="auto"/>
        <w:jc w:val="both"/>
        <w:rPr>
          <w:rFonts w:ascii="Palatino Linotype" w:hAnsi="Palatino Linotype" w:cs="Times New Roman"/>
          <w:sz w:val="24"/>
          <w:szCs w:val="24"/>
        </w:rPr>
      </w:pPr>
      <w:r w:rsidRPr="00674196">
        <w:rPr>
          <w:rFonts w:ascii="Palatino Linotype" w:hAnsi="Palatino Linotype" w:cs="Times New Roman"/>
          <w:sz w:val="24"/>
          <w:szCs w:val="24"/>
        </w:rPr>
        <w:t>Biosensors make use of transducers to convert signals between different physical forms</w:t>
      </w:r>
      <w:r w:rsidRPr="005B1CCB">
        <w:rPr>
          <w:rFonts w:ascii="Palatino Linotype" w:hAnsi="Palatino Linotype" w:cs="Times New Roman"/>
          <w:sz w:val="24"/>
          <w:szCs w:val="24"/>
        </w:rPr>
        <w:t>.</w:t>
      </w:r>
    </w:p>
    <w:p w14:paraId="082891A8" w14:textId="77777777" w:rsidR="000313DD" w:rsidRPr="005B1CCB" w:rsidRDefault="000313DD" w:rsidP="000313DD">
      <w:pPr>
        <w:spacing w:line="360" w:lineRule="auto"/>
        <w:rPr>
          <w:rFonts w:ascii="Palatino Linotype" w:hAnsi="Palatino Linotype" w:cs="Times New Roman"/>
          <w:b/>
          <w:sz w:val="24"/>
          <w:szCs w:val="24"/>
          <w:u w:val="single"/>
        </w:rPr>
      </w:pPr>
      <w:r w:rsidRPr="005B1CCB">
        <w:rPr>
          <w:rFonts w:ascii="Palatino Linotype" w:hAnsi="Palatino Linotype" w:cs="Times New Roman"/>
          <w:b/>
          <w:sz w:val="24"/>
          <w:szCs w:val="24"/>
          <w:u w:val="single"/>
        </w:rPr>
        <w:t xml:space="preserve"> Biosensors are generally classified into: </w:t>
      </w:r>
    </w:p>
    <w:p w14:paraId="1768832B" w14:textId="118749D7" w:rsidR="000313DD" w:rsidRPr="005B1CCB" w:rsidRDefault="000313DD" w:rsidP="000313DD">
      <w:pPr>
        <w:pStyle w:val="ListParagraph"/>
        <w:numPr>
          <w:ilvl w:val="0"/>
          <w:numId w:val="4"/>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Electrochemical</w:t>
      </w:r>
      <w:r w:rsidR="00F166EA">
        <w:rPr>
          <w:rFonts w:ascii="Palatino Linotype" w:hAnsi="Palatino Linotype" w:cs="Times New Roman"/>
          <w:sz w:val="24"/>
          <w:szCs w:val="24"/>
        </w:rPr>
        <w:t xml:space="preserve"> biosensors: </w:t>
      </w:r>
      <w:r w:rsidR="007622B3">
        <w:rPr>
          <w:rFonts w:ascii="Palatino Linotype" w:hAnsi="Palatino Linotype" w:cs="Times New Roman"/>
          <w:sz w:val="24"/>
          <w:szCs w:val="24"/>
        </w:rPr>
        <w:t>Th</w:t>
      </w:r>
      <w:r w:rsidR="00816BED">
        <w:rPr>
          <w:rFonts w:ascii="Palatino Linotype" w:hAnsi="Palatino Linotype" w:cs="Times New Roman"/>
          <w:sz w:val="24"/>
          <w:szCs w:val="24"/>
        </w:rPr>
        <w:t xml:space="preserve">ese devices </w:t>
      </w:r>
      <w:r w:rsidR="007622B3">
        <w:rPr>
          <w:rFonts w:ascii="Palatino Linotype" w:hAnsi="Palatino Linotype" w:cs="Times New Roman"/>
          <w:sz w:val="24"/>
          <w:szCs w:val="24"/>
        </w:rPr>
        <w:t>work by transducing biochemical events to electrical signals.</w:t>
      </w:r>
    </w:p>
    <w:p w14:paraId="1F7CD7BF" w14:textId="2C0CB1E6" w:rsidR="000313DD" w:rsidRPr="005B1CCB" w:rsidRDefault="000313DD" w:rsidP="000313DD">
      <w:pPr>
        <w:pStyle w:val="ListParagraph"/>
        <w:numPr>
          <w:ilvl w:val="0"/>
          <w:numId w:val="4"/>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Piezoelectric</w:t>
      </w:r>
      <w:r w:rsidR="00F166EA">
        <w:rPr>
          <w:rFonts w:ascii="Palatino Linotype" w:hAnsi="Palatino Linotype" w:cs="Times New Roman"/>
          <w:sz w:val="24"/>
          <w:szCs w:val="24"/>
        </w:rPr>
        <w:t xml:space="preserve"> biosensors: </w:t>
      </w:r>
      <w:r w:rsidR="00816BED">
        <w:rPr>
          <w:rFonts w:ascii="Palatino Linotype" w:hAnsi="Palatino Linotype" w:cs="Times New Roman"/>
          <w:sz w:val="24"/>
          <w:szCs w:val="24"/>
        </w:rPr>
        <w:t>These devices work on the principle of oscillation change due to a mass bound on the piezoelectrical crystal surface.</w:t>
      </w:r>
    </w:p>
    <w:p w14:paraId="136D8D09" w14:textId="4604A00C" w:rsidR="000313DD" w:rsidRPr="005B1CCB" w:rsidRDefault="000313DD" w:rsidP="000313DD">
      <w:pPr>
        <w:pStyle w:val="ListParagraph"/>
        <w:numPr>
          <w:ilvl w:val="0"/>
          <w:numId w:val="4"/>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Optical</w:t>
      </w:r>
      <w:r w:rsidR="00F166EA">
        <w:rPr>
          <w:rFonts w:ascii="Palatino Linotype" w:hAnsi="Palatino Linotype" w:cs="Times New Roman"/>
          <w:sz w:val="24"/>
          <w:szCs w:val="24"/>
        </w:rPr>
        <w:t xml:space="preserve"> biosensors:</w:t>
      </w:r>
      <w:r w:rsidR="00816BED">
        <w:rPr>
          <w:rFonts w:ascii="Palatino Linotype" w:hAnsi="Palatino Linotype" w:cs="Times New Roman"/>
          <w:sz w:val="24"/>
          <w:szCs w:val="24"/>
        </w:rPr>
        <w:t xml:space="preserve"> These devices containing a biorecognition sensing element that is integrated with a transducer system.</w:t>
      </w:r>
    </w:p>
    <w:p w14:paraId="6CC85328" w14:textId="7E5A9B2F" w:rsidR="000313DD" w:rsidRPr="005B1CCB" w:rsidRDefault="000313DD" w:rsidP="000313DD">
      <w:pPr>
        <w:pStyle w:val="ListParagraph"/>
        <w:numPr>
          <w:ilvl w:val="0"/>
          <w:numId w:val="4"/>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Electronic</w:t>
      </w:r>
      <w:r w:rsidR="00F166EA">
        <w:rPr>
          <w:rFonts w:ascii="Palatino Linotype" w:hAnsi="Palatino Linotype" w:cs="Times New Roman"/>
          <w:sz w:val="24"/>
          <w:szCs w:val="24"/>
        </w:rPr>
        <w:t xml:space="preserve"> biosensors</w:t>
      </w:r>
      <w:r w:rsidR="002829B6">
        <w:rPr>
          <w:rFonts w:ascii="Palatino Linotype" w:hAnsi="Palatino Linotype" w:cs="Times New Roman"/>
          <w:sz w:val="24"/>
          <w:szCs w:val="24"/>
        </w:rPr>
        <w:t>: These devices sense current, voltage and provide signals as inputs for control devices</w:t>
      </w:r>
      <w:r w:rsidR="00816BED">
        <w:rPr>
          <w:rFonts w:ascii="Palatino Linotype" w:hAnsi="Palatino Linotype" w:cs="Times New Roman"/>
          <w:sz w:val="24"/>
          <w:szCs w:val="24"/>
        </w:rPr>
        <w:t>.</w:t>
      </w:r>
    </w:p>
    <w:p w14:paraId="5B0995B2" w14:textId="10D6C0DD" w:rsidR="00F166EA" w:rsidRPr="00492F11" w:rsidRDefault="000313DD" w:rsidP="00F166EA">
      <w:pPr>
        <w:pStyle w:val="ListParagraph"/>
        <w:numPr>
          <w:ilvl w:val="0"/>
          <w:numId w:val="4"/>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 xml:space="preserve">Gravimetric </w:t>
      </w:r>
      <w:r w:rsidR="00F166EA">
        <w:rPr>
          <w:rFonts w:ascii="Palatino Linotype" w:hAnsi="Palatino Linotype" w:cs="Times New Roman"/>
          <w:sz w:val="24"/>
          <w:szCs w:val="24"/>
        </w:rPr>
        <w:t>biosensors:</w:t>
      </w:r>
      <w:r w:rsidR="008026E0">
        <w:rPr>
          <w:rFonts w:ascii="Palatino Linotype" w:hAnsi="Palatino Linotype" w:cs="Times New Roman"/>
          <w:sz w:val="24"/>
          <w:szCs w:val="24"/>
        </w:rPr>
        <w:t xml:space="preserve"> </w:t>
      </w:r>
      <w:r w:rsidR="00816BED">
        <w:rPr>
          <w:rFonts w:ascii="Palatino Linotype" w:hAnsi="Palatino Linotype" w:cs="Times New Roman"/>
          <w:sz w:val="24"/>
          <w:szCs w:val="24"/>
        </w:rPr>
        <w:t>These devices produce a signal based on a change in mass.</w:t>
      </w:r>
    </w:p>
    <w:p w14:paraId="7A4E5D57" w14:textId="77777777" w:rsidR="00505BAB" w:rsidRPr="005B1CCB" w:rsidRDefault="00505BAB" w:rsidP="00505BAB">
      <w:pPr>
        <w:pStyle w:val="ListParagraph"/>
        <w:spacing w:line="360" w:lineRule="auto"/>
        <w:ind w:left="1080"/>
        <w:rPr>
          <w:rFonts w:ascii="Palatino Linotype" w:hAnsi="Palatino Linotype" w:cs="Times New Roman"/>
          <w:sz w:val="24"/>
          <w:szCs w:val="24"/>
        </w:rPr>
      </w:pPr>
    </w:p>
    <w:p w14:paraId="2B5FC480" w14:textId="77777777" w:rsidR="000313DD" w:rsidRPr="005B1CCB" w:rsidRDefault="000313DD" w:rsidP="000313DD">
      <w:pPr>
        <w:pStyle w:val="Heading3"/>
      </w:pPr>
      <w:bookmarkStart w:id="35" w:name="_Toc84528046"/>
      <w:r w:rsidRPr="005B1CCB">
        <w:t>Current biosensors for cancer diagnosis</w:t>
      </w:r>
      <w:bookmarkEnd w:id="35"/>
    </w:p>
    <w:p w14:paraId="14021993" w14:textId="20B2FF65" w:rsidR="000313DD" w:rsidRDefault="00CE49BE" w:rsidP="000313DD">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D45719" w:rsidRPr="005B1CCB">
        <w:rPr>
          <w:rFonts w:ascii="Palatino Linotype" w:hAnsi="Palatino Linotype" w:cs="Times New Roman"/>
          <w:sz w:val="24"/>
          <w:szCs w:val="24"/>
        </w:rPr>
        <w:t>Various</w:t>
      </w:r>
      <w:r w:rsidR="000313DD" w:rsidRPr="005B1CCB">
        <w:rPr>
          <w:rFonts w:ascii="Palatino Linotype" w:hAnsi="Palatino Linotype" w:cs="Times New Roman"/>
          <w:sz w:val="24"/>
          <w:szCs w:val="24"/>
        </w:rPr>
        <w:t xml:space="preserve"> biosensors have been employed in the detection of </w:t>
      </w:r>
      <w:r w:rsidR="00D45719" w:rsidRPr="005B1CCB">
        <w:rPr>
          <w:rFonts w:ascii="Palatino Linotype" w:hAnsi="Palatino Linotype" w:cs="Times New Roman"/>
          <w:sz w:val="24"/>
          <w:szCs w:val="24"/>
        </w:rPr>
        <w:t>different</w:t>
      </w:r>
      <w:r w:rsidR="000313DD" w:rsidRPr="005B1CCB">
        <w:rPr>
          <w:rFonts w:ascii="Palatino Linotype" w:hAnsi="Palatino Linotype" w:cs="Times New Roman"/>
          <w:sz w:val="24"/>
          <w:szCs w:val="24"/>
        </w:rPr>
        <w:t xml:space="preserve"> cancer biomarkers. Some notable ones from literature include: optical biosensors for the detection of Tp53</w:t>
      </w:r>
      <w:r w:rsidR="00703786" w:rsidRPr="005B1CCB">
        <w:rPr>
          <w:rFonts w:ascii="Palatino Linotype" w:hAnsi="Palatino Linotype" w:cs="Times New Roman"/>
          <w:sz w:val="24"/>
          <w:szCs w:val="24"/>
        </w:rPr>
        <w:t xml:space="preserve"> </w:t>
      </w:r>
      <w:r w:rsidR="00A0551A" w:rsidRPr="005B1CCB">
        <w:rPr>
          <w:rFonts w:ascii="Palatino Linotype" w:hAnsi="Palatino Linotype" w:cs="Times New Roman"/>
          <w:sz w:val="24"/>
          <w:szCs w:val="24"/>
        </w:rPr>
        <w:t xml:space="preserve">in breast, colon, neck and lung cancers </w:t>
      </w:r>
      <w:r w:rsidR="00703786"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{"citationItems":[{"id":"ITEM-1","itemData":{"DOI":"https://doi.org/10.1016/j.bios.2004.11.020","ISSN":"0956-5663","abstract":"The TP53 gene has been the subject of intense research since the realisation that inactivation of this gene is common to most cancer types. Numerous publications have linked TP53 mutations in general or at specific locations to patient prognosis and therapy response. The findings of many studies using general approaches such as immunohistochemistry or sequencing are contradictory. However, the detection of specific mutations, especially those occurring in the structurally important L2 and L3 zinc binding domains, which are the most common sites of TP53 mutations, have been linked to patient prognosis and more strongly to radiotherapy and chemotherapy resistance in several major cancers. In this study, the TI-SPR-1 surface plasmon resonance system and Texas Instruments Spreeta™ chips were used to develop a DNA biosensor based on thiolated probes complementary to these domains. The sensors were able to detect these mutations in both oligonucleotides and PCR products with normal and mutant TP53 DNA, but the difference in hybridisation signal was small. Preliminary experiments to enhance the signal using Escherichia coli mismatch repair proteins, MutS and single strand binding protein were carried out. It was found that MutS was unable to bind to mismatch oligonucleotides, but single strand binding protein was able to bind to single stranded probes, which had not hybridised to the target, resulting in a three-fold increase in the sensitivity of the biosensor. While further work needs to be carried out to optimise the system, these preliminary experiments indicate that the TI-SPR-1 can be used for the detection of clinically relevant mutations in the TP53 gene and that the sensitivity can be increased significantly using single strand binding protein. This system has a number of advantages over current mutation detection technologies, including lower cost, ease of sensor preparation and measurement procedures, technical simplicity and increased speed due to the lack of need for gel electrophoresis.","author":[{"dropping-particle":"","family":"Wilson","given":"P K","non-dropping-particle":"","parse-names":false,"suffix":""},{"dropping-particle":"","family":"Jiang","given":"T","non-dropping-particle":"","parse-names":false,"suffix":""},{"dropping-particle":"","family":"Minunni","given":"M E","non-dropping-particle":"","parse-names":false,"suffix":""},{"dropping-particle":"","family":"Turner","given":"A P F","non-dropping-particle":"","parse-names":false,"suffix":""},{"dropping-particle":"","family":"Mascini","given":"M","non-dropping-particle":"","parse-names":false,"suffix":""}],"container-title":"Biosensors and Bioelectronics","id":"ITEM-1","issue":"11","issued":{"date-parts":[["2005"]]},"page":"2310-2313","title":"A novel optical biosensor format for the detection of clinically relevant TP53 mutations","type":"article-journal","volume":"20"},"uris":["http://www.mendeley.com/documents/?uuid=c5cc05c6-ddc6-409a-89ce-03ccb8e91136"]}],"mendeley":{"formattedCitation":"[116]","plainTextFormattedCitation":"[116]","previouslyFormattedCitation":"[116]"},"properties":{"noteIndex":0},"schema":"https://github.com/citation-style-language/schema/raw/master/csl-citation.json"}</w:instrText>
      </w:r>
      <w:r w:rsidR="00703786"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[116]</w:t>
      </w:r>
      <w:r w:rsidR="00703786" w:rsidRPr="005B1CCB">
        <w:rPr>
          <w:rFonts w:ascii="Palatino Linotype" w:hAnsi="Palatino Linotype" w:cs="Times New Roman"/>
          <w:sz w:val="24"/>
          <w:szCs w:val="24"/>
        </w:rPr>
        <w:fldChar w:fldCharType="end"/>
      </w:r>
      <w:r w:rsidR="000313DD" w:rsidRPr="005B1CCB">
        <w:rPr>
          <w:rFonts w:ascii="Palatino Linotype" w:hAnsi="Palatino Linotype" w:cs="Times New Roman"/>
          <w:sz w:val="24"/>
          <w:szCs w:val="24"/>
        </w:rPr>
        <w:t>, EGFR</w:t>
      </w:r>
      <w:r w:rsidR="00703786" w:rsidRPr="005B1CCB">
        <w:rPr>
          <w:rFonts w:ascii="Palatino Linotype" w:hAnsi="Palatino Linotype" w:cs="Times New Roman"/>
          <w:sz w:val="24"/>
          <w:szCs w:val="24"/>
        </w:rPr>
        <w:t xml:space="preserve"> </w:t>
      </w:r>
      <w:r w:rsidR="000824D6" w:rsidRPr="005B1CCB">
        <w:rPr>
          <w:rFonts w:ascii="Palatino Linotype" w:hAnsi="Palatino Linotype" w:cs="Times New Roman"/>
          <w:sz w:val="24"/>
          <w:szCs w:val="24"/>
        </w:rPr>
        <w:t>mutation in non-small cell lung cancer</w:t>
      </w:r>
      <w:r w:rsidR="00703786" w:rsidRPr="005B1CCB">
        <w:rPr>
          <w:rFonts w:ascii="Palatino Linotype" w:hAnsi="Palatino Linotype" w:cs="Times New Roman"/>
          <w:sz w:val="24"/>
          <w:szCs w:val="24"/>
        </w:rPr>
        <w:t xml:space="preserve"> </w:t>
      </w:r>
      <w:r w:rsidR="00703786"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{"citationItems":[{"id":"ITEM-1","itemData":{"DOI":"10.3389/fchem.2019.00724","ISSN":"2296-2646","abstract":"Evanescent-wave optical biosensors have become an attractive alternative for the screening of nucleic acids in the clinical context. They possess highly sensitive transducers able to perform detection of a wide range of nucleic acid-based biomarkers without the need of any label or marker. These optical biosensor platforms are very versatile, allowing the incorporation of an almost limitless range of biorecognition probes precisely and robustly adhered to the sensor surface by covalent surface chemistry approaches. In addition, their application can be further enhanced by their combination with different processes, thanks to their integration with complex and automated microfluidic systems, facilitating the development of multiplexed and user-friendly platforms. The objective of this work is to provide a comprehensive synopsis of cutting-edge analytical strategies based on these label-free optical biosensors able to deal with the drawbacks related to DNA and RNA detection, from single point mutations assays and epigenetic alterations, to bacterial infections. Several plasmonic and silicon photonic-based biosensors are described together with their most recent applications in this area. We also identify and analyse the main challenges faced when attempting to harness this technology and how several innovative approaches introduced in the last years manage those issues, including the use of new biorecognition probes, surface functionalization approaches, signal amplification and enhancement strategies, as well as, sophisticated microfluidic solutions.","author":[{"dropping-particle":"","family":"Huertas","given":"Cesar S","non-dropping-particle":"","parse-names":false,"suffix":""},{"dropping-particle":"","family":"Calvo-Lozano","given":"Olalla","non-dropping-particle":"","parse-names":false,"suffix":""},{"dropping-particle":"","family":"Mitchell","given":"Arnan","non-dropping-particle":"","parse-names":false,"suffix":""},{"dropping-particle":"","family":"Lechuga","given":"Laura M","non-dropping-particle":"","parse-names":false,"suffix":""}],"container-title":"Frontiers in chemistry","id":"ITEM-1","issued":{"date-parts":[["2019","10","25"]]},"language":"eng","page":"724","publisher":"Frontiers Media S.A.","title":"Advanced Evanescent-Wave Optical Biosensors for the Detection of Nucleic Acids: An Analytic Perspective","type":"article-journal","volume":"7"},"uris":["http://www.mendeley.com/documents/?uuid=3591d75b-5da8-47cc-9804-652d4f89c85d"]}],"mendeley":{"formattedCitation":"[117]","plainTextFormattedCitation":"[117]","previouslyFormattedCitation":"[117]"},"properties":{"noteIndex":0},"schema":"https://github.com/citation-style-language/schema/raw/master/csl-citation.json"}</w:instrText>
      </w:r>
      <w:r w:rsidR="00703786"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[117]</w:t>
      </w:r>
      <w:r w:rsidR="00703786" w:rsidRPr="005B1CCB">
        <w:rPr>
          <w:rFonts w:ascii="Palatino Linotype" w:hAnsi="Palatino Linotype" w:cs="Times New Roman"/>
          <w:sz w:val="24"/>
          <w:szCs w:val="24"/>
        </w:rPr>
        <w:fldChar w:fldCharType="end"/>
      </w:r>
      <w:r w:rsidR="000313DD" w:rsidRPr="005B1CCB">
        <w:rPr>
          <w:rFonts w:ascii="Palatino Linotype" w:hAnsi="Palatino Linotype" w:cs="Times New Roman"/>
          <w:sz w:val="24"/>
          <w:szCs w:val="24"/>
        </w:rPr>
        <w:t>, CA19-9</w:t>
      </w:r>
      <w:r w:rsidR="000824D6" w:rsidRPr="005B1CCB">
        <w:rPr>
          <w:rFonts w:ascii="Palatino Linotype" w:hAnsi="Palatino Linotype" w:cs="Times New Roman"/>
          <w:sz w:val="24"/>
          <w:szCs w:val="24"/>
        </w:rPr>
        <w:t xml:space="preserve"> in pancreatic cancer</w:t>
      </w:r>
      <w:r w:rsidR="00D45719" w:rsidRPr="005B1CCB">
        <w:rPr>
          <w:rFonts w:ascii="Palatino Linotype" w:hAnsi="Palatino Linotype" w:cs="Times New Roman"/>
          <w:sz w:val="24"/>
          <w:szCs w:val="24"/>
        </w:rPr>
        <w:t xml:space="preserve"> </w:t>
      </w:r>
      <w:r w:rsidR="00703786"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{"citationItems":[{"id":"ITEM-1","itemData":{"DOI":"10.1038/s41598-017-14688-z","ISSN":"2045-2322","abstract":"Plasmonic gold (Au) nanotriangular arrays, functionalized with a near infrared (NIR) fluorophore-conjugated immunoassay to Carbohydrate Antigen 19-9 (CA 19-9), a pancreatic cancer biomarker, produce optically tunable substrates with two orders of magnitude fluorescence enhancement. Through nanoscale morphological control, the sensitivities of the plasmonic nanotriangular arrays are controllable, paving the way of such optical platforms for multiplexing. Here, we report a limit of detection (LOD) of 7.7 × 10−7 U.mL−1 for CA 19–9 by using such tunable Au nanotriangular arrays, a great improvement compared to commercially available CA 19–9 immunoassays. The linear dynamic range was from 1 × 10−6 U.mL−1 to 1 U.mL−1, i.e. up to six orders of magnitude. Moreover, high specificity was demonstrated, together with successful validation in serum samples. Their superior tunable sensitivity, along with efforts to combine CA 19–9 with other biomarkers for improved accuracy, open up the possibility for multiplexed NIR-fluorescence enhancement microarrays, for early cancer diagnosis and therapeutic monitoring.","author":[{"dropping-particle":"","family":"Jawad","given":"Zaynab A R","non-dropping-particle":"","parse-names":false,"suffix":""},{"dropping-particle":"","family":"Theodorou","given":"Ioannis G","non-dropping-particle":"","parse-names":false,"suffix":""},{"dropping-particle":"","family":"Jiao","given":"Long R","non-dropping-particle":"","parse-names":false,"suffix":""},{"dropping-particle":"","family":"Xie","given":"Fang","non-dropping-particle":"","parse-names":false,"suffix":""}],"container-title":"Scientific Reports","id":"ITEM-1","issue":"1","issued":{"date-parts":[["2017"]]},"page":"14309","title":"Highly Sensitive Plasmonic Detection of the Pancreatic Cancer Biomarker CA 19-9","type":"article-journal","volume":"7"},"uris":["http://www.mendeley.com/documents/?uuid=6fcc3e63-495e-4816-9ea5-8dfe28fe3f5d"]}],"mendeley":{"formattedCitation":"[118]","plainTextFormattedCitation":"[118]","previouslyFormattedCitation":"[118]"},"properties":{"noteIndex":0},"schema":"https://github.com/citation-style-language/schema/raw/master/csl-citation.json"}</w:instrText>
      </w:r>
      <w:r w:rsidR="00703786"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[118]</w:t>
      </w:r>
      <w:r w:rsidR="00703786" w:rsidRPr="005B1CCB">
        <w:rPr>
          <w:rFonts w:ascii="Palatino Linotype" w:hAnsi="Palatino Linotype" w:cs="Times New Roman"/>
          <w:sz w:val="24"/>
          <w:szCs w:val="24"/>
        </w:rPr>
        <w:fldChar w:fldCharType="end"/>
      </w:r>
      <w:r w:rsidR="00A0551A" w:rsidRPr="005B1CCB">
        <w:rPr>
          <w:rFonts w:ascii="Palatino Linotype" w:hAnsi="Palatino Linotype" w:cs="Times New Roman"/>
          <w:sz w:val="24"/>
          <w:szCs w:val="24"/>
        </w:rPr>
        <w:t xml:space="preserve">, </w:t>
      </w:r>
      <w:r w:rsidR="00D45719" w:rsidRPr="005B1CCB">
        <w:rPr>
          <w:rFonts w:ascii="Palatino Linotype" w:hAnsi="Palatino Linotype" w:cs="Times New Roman"/>
          <w:sz w:val="24"/>
          <w:szCs w:val="24"/>
        </w:rPr>
        <w:t xml:space="preserve">and monitoring of proliferation in breast tumour cells </w:t>
      </w:r>
      <w:r w:rsidR="00D45719"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{"citationItems":[{"id":"ITEM-1","itemData":{"DOI":"10.2147/NSA.S13465","ISSN":"11778903","abstract":"The earlier cancer can be detected, the better the chance of a cure. Currently, many cancers are diagnosed only after they have metastasized throughout the body. Effective, accurate methods of cancer detection and clinical diagnosis are urgently needed. Biosensors are devices that are designed to detect a specific biological analyte by essentially converting a biological entity (ie, protein, DNA, RNA) into an electrical signal that can be detected and analyzed. The use of biosensors in cancer detection and monitoring holds vast potential. Biosensors can be designed to detect emerging cancer biomarkers and to determine drug effectiveness at various target sites. Biosensor technology has the potential to provide fast and accurate detection, reliable imaging of cancer cells, and monitoring of angiogenesis and cancer metastasis, and the ability to determine the effectiveness of anticancer chemotherapy agents. This review will briefly summarize the current obstacles to early detection of cancer and the expanding use of biosensors as a diagnostic tool, as well as some future applications of biosensor technology.© 2011 Bohunicky and Mousa, publisher and licensee Dove Medical Press Ltd.","author":[{"dropping-particle":"","family":"Bohunicky","given":"Brian","non-dropping-particle":"","parse-names":false,"suffix":""},{"dropping-particle":"","family":"Mousa","given":"Shaker A.","non-dropping-particle":"","parse-names":false,"suffix":""}],"container-title":"Nanotechnology, Science and Applications","id":"ITEM-1","issue":"1","issued":{"date-parts":[["2011"]]},"page":"1-10","title":"Biosensors: The new wave in cancer diagnosis","type":"article-journal","volume":"4"},"uris":["http://www.mendeley.com/documents/?uuid=49e2c0df-f349-4a40-ba6d-c544735a25ac"]}],"mendeley":{"formattedCitation":"[119]","plainTextFormattedCitation":"[119]","previouslyFormattedCitation":"[119]"},"properties":{"noteIndex":0},"schema":"https://github.com/citation-style-language/schema/raw/master/csl-citation.json"}</w:instrText>
      </w:r>
      <w:r w:rsidR="00D45719"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[119]</w:t>
      </w:r>
      <w:r w:rsidR="00D45719"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r w:rsidR="000313DD" w:rsidRPr="005B1CCB">
        <w:rPr>
          <w:rFonts w:ascii="Palatino Linotype" w:hAnsi="Palatino Linotype" w:cs="Times New Roman"/>
          <w:sz w:val="24"/>
          <w:szCs w:val="24"/>
        </w:rPr>
        <w:t xml:space="preserve"> Mass-based biosensors for the detection of </w:t>
      </w:r>
      <w:r w:rsidRPr="005B1CCB">
        <w:rPr>
          <w:rFonts w:ascii="Palatino Linotype" w:hAnsi="Palatino Linotype" w:cs="Times New Roman"/>
          <w:sz w:val="24"/>
          <w:szCs w:val="24"/>
        </w:rPr>
        <w:t>PSA</w:t>
      </w:r>
      <w:r w:rsidR="000824D6" w:rsidRPr="005B1CCB">
        <w:rPr>
          <w:rFonts w:ascii="Palatino Linotype" w:hAnsi="Palatino Linotype" w:cs="Times New Roman"/>
          <w:sz w:val="24"/>
          <w:szCs w:val="24"/>
        </w:rPr>
        <w:t xml:space="preserve"> in prostate cancer</w:t>
      </w:r>
      <w:r w:rsidR="00A0551A" w:rsidRPr="005B1CCB">
        <w:rPr>
          <w:rFonts w:ascii="Palatino Linotype" w:hAnsi="Palatino Linotype" w:cs="Times New Roman"/>
          <w:sz w:val="24"/>
          <w:szCs w:val="24"/>
        </w:rPr>
        <w:t xml:space="preserve"> </w:t>
      </w:r>
      <w:r w:rsidR="00A0551A"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{"citationItems":[{"id":"ITEM-1","itemData":{"DOI":"10.1007/s00604-017-2410-1","ISSN":"0026-3672","abstract":"Screening serum for the presence of prostate specific antigen (PSA) belongs to the most common approach for the detection of prostate cancer. This review (with 156 refs.) addresses recent developments in PSA detection based on the use of various kinds of nanomaterials. It starts with an introduction into the field, the significance of testing for PSA, and on current limitations. A first main section treats electrochemical biosensors for PSA, with subsections on methods based on the use of gold electrodes, graphene or graphene-oxide, carbon nanotubes, hybrid nanoparticles, and other types of nanoparticles. It also covers electrochemical methods based on the enzyme-like activity of PSA, on DNA-, aptamer- and biofuel cell-based methods, and on the detection of PSA via its glycan part. The next main section covers optical biosensors, with subsections on methods making use of surface plasmon resonance (SPR), localized SPR and plasmonic ELISA-like schemes. This is followed by subsections on methods based on the use of fiber optics, fluorescence, chemiluminescence, Raman scattering and SERS, electrochemiluminescence and cantilever-based methods. The most sensitive biosensors are the electrochemical ones, with lowest limits of detection (down to attomolar concentrations), followed by mass cantilever sensing and electrochemilumenescent strategies. Optical biosensors show lower performance, but are still more sensitive compared to standard ELISA. The most commonly applied nanomaterials are metal and carbon-based ones and their hybrid composites used for different amplification strategies. The most attractive sensing schemes are summarized in a Table. The review ends with a section on conclusions and perspectives.","author":[{"dropping-particle":"","family":"Damborska","given":"Dominika","non-dropping-particle":"","parse-names":false,"suffix":""},{"dropping-particle":"","family":"Bertok","given":"Tomas","non-dropping-particle":"","parse-names":false,"suffix":""},{"dropping-particle":"","family":"Dosekova","given":"Erika","non-dropping-particle":"","parse-names":false,"suffix":""},{"dropping-particle":"","family":"Holazova","given":"Alena","non-dropping-particle":"","parse-names":false,"suffix":""},{"dropping-particle":"","family":"Lorencova","given":"Lenka","non-dropping-particle":"","parse-names":false,"suffix":""},{"dropping-particle":"","family":"Kasak","given":"Peter","non-dropping-particle":"","parse-names":false,"suffix":""},{"dropping-particle":"","family":"Tkac","given":"Jan","non-dropping-particle":"","parse-names":false,"suffix":""}],"container-title":"Mikrochimica acta","id":"ITEM-1","issue":"9","issued":{"date-parts":[["2017","7","14"]]},"language":"eng","page":"3049-3067","title":"Nanomaterial-based biosensors for detection of prostate specific antigen","type":"article-journal","volume":"184"},"uris":["http://www.mendeley.com/documents/?uuid=7b1409db-445c-4119-a878-5aff3ce3b668"]}],"mendeley":{"formattedCitation":"[120]","plainTextFormattedCitation":"[120]","previouslyFormattedCitation":"[120]"},"properties":{"noteIndex":0},"schema":"https://github.com/citation-style-language/schema/raw/master/csl-citation.json"}</w:instrText>
      </w:r>
      <w:r w:rsidR="00A0551A"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[120]</w:t>
      </w:r>
      <w:r w:rsidR="00A0551A"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r w:rsidR="003D2413" w:rsidRPr="005B1CCB">
        <w:rPr>
          <w:rFonts w:ascii="Palatino Linotype" w:hAnsi="Palatino Linotype" w:cs="Times New Roman"/>
          <w:sz w:val="24"/>
          <w:szCs w:val="24"/>
        </w:rPr>
        <w:t xml:space="preserve"> and</w:t>
      </w:r>
      <w:r w:rsidRPr="005B1CCB">
        <w:rPr>
          <w:rFonts w:ascii="Palatino Linotype" w:hAnsi="Palatino Linotype" w:cs="Times New Roman"/>
          <w:sz w:val="24"/>
          <w:szCs w:val="24"/>
        </w:rPr>
        <w:t xml:space="preserve"> CA125 </w:t>
      </w:r>
      <w:r w:rsidR="007F1AB4" w:rsidRPr="005B1CCB">
        <w:rPr>
          <w:rFonts w:ascii="Palatino Linotype" w:hAnsi="Palatino Linotype" w:cs="Times New Roman"/>
          <w:sz w:val="24"/>
          <w:szCs w:val="24"/>
        </w:rPr>
        <w:t xml:space="preserve">in ovarian cancer cells </w:t>
      </w:r>
      <w:r w:rsidR="007F1AB4"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{"citationItems":[{"id":"ITEM-1","itemData":{"DOI":"10.1186/s40580-019-0173-6","ISSN":"2196-5404","abstract":"Integrating microfluidics with biosensors is of great research interest with the increasing trend of lab-on-the chip and point-of-care devices. Though there have been numerous studies performed relating microfluidics to the biosensing mechanisms, the study of the sensitivity variation due to microfluidic flow is very much limited. In this paper, the sensitivity of interdigitated electrodes was evaluated at the static drop condition and the microfluidic flow condition. In addition, this study demonstrates the use of gold nanoparticles to enhance the sensor signal response and provides experimental results of the capacitance difference during cancer antigen-125 (CA-125) antigen-antibody conjugation at multiple concentrations of CA-125 antigens. The experimental results also provide evidence of disease-specific detection of CA-125 antigen at multiple concentrations with the increase in capacitive signal response proportional to the concentration of the CA-125 antigens. The capacitive signal response of antigen-antibody conjugation on interdigitate electrodes has been enhanced by approximately 2.8 times (from 260.80 to 736.33 pF at 20 kHz frequency) in static drop condition and approximately 2.5 times (from 205.85 to 518.48 pF at 20 kHz frequency) in microfluidic flow condition with gold nanoparticle-coating. The capacitive signal response is observed to decrease at microfluidic flow condition at both plain interdigitated electrodes (from 260.80 to 205.85 pF at 20 kHz frequency) and gold nano particle coated interdigitated electrodes (from 736.33 to 518.48 pF at 20 kHz frequency), due to the strong shear effect compared to static drop condition. However, the microfluidic channel in the biosensor has the potential to increase the signal to noise ratio due to plasma separation from the whole blood and lead to the increase concentration of the biomarkers in the blood volume for sensing.","author":[{"dropping-particle":"","family":"Nunna","given":"Bharath Babu","non-dropping-particle":"","parse-names":false,"suffix":""},{"dropping-particle":"","family":"Mandal","given":"Debdyuti","non-dropping-particle":"","parse-names":false,"suffix":""},{"dropping-particle":"","family":"Lee","given":"Joo Un","non-dropping-particle":"","parse-names":false,"suffix":""},{"dropping-particle":"","family":"Singh","given":"Harsimranjit","non-dropping-particle":"","parse-names":false,"suffix":""},{"dropping-particle":"","family":"Zhuang","given":"Shiqiang","non-dropping-particle":"","parse-names":false,"suffix":""},{"dropping-particle":"","family":"Misra","given":"Durgamadhab","non-dropping-particle":"","parse-names":false,"suffix":""},{"dropping-particle":"","family":"Bhuyian","given":"Md Nasir Uddin","non-dropping-particle":"","parse-names":false,"suffix":""},{"dropping-particle":"","family":"Lee","given":"Eon Soo","non-dropping-particle":"","parse-names":false,"suffix":""}],"container-title":"Nano convergence","id":"ITEM-1","issue":"1","issued":{"date-parts":[["2019","1","17"]]},"language":"eng","page":"3","publisher":"Springer Singapore","title":"Detection of cancer antigens (CA-125) using gold nano particles on interdigitated electrode-based microfluidic biosensor","type":"article-journal","volume":"6"},"uris":["http://www.mendeley.com/documents/?uuid=d6c45d5f-aa87-4d4e-a0a9-3806e6d5ec6f"]}],"mendeley":{"formattedCitation":"[121]","plainTextFormattedCitation":"[121]","previouslyFormattedCitation":"[121]"},"properties":{"noteIndex":0},"schema":"https://github.com/citation-style-language/schema/raw/master/csl-citation.json"}</w:instrText>
      </w:r>
      <w:r w:rsidR="007F1AB4"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[121]</w:t>
      </w:r>
      <w:r w:rsidR="007F1AB4"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colorimetric biosensors for the detection of HER2</w:t>
      </w:r>
      <w:r w:rsidR="005E6A65" w:rsidRPr="005B1CCB">
        <w:rPr>
          <w:rFonts w:ascii="Palatino Linotype" w:hAnsi="Palatino Linotype" w:cs="Times New Roman"/>
          <w:sz w:val="24"/>
          <w:szCs w:val="24"/>
        </w:rPr>
        <w:t xml:space="preserve"> in breast cancer </w:t>
      </w:r>
      <w:r w:rsidR="005E6A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{"citationItems":[{"id":"ITEM-1","itemData":{"DOI":"10.3390/bios9020072","ISBN":"2079-6374","abstract":"Detection of the breast cancer cells is important for early diagnosis of the cancer. We applied thickness shear mode acoustics method (TSM) for detection of SK-BR-3 breast cancer cells using DNA aptamers specific to HER2 positive membrane receptors. The biotinylated aptamers were immobilized at the neutravidin layer chemisorbed at gold surface of TSM transducer. Addition of the cells resulted in decrease of resonant frequency, fs, and in increase of motional resistance, Rm. Using gold nanoparticles (AuNPs), modified by aptamers it was possible improving the limit of detection (LOD) that reached 550 cells/mL, while without amplification the sensitivity of the detection of SK-BR-3 cells was 1574 cells/mL. HER2 negative cell line MDA-MB-231 did not resulted in significant changes of fs. The viability studies demonstrated that cells are stable at experimental conditions used during at least 8 h. AuNPs were not toxic on the cells up to concentration of 1 &amp;mu;g/mL.","author":[{"dropping-particle":"","family":"Poturnayová","given":"Alexandra","non-dropping-particle":"","parse-names":false,"suffix":""},{"dropping-particle":"","family":"Dzubinová","given":"Ľudmila","non-dropping-particle":"","parse-names":false,"suffix":""},{"dropping-particle":"","family":"Buríková","given":"Monika","non-dropping-particle":"","parse-names":false,"suffix":""},{"dropping-particle":"","family":"Bízik","given":"Jozef","non-dropping-particle":"","parse-names":false,"suffix":""},{"dropping-particle":"","family":"Hianik","given":"Tibor","non-dropping-particle":"","parse-names":false,"suffix":""}],"container-title":"Biosensors ","id":"ITEM-1","issue":"2","issued":{"date-parts":[["2019"]]},"title":"Detection of Breast Cancer Cells Using Acoustics Aptasensor Specific to HER2 Receptors","type":"article","volume":"9"},"uris":["http://www.mendeley.com/documents/?uuid=7efa0adf-f592-43f6-8743-1d35b0cb47cb"]}],"mendeley":{"formattedCitation":"[122]","plainTextFormattedCitation":"[122]","previouslyFormattedCitation":"[122]"},"properties":{"noteIndex":0},"schema":"https://github.com/citation-style-language/schema/raw/master/csl-citation.json"}</w:instrText>
      </w:r>
      <w:r w:rsidR="005E6A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[122]</w:t>
      </w:r>
      <w:r w:rsidR="005E6A65"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and electrochemical biosensors for the detection of HER2</w:t>
      </w:r>
      <w:r w:rsidR="005E6A65" w:rsidRPr="005B1CCB">
        <w:rPr>
          <w:rFonts w:ascii="Palatino Linotype" w:hAnsi="Palatino Linotype" w:cs="Times New Roman"/>
          <w:sz w:val="24"/>
          <w:szCs w:val="24"/>
        </w:rPr>
        <w:t xml:space="preserve"> </w:t>
      </w:r>
      <w:r w:rsidR="005E6A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{"citationItems":[{"id":"ITEM-1","itemData":{"DOI":"https://doi.org/10.1016/j.bios.2018.05.043","ISSN":"0956-5663","abstract":"Nanocomposite materials have provided a wide range of conductivity, sensitivity, selectivity and linear response for electrochemical biosensors. However, the detection of rare cells at single cell level requires a new class of nanocomposite-coated electrodes with exceptional sensitivity and specificity. We recently developed a construct of gold nanoparticle-grafted functionalized graphene and nanostructured polyaniline (PANI) for high-performance biosensing within a very wide linear response and selective performance. Further, replacing the expensive gold nanoparticles with low-cost silver nanoparticles as well as optimizing the nanocomposite synthesis and functionalization protocols on the electrode surface in this work enabled us to develop ultrasensitive nanocomposites for label-free detection of breast cancer cells. The sensor presented a fast response time of 30</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min within a dynamic range of 10</w:instrText>
      </w:r>
      <w:r w:rsidR="000766C5">
        <w:rPr>
          <w:rFonts w:ascii="Times New Roman" w:hAnsi="Times New Roman" w:cs="Times New Roman"/>
          <w:sz w:val="24"/>
          <w:szCs w:val="24"/>
        </w:rPr>
        <w:instrText> </w:instrText>
      </w:r>
      <w:r w:rsidR="000766C5">
        <w:rPr>
          <w:rFonts w:ascii="Palatino Linotype" w:hAnsi="Palatino Linotype" w:cs="Palatino Linotype"/>
          <w:sz w:val="24"/>
          <w:szCs w:val="24"/>
        </w:rPr>
        <w:instrText>−</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5</w:instrText>
      </w:r>
      <w:r w:rsidR="000766C5">
        <w:rPr>
          <w:rFonts w:ascii="Times New Roman" w:hAnsi="Times New Roman" w:cs="Times New Roman"/>
          <w:sz w:val="24"/>
          <w:szCs w:val="24"/>
        </w:rPr>
        <w:instrText> </w:instrText>
      </w:r>
      <w:r w:rsidR="000766C5">
        <w:rPr>
          <w:rFonts w:ascii="Palatino Linotype" w:hAnsi="Palatino Linotype" w:cs="Palatino Linotype"/>
          <w:sz w:val="24"/>
          <w:szCs w:val="24"/>
        </w:rPr>
        <w:instrText>×</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106 cells</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mL</w:instrText>
      </w:r>
      <w:r w:rsidR="000766C5">
        <w:rPr>
          <w:rFonts w:ascii="Palatino Linotype" w:hAnsi="Palatino Linotype" w:cs="Palatino Linotype"/>
          <w:sz w:val="24"/>
          <w:szCs w:val="24"/>
        </w:rPr>
        <w:instrText>−</w:instrText>
      </w:r>
      <w:r w:rsidR="000766C5">
        <w:rPr>
          <w:rFonts w:ascii="Palatino Linotype" w:hAnsi="Palatino Linotype" w:cs="Times New Roman"/>
          <w:sz w:val="24"/>
          <w:szCs w:val="24"/>
        </w:rPr>
        <w:instrText>1 and with a detection limit of 2</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cells</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mL</w:instrText>
      </w:r>
      <w:r w:rsidR="000766C5">
        <w:rPr>
          <w:rFonts w:ascii="Palatino Linotype" w:hAnsi="Palatino Linotype" w:cs="Palatino Linotype"/>
          <w:sz w:val="24"/>
          <w:szCs w:val="24"/>
        </w:rPr>
        <w:instrText>−</w:instrText>
      </w:r>
      <w:r w:rsidR="000766C5">
        <w:rPr>
          <w:rFonts w:ascii="Palatino Linotype" w:hAnsi="Palatino Linotype" w:cs="Times New Roman"/>
          <w:sz w:val="24"/>
          <w:szCs w:val="24"/>
        </w:rPr>
        <w:instrText>1 for the detection of SK-BR3 breast cancer cell. The nano-biosensor, for the first time, demonstrated a high efficiency of &gt; 90% for the label-free detection of cancer cells in whole blood sample without any need for sample preparation and cell staining. The results demonstrated that the optimized nanocomposite developed in this work is a promising nanomaterial for electrochemical biosensing and with the potential applications in electro-catalysis and super-capacitances.","author":[{"dropping-particle":"","family":"Salahandish","given":"Razieh","non-dropping-particle":"","parse-names":false,"suffix":""},{"dropping-particle":"","family":"Ghaffarinejad","given":"Ali","non-dropping-particle":"","parse-names":false,"suffix":""},{"dropping-particle":"","family":"Naghib","given":"Seyed Morteza","non-dropping-particle":"","parse-names":false,"suffix":""},{"dropping-particle":"","family":"Majidzadeh-A","given":"Keivan","non-dropping-particle":"","parse-names":false,"suffix":""},{"dropping-particle":"","family":"Zargartalebi","given":"Hossein","non-dropping-particle":"","parse-names":false,"suffix":""},{"dropping-particle":"","family":"Sanati-Nezhad","given":"Amir","non-dropping-particle":"","parse-names":false,"suffix":""}],"container-title":"Biosensors and Bioelectronics","id":"ITEM-1","issued":{"date-parts":[["2018"]]},"page":"104-111","title":"Nano-biosensor for highly sensitive detection of HER2 positive breast cancer","type":"article-journal","volume":"117"},"uris":["http://www.mendeley.com/documents/?uuid=13266c4d-9cdb-4317-a7c6-2ff86322b7ab"]}],"mendeley":{"formattedCitation":"[123]","plainTextFormattedCitation":"[123]","previouslyFormattedCitation":"[123]"},"properties":{"noteIndex":0},"schema":"https://github.com/citation-style-language/schema/raw/master/csl-citation.json"}</w:instrText>
      </w:r>
      <w:r w:rsidR="005E6A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[123]</w:t>
      </w:r>
      <w:r w:rsidR="005E6A65"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PSA</w:t>
      </w:r>
      <w:r w:rsidR="005E6A65" w:rsidRPr="005B1CCB">
        <w:rPr>
          <w:rFonts w:ascii="Palatino Linotype" w:hAnsi="Palatino Linotype" w:cs="Times New Roman"/>
          <w:sz w:val="24"/>
          <w:szCs w:val="24"/>
        </w:rPr>
        <w:t xml:space="preserve"> </w:t>
      </w:r>
      <w:r w:rsidR="005E6A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{"citationItems":[{"id":"ITEM-1","itemData":{"DOI":"10.1149/1945-7111/ab69fd","ISSN":"1945-7111","abstract":"Electrochemical biosensors hold great promise for enabling clinical analysis of biomarkers at the point-of-care. This is particularly of interest for cancer management due to the importance of early diagnostics as well as the critical need for frequent treatment monitoring. We have reviewed clinically-relevant electrochemical biosensors that have been developed over the past five years for the analysis of prostate specific antigen (PSA), a model protein target for prostate cancer management. We have critically evaluated the key performance metrics of these biosensors for clinical translation: limit-of-detection, linear range, and recovery rate in bodily fluids. These PSA electrochemical biosensors can be broadly categorized as sandwich assays, direct detection assays, and indirect detection assays. Among these, indirect detection assays deliver the lowest limit-of-detection. We have identified the development of multiplexed assays for detecting a panel of cancer biomarkers that includes a combination of protein and nucleic acids targets as a key priority for future development.","author":[{"dropping-particle":"","family":"Traynor","given":"Sarah M","non-dropping-particle":"","parse-names":false,"suffix":""},{"dropping-particle":"","family":"Pandey","given":"Richa","non-dropping-particle":"","parse-names":false,"suffix":""},{"dropping-particle":"","family":"Maclachlan","given":"Roderick","non-dropping-particle":"","parse-names":false,"suffix":""},{"dropping-particle":"","family":"Hosseini","given":"Amin","non-dropping-particle":"","parse-names":false,"suffix":""},{"dropping-particle":"","family":"Didar","given":"Tohid F","non-dropping-particle":"","parse-names":false,"suffix":""},{"dropping-particle":"","family":"Li","given":"Feng","non-dropping-particle":"","parse-names":false,"suffix":""},{"dropping-particle":"","family":"Soleymani","given":"Leyla","non-dropping-particle":"","parse-names":false,"suffix":""}],"container-title":"Journal of The Electrochemical Society","id":"ITEM-1","issue":"3","issued":{"date-parts":[["2020"]]},"page":"37551","publisher":"The Electrochemical Society","title":"Review—Recent Advances in Electrochemical Detection of Prostate Specific Antigen (PSA) in Clinically-Relevant Samples","type":"article-journal","volume":"167"},"uris":["http://www.mendeley.com/documents/?uuid=d398e06c-bcc4-4fe3-b0fb-b906a2e3ae3d"]}],"mendeley":{"formattedCitation":"[124]","plainTextFormattedCitation":"[124]","previouslyFormattedCitation":"[124]"},"properties":{"noteIndex":0},"schema":"https://github.com/citation-style-language/schema/raw/master/csl-citation.json"}</w:instrText>
      </w:r>
      <w:r w:rsidR="005E6A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[124]</w:t>
      </w:r>
      <w:r w:rsidR="005E6A65"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KRAS</w:t>
      </w:r>
      <w:r w:rsidR="005E6A65" w:rsidRPr="005B1CCB">
        <w:rPr>
          <w:rFonts w:ascii="Palatino Linotype" w:hAnsi="Palatino Linotype" w:cs="Times New Roman"/>
          <w:sz w:val="24"/>
          <w:szCs w:val="24"/>
        </w:rPr>
        <w:t xml:space="preserve"> </w:t>
      </w:r>
      <w:r w:rsidR="005E6A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{"citationItems":[{"id":"ITEM-1","itemData":{"DOI":"https://doi.org/10.1016/j.talanta.2019.01.105","ISSN":"0039-9140","abstract":"KRAS G12D point mutation plays an important role in the incidence of non-small-cell lung cancer (NSCLC) as well as colorectal cancer, pancreatic cancer and breast cancer. Here, we developed a novel anchor-like DNA (alDNA) electrochemical sensor for the detection of KRAS point mutation level (the concentration ratio of the specific KRAS point mutant DNA (M-DNA) to the total DNA (t-DNA) of both mutant and wild-type DNAs carrying the same allele). Compared to those conventional ligation-based DNA sensors, the proposed alDNA sensor achieved the one-step capture of both wild-type and mutant DNA, and the subsequent detection on one chip, which effectively decreased systematic errors from the uncertain differences on the interfacial structural and microenvironmental changes, improved the detection accuracy. Also, with the usage of formamide-NaCl solution, the whole detection process including the denaturation of double-stranded DNA was performed under mild temperature conditions (~40</w:instrText>
      </w:r>
      <w:r w:rsidR="000766C5">
        <w:rPr>
          <w:rFonts w:ascii="Times New Roman" w:hAnsi="Times New Roman" w:cs="Times New Roman"/>
          <w:sz w:val="24"/>
          <w:szCs w:val="24"/>
        </w:rPr>
        <w:instrText> </w:instrText>
      </w:r>
      <w:r w:rsidR="000766C5">
        <w:rPr>
          <w:rFonts w:ascii="Palatino Linotype" w:hAnsi="Palatino Linotype" w:cs="Palatino Linotype"/>
          <w:sz w:val="24"/>
          <w:szCs w:val="24"/>
        </w:rPr>
        <w:instrText>°</w:instrText>
      </w:r>
      <w:r w:rsidR="000766C5">
        <w:rPr>
          <w:rFonts w:ascii="Palatino Linotype" w:hAnsi="Palatino Linotype" w:cs="Times New Roman"/>
          <w:sz w:val="24"/>
          <w:szCs w:val="24"/>
        </w:rPr>
        <w:instrText>C). It greatly decreased the cost and improved the reproducibility and feasibility of the method. Based on it, the linear correlations with the logarithm of concentration in wide range from 0.1</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pM to 10</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nM for t-DNA and from 100</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pM to 10</w:instrText>
      </w:r>
      <w:r w:rsidR="000766C5">
        <w:rPr>
          <w:rFonts w:ascii="Times New Roman" w:hAnsi="Times New Roman" w:cs="Times New Roman"/>
          <w:sz w:val="24"/>
          <w:szCs w:val="24"/>
        </w:rPr>
        <w:instrText> </w:instrText>
      </w:r>
      <w:r w:rsidR="000766C5">
        <w:rPr>
          <w:rFonts w:ascii="Palatino Linotype" w:hAnsi="Palatino Linotype" w:cs="Times New Roman"/>
          <w:sz w:val="24"/>
          <w:szCs w:val="24"/>
        </w:rPr>
        <w:instrText>nM for M-DNA were achieved, respectively. The analysis of t-DNA- and M-DNA-spiked human serum samples revealed the high accuracy of the method. This alDNA sensor is convenient, low-cost and time-saving, with broad dynamic range, high sensitivity and selectivity. It can meet the demands of the clinical detection on the KRAS point mutation level in blood samples, which means significant for the earlier NSCLC diagnosis, individualized treatment, and therapeutic efficacy evaluation.","author":[{"dropping-particle":"","family":"Zeng","given":"Ni","non-dropping-particle":"","parse-names":false,"suffix":""},{"dropping-particle":"","family":"Xiang","given":"Juan","non-dropping-particle":"","parse-names":false,"suffix":""}],"container-title":"Talanta","id":"ITEM-1","issued":{"date-parts":[["2019"]]},"page":"111-117","title":"Detection of KRAS G12D point mutation level by anchor-like DNA electrochemical biosensor","type":"article-journal","volume":"198"},"uris":["http://www.mendeley.com/documents/?uuid=7aab69c0-d144-4d5b-b211-d55612fa4e57"]}],"mendeley":{"formattedCitation":"[125]","plainTextFormattedCitation":"[125]","previouslyFormattedCitation":"[125]"},"properties":{"noteIndex":0},"schema":"https://github.com/citation-style-language/schema/raw/master/csl-citation.json"}</w:instrText>
      </w:r>
      <w:r w:rsidR="005E6A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[125]</w:t>
      </w:r>
      <w:r w:rsidR="005E6A65"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005E6A65" w:rsidRPr="005B1CCB">
        <w:rPr>
          <w:rFonts w:ascii="Palatino Linotype" w:hAnsi="Palatino Linotype" w:cs="Times New Roman"/>
          <w:sz w:val="24"/>
          <w:szCs w:val="24"/>
        </w:rPr>
        <w:t xml:space="preserve">in colorectal, pancreatic and lung cancers </w:t>
      </w:r>
      <w:r w:rsidRPr="005B1CCB">
        <w:rPr>
          <w:rFonts w:ascii="Palatino Linotype" w:hAnsi="Palatino Linotype" w:cs="Times New Roman"/>
          <w:sz w:val="24"/>
          <w:szCs w:val="24"/>
        </w:rPr>
        <w:t>and VEGF</w:t>
      </w:r>
      <w:r w:rsidR="00473EC8" w:rsidRPr="005B1CCB">
        <w:rPr>
          <w:rFonts w:ascii="Palatino Linotype" w:hAnsi="Palatino Linotype" w:cs="Times New Roman"/>
          <w:sz w:val="24"/>
          <w:szCs w:val="24"/>
        </w:rPr>
        <w:t xml:space="preserve"> </w:t>
      </w:r>
      <w:r w:rsidR="00473EC8"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{"citationItems":[{"id":"ITEM-1","itemData":{"DOI":"https://doi.org/10.1016/j.bios.2016.01.077","ISSN":"0956-5663","abstract":"Early diagnosis of prostate cancer (PCa) is critical for the prevention of metastasis and for early treatment; therefore, a simple and accurate device must be developed for this purpose. In this study, we reported a novel fabrication method for producing a dual-modality biosensor that can simultaneously detect vascular endothelial growth factor (VEGF) and prostate-specific antigen (PSA) in human serum for early diagnosis of PCa. This biosensor was constructed by coating graphene oxide/ssDNA (GO-ssDNA) on an Au-electrode for VEGF detection, and incorporated with poly-L-lactide nanoparticles (PLLA NPs) for signal amplification and PSA detection. The results showed that this biosensor has wide liner detection ranges (0.05–100ng/mL for VEGF and 1–100ng/mL for PSA), as well as high levels of sensitivity and selectivity (i.e., resisting interference from external factors, such as glucose, ascorbic acid human serum protein, immunoglobulin G, and immunoglobulin M), and demonstrated a high correlation with an enzyme-linked immunosorbent assay for sample detection in patients. Therefore, this biosensor could be utilized for early clinical diagnosis of PCa in the future.","author":[{"dropping-particle":"","family":"Pan","given":"Lung-Hsuan","non-dropping-particle":"","parse-names":false,"suffix":""},{"dropping-particle":"","family":"Kuo","given":"Shin-Hung","non-dropping-particle":"","parse-names":false,"suffix":""},{"dropping-particle":"","family":"Lin","given":"Tzu-Yang","non-dropping-particle":"","parse-names":false,"suffix":""},{"dropping-particle":"","family":"Lin","given":"Chih-Wen","non-dropping-particle":"","parse-names":false,"suffix":""},{"dropping-particle":"","family":"Fang","given":"Po-Yu","non-dropping-particle":"","parse-names":false,"suffix":""},{"dropping-particle":"","family":"Yang","given":"Hung-Wei","non-dropping-particle":"","parse-names":false,"suffix":""}],"container-title":"Biosensors and Bioelectronics","id":"ITEM-1","issued":{"date-parts":[["2017"]]},"page":"598-605","title":"An electrochemical biosensor to simultaneously detect VEGF and PSA for early prostate cancer diagnosis based on graphene oxide/ssDNA/PLLA nanoparticles","type":"article-journal","volume":"89"},"uris":["http://www.mendeley.com/documents/?uuid=9901dadd-12bc-4757-85ae-13c113b40ea5"]}],"mendeley":{"formattedCitation":"[126]","plainTextFormattedCitation":"[126]","previouslyFormattedCitation":"[126]"},"properties":{"noteIndex":0},"schema":"https://github.com/citation-style-language/schema/raw/master/csl-citation.json"}</w:instrText>
      </w:r>
      <w:r w:rsidR="00473EC8"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[126]</w:t>
      </w:r>
      <w:r w:rsidR="00473EC8" w:rsidRPr="005B1CCB">
        <w:rPr>
          <w:rFonts w:ascii="Palatino Linotype" w:hAnsi="Palatino Linotype" w:cs="Times New Roman"/>
          <w:sz w:val="24"/>
          <w:szCs w:val="24"/>
        </w:rPr>
        <w:fldChar w:fldCharType="end"/>
      </w:r>
      <w:r w:rsidR="00473EC8" w:rsidRPr="005B1CCB">
        <w:rPr>
          <w:rFonts w:ascii="Palatino Linotype" w:hAnsi="Palatino Linotype" w:cs="Times New Roman"/>
          <w:sz w:val="24"/>
          <w:szCs w:val="24"/>
        </w:rPr>
        <w:t xml:space="preserve"> in most solid tumours including prostate and breast cancers</w:t>
      </w:r>
      <w:r w:rsidRPr="005B1CCB">
        <w:rPr>
          <w:rFonts w:ascii="Palatino Linotype" w:hAnsi="Palatino Linotype" w:cs="Times New Roman"/>
          <w:sz w:val="24"/>
          <w:szCs w:val="24"/>
        </w:rPr>
        <w:t>.</w:t>
      </w:r>
    </w:p>
    <w:p w14:paraId="2F9BE349" w14:textId="77777777" w:rsidR="00F15C33" w:rsidRPr="005B1CCB" w:rsidRDefault="00F15C33" w:rsidP="000313DD">
      <w:pPr>
        <w:spacing w:line="360" w:lineRule="auto"/>
        <w:jc w:val="both"/>
        <w:rPr>
          <w:rFonts w:ascii="Palatino Linotype" w:hAnsi="Palatino Linotype" w:cs="Times New Roman"/>
          <w:sz w:val="24"/>
          <w:szCs w:val="24"/>
        </w:rPr>
      </w:pPr>
    </w:p>
    <w:p w14:paraId="0A6B3AEB" w14:textId="77777777" w:rsidR="00B600BA" w:rsidRPr="005B1CCB" w:rsidRDefault="00B600BA" w:rsidP="00B600BA">
      <w:pPr>
        <w:pStyle w:val="Heading2"/>
      </w:pPr>
      <w:bookmarkStart w:id="36" w:name="_Toc84528047"/>
      <w:r w:rsidRPr="005B1CCB">
        <w:t>Sequence specific DNA detection</w:t>
      </w:r>
      <w:bookmarkEnd w:id="36"/>
    </w:p>
    <w:p w14:paraId="4EC00337" w14:textId="2718E433" w:rsidR="00B600BA" w:rsidRPr="005B1CCB" w:rsidRDefault="00B600BA" w:rsidP="00B600BA">
      <w:pPr>
        <w:autoSpaceDE w:val="0"/>
        <w:autoSpaceDN w:val="0"/>
        <w:spacing w:line="360" w:lineRule="auto"/>
        <w:jc w:val="both"/>
        <w:rPr>
          <w:rFonts w:ascii="Palatino Linotype" w:hAnsi="Palatino Linotype" w:cs="Times New Roman"/>
          <w:sz w:val="24"/>
          <w:szCs w:val="24"/>
        </w:rPr>
      </w:pPr>
      <w:r w:rsidRPr="005B1CCB">
        <w:rPr>
          <w:rFonts w:ascii="Palatino Linotype" w:eastAsia="Times New Roman" w:hAnsi="Palatino Linotype" w:cs="Times New Roman"/>
          <w:sz w:val="24"/>
          <w:szCs w:val="24"/>
          <w:lang w:val="en-US"/>
        </w:rPr>
        <w:t xml:space="preserve">   Nucleic acid sensors utilize sequence-specific base pairing between nucleic acids and their complement </w:t>
      </w:r>
      <w:r w:rsidRPr="005B1CCB">
        <w:rPr>
          <w:rFonts w:ascii="Palatino Linotype" w:eastAsia="Times New Roman" w:hAnsi="Palatino Linotype" w:cs="Times New Roman"/>
          <w:sz w:val="24"/>
          <w:szCs w:val="24"/>
          <w:lang w:val="en-US"/>
        </w:rPr>
        <w:fldChar w:fldCharType="begin" w:fldLock="1"/>
      </w:r>
      <w:r w:rsidR="000766C5">
        <w:rPr>
          <w:rFonts w:ascii="Palatino Linotype" w:eastAsia="Times New Roman" w:hAnsi="Palatino Linotype" w:cs="Times New Roman"/>
          <w:sz w:val="24"/>
          <w:szCs w:val="24"/>
          <w:lang w:val="en-US"/>
        </w:rPr>
        <w:instrText>ADDIN CSL_CITATION {"citationItems":[{"id":"ITEM-1","itemData":{"DOI":"10.1039/c4cs00369a","ISSN":"14604744","PMID":"25962356","abstract":"Electrochemistry, biosensors and microfluidics are popular research topics that have attracted widespread attention from chemists, biologists, physicists, and engineers. Here, we introduce the basic concepts and recent histories of electrochemistry, biosensors, and microfluidics, and describe how they are combining to form new application-areas, including so-called \"point-of-care\" systems in which measurements traditionally performed in a laboratory are moved into the field. We propose that this review can serve both as a useful starting-point for researchers who are new to these topics, as well as being a compendium of the current state-of-the art for experts in these evolving areas.","author":[{"dropping-particle":"","family":"Rackus","given":"Darius G.","non-dropping-particle":"","parse-names":false,"suffix":""},{"dropping-particle":"","family":"Shamsi","given":"Mohtashim H.","non-dropping-particle":"","parse-names":false,"suffix":""},{"dropping-particle":"","family":"Wheeler","given":"Aaron R.","non-dropping-particle":"","parse-names":false,"suffix":""}],"container-title":"Chemical Society Reviews","id":"ITEM-1","issue":"15","issued":{"date-parts":[["2015"]]},"page":"5320-5340","publisher":"Royal Society of Chemistry","title":"Electrochemistry, biosensors and microfluidics: a convergence of fields","type":"article-journal","volume":"44"},"uris":["http://www.mendeley.com/documents/?uuid=8c428899-ed97-4858-b7b9-0e5cc72693de"]}],"mendeley":{"formattedCitation":"[110]","plainTextFormattedCitation":"[110]","previouslyFormattedCitation":"[110]"},"properties":{"noteIndex":0},"schema":"https://github.com/citation-style-language/schema/raw/master/csl-citation.json"}</w:instrText>
      </w:r>
      <w:r w:rsidRPr="005B1CCB">
        <w:rPr>
          <w:rFonts w:ascii="Palatino Linotype" w:eastAsia="Times New Roman" w:hAnsi="Palatino Linotype" w:cs="Times New Roman"/>
          <w:sz w:val="24"/>
          <w:szCs w:val="24"/>
          <w:lang w:val="en-US"/>
        </w:rPr>
        <w:fldChar w:fldCharType="separate"/>
      </w:r>
      <w:r w:rsidR="005F2946" w:rsidRPr="005F2946">
        <w:rPr>
          <w:rFonts w:ascii="Palatino Linotype" w:eastAsia="Times New Roman" w:hAnsi="Palatino Linotype" w:cs="Times New Roman"/>
          <w:noProof/>
          <w:sz w:val="24"/>
          <w:szCs w:val="24"/>
          <w:lang w:val="en-US"/>
        </w:rPr>
        <w:t>[110]</w:t>
      </w:r>
      <w:r w:rsidRPr="005B1CCB">
        <w:rPr>
          <w:rFonts w:ascii="Palatino Linotype" w:eastAsia="Times New Roman" w:hAnsi="Palatino Linotype" w:cs="Times New Roman"/>
          <w:sz w:val="24"/>
          <w:szCs w:val="24"/>
          <w:lang w:val="en-US"/>
        </w:rPr>
        <w:fldChar w:fldCharType="end"/>
      </w:r>
      <w:r w:rsidRPr="005B1CCB">
        <w:rPr>
          <w:rFonts w:ascii="Palatino Linotype" w:eastAsia="Times New Roman" w:hAnsi="Palatino Linotype" w:cs="Times New Roman"/>
          <w:sz w:val="24"/>
          <w:szCs w:val="24"/>
          <w:lang w:val="en-US"/>
        </w:rPr>
        <w:t xml:space="preserve">. </w:t>
      </w:r>
      <w:r w:rsidRPr="005B1CCB">
        <w:rPr>
          <w:rFonts w:ascii="Palatino Linotype" w:hAnsi="Palatino Linotype" w:cs="Times New Roman"/>
          <w:sz w:val="24"/>
          <w:szCs w:val="24"/>
        </w:rPr>
        <w:t xml:space="preserve">PoC tests that detect somatic mutations present the promise of ideal specificity because they are founded on driver gene mutations that are commonly seen in an abnormal clonal proliferation of cells like cancers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{"citationItems":[{"id":"ITEM-1","itemData":{"DOI":"10.1126/science.aar3247","ISSN":"0036-8075","PMID":"29348365","abstract":"Earlier detection is key to reducing cancer deaths. Here we describe a blood test that can detect eight common cancer types through assessment of the levels of circulating proteins and mutations in cell-free DNA. We applied this test, called CancerSEEK, to 1,005 patients with non-metastatic, clinically detected cancers of the ovary, liver, stomach, pancreas, esophagus, colorectum, lung, or breast. CancerSEEK tests were positive in a median of 70% of the eight cancer types. The sensitivities ranged from 69% to 98% for the detection of five cancer types (ovary, liver, stomach, pancreas, and esophagus) for which there are no screening tests available for average-risk individuals. The specificity of CancerSEEK was &gt; 99%: only 7 of 812 healthy controls scored positive. In addition, CancerSEEK localized the cancer to a small number of anatomic sites in a median of 83% of the patients.","author":[{"dropping-particle":"","family":"Cohen","given":"Joshua D.","non-dropping-particle":"","parse-names":false,"suffix":""},{"dropping-particle":"","family":"Li","given":"Lu","non-dropping-particle":"","parse-names":false,"suffix":""},{"dropping-particle":"","family":"Wang","given":"Yuxuan","non-dropping-particle":"","parse-names":false,"suffix":""},{"dropping-particle":"","family":"Thoburn","given":"Christopher","non-dropping-particle":"","parse-names":false,"suffix":""},{"dropping-particle":"","family":"Afsari","given":"Bahman","non-dropping-particle":"","parse-names":false,"suffix":""},{"dropping-particle":"","family":"Danilova","given":"Ludmila","non-dropping-particle":"","parse-names":false,"suffix":""},{"dropping-particle":"","family":"Douville","given":"Christopher","non-dropping-particle":"","parse-names":false,"suffix":""},{"dropping-particle":"","family":"Javed","given":"Ammar A.","non-dropping-particle":"","parse-names":false,"suffix":""},{"dropping-particle":"","family":"Wong","given":"Fay","non-dropping-particle":"","parse-names":false,"suffix":""},{"dropping-particle":"","family":"Mattox","given":"Austin","non-dropping-particle":"","parse-names":false,"suffix":""},{"dropping-particle":"","family":"Hruban","given":"Ralph. H.","non-dropping-particle":"","parse-names":false,"suffix":""},{"dropping-particle":"","family":"Wolfgang","given":"Christopher L.","non-dropping-particle":"","parse-names":false,"suffix":""},{"dropping-particle":"","family":"Goggins","given":"Michael G.","non-dropping-particle":"","parse-names":false,"suffix":""},{"dropping-particle":"","family":"Dal Molin","given":"Marco","non-dropping-particle":"","parse-names":false,"suffix":""},{"dropping-particle":"","family":"Wang","given":"Tian-Li","non-dropping-particle":"","parse-names":false,"suffix":""},{"dropping-particle":"","family":"Roden","given":"Richard","non-dropping-particle":"","parse-names":false,"suffix":""},{"dropping-particle":"","family":"Klein","given":"Alison P.","non-dropping-particle":"","parse-names":false,"suffix":""},{"dropping-particle":"","family":"Ptak","given":"Janine","non-dropping-particle":"","parse-names":false,"suffix":""},{"dropping-particle":"","family":"Dobbyn","given":"Lisa","non-dropping-particle":"","parse-names":false,"suffix":""},{"dropping-particle":"","family":"Schaefer","given":"Joy","non-dropping-particle":"","parse-names":false,"suffix":""},{"dropping-particle":"","family":"Silliman","given":"Natalie","non-dropping-particle":"","parse-names":false,"suffix":""},{"dropping-particle":"","family":"Popoli","given":"Maria","non-dropping-particle":"","parse-names":false,"suffix":""},{"dropping-particle":"","family":"Vogelstein","given":"Joshua T.","non-dropping-particle":"","parse-names":false,"suffix":""},{"dropping-particle":"","family":"Browne","given":"James D.","non-dropping-particle":"","parse-names":false,"suffix":""},{"dropping-particle":"","family":"Schoen","given":"Robert E.","non-dropping-particle":"","parse-names":false,"suffix":""},{"dropping-particle":"","family":"Brand","given":"Randall E.","non-dropping-particle":"","parse-names":false,"suffix":""},{"dropping-particle":"","family":"Tie","given":"Jeanne","non-dropping-particle":"","parse-names":false,"suffix":""},{"dropping-particle":"","family":"Gibbs","given":"Peter","non-dropping-particle":"","parse-names":false,"suffix":""},{"dropping-particle":"","family":"Wong","given":"Hui-Li","non-dropping-particle":"","parse-names":false,"suffix":""},{"dropping-particle":"","family":"Mansfield","given":"Aaron S.","non-dropping-particle":"","parse-names":false,"suffix":""},{"dropping-particle":"","family":"Jen","given":"Jin","non-dropping-particle":"","parse-names":false,"suffix":""},{"dropping-particle":"","family":"Hanash","given":"Samir M.","non-dropping-particle":"","parse-names":false,"suffix":""},{"dropping-particle":"","family":"Falconi","given":"Massimo","non-dropping-particle":"","parse-names":false,"suffix":""},{"dropping-particle":"","family":"Allen","given":"Peter J.","non-dropping-particle":"","parse-names":false,"suffix":""},{"dropping-particle":"","family":"Zhou","given":"Shibin","non-dropping-particle":"","parse-names":false,"suffix":""},{"dropping-particle":"","family":"Bettegowda","given":"Chetan","non-dropping-particle":"","parse-names":false,"suffix":""},{"dropping-particle":"","family":"Diaz","given":"Luis","non-dropping-particle":"","parse-names":false,"suffix":""},{"dropping-particle":"","family":"Tomasetti","given":"Cristian","non-dropping-particle":"","parse-names":false,"suffix":""},{"dropping-particle":"","family":"Kinzler","given":"Kenneth W.","non-dropping-particle":"","parse-names":false,"suffix":""},{"dropping-particle":"","family":"Vogelstein","given":"Bert","non-dropping-particle":"","parse-names":false,"suffix":""},{"dropping-particle":"","family":"Lennon","given":"Anne Marie","non-dropping-particle":"","parse-names":false,"suffix":""},{"dropping-particle":"","family":"Papadopoulos","given":"Nickolas","non-dropping-particle":"","parse-names":false,"suffix":""}],"container-title":"Science","id":"ITEM-1","issue":"January","issued":{"date-parts":[["2018"]]},"page":"eaar3247","title":"Detection and localization of surgically resectable cancers with a multi-analyte blood test","type":"article-journal","volume":"3247"},"uris":["http://www.mendeley.com/documents/?uuid=f8959d36-d8f2-4f89-981c-9e690872efae"]}],"mendeley":{"formattedCitation":"[84]","plainTextFormattedCitation":"[84]","previouslyFormattedCitation":"[84]"},"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[84]</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8lc00100f","author":[{"dropping-particle":"","family":"Gorgannezhad","given":"Lena","non-dropping-particle":"","parse-names":false,"suffix":""},{"dropping-particle":"","family":"Umer","given":"Muhammad","non-dropping-particle":"","parse-names":false,"suffix":""},{"dropping-particle":"","family":"Islam","given":"Nazmul","non-dropping-particle":"","parse-names":false,"suffix":""},{"dropping-particle":"","family":"Nguyen","given":"Nam-trung","non-dropping-particle":"","parse-names":false,"suffix":""},{"dropping-particle":"","family":"Shiddiky","given":"Muhammad J A","non-dropping-particle":"","parse-names":false,"suffix":""}],"id":"ITEM-1","issued":{"date-parts":[["2018"]]},"page":"1174-1196","publisher":"Royal Society of Chemistry","title":"Lab on a Chip Circulating tumor DNA and liquid biopsy : opportunities , challenges , and recent advances in detection technologies","type":"article-journal"},"uris":["http://www.mendeley.com/documents/?uuid=3cccd7ba-f1c8-4407-9a52-99ced632c110"]}],"mendeley":{"formattedCitation":"[25]","plainTextFormattedCitation":"[25]","previouslyFormattedCitation":"[25]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{"citationItems":[{"id":"ITEM-1","itemData":{"DOI":"10.15406/ijbsbe.2017.03.00072","abstract":"Due to its high death rate, cancer has been one of the most researched diseases all over the globe. A biosensor is an analytical device, used for the detection of an analyte that combines a biological component with a physicochemical detector. Nowadays, there is an increasing interest in developing cancer biosensors as they show superior analytical performance and real-time measurement. Further with recent advances in molecular biology and bioengineering, biosensors diagnosis of cancer has taken a new direction. Due to high specificity and promise of early diagnosis, biosensors are prime candidates for current and future cancer diagnosis. With ever increasing list of biomarkers associated with various types of cancer and innovation in bioengineering, the future for diagnosis of cancer seems promising. In present article we have discussed various biosensors and biomarkers as a promising tool for cancer diagnosis.","author":[{"dropping-particle":"","family":"Patel","given":"Prittesh ","non-dropping-particle":"","parse-names":false,"suffix":""}],"container-title":"International Journal of Biosensors &amp; Bioelectronics","id":"ITEM-1","issue":"4","issued":{"date-parts":[["2017"]]},"page":"313-316","title":"Biosensors and Biomarkers: Promising Tools for Cancer Diagnosis","type":"article-journal","volume":"3"},"uris":["http://www.mendeley.com/documents/?uuid=d2d43db2-ea5c-46e4-b1e7-e898d8f582be"]}],"mendeley":{"formattedCitation":"[127]","plainTextFormattedCitation":"[127]","previouslyFormattedCitation":"[127]"},"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[127]</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{"citationItems":[{"id":"ITEM-1","itemData":{"DOI":"10.2147/NSA.S13465","ISSN":"11778903","abstract":"The earlier cancer can be detected, the better the chance of a cure. Currently, many cancers are diagnosed only after they have metastasized throughout the body. Effective, accurate methods of cancer detection and clinical diagnosis are urgently needed. Biosensors are devices that are designed to detect a specific biological analyte by essentially converting a biological entity (ie, protein, DNA, RNA) into an electrical signal that can be detected and analyzed. The use of biosensors in cancer detection and monitoring holds vast potential. Biosensors can be designed to detect emerging cancer biomarkers and to determine drug effectiveness at various target sites. Biosensor technology has the potential to provide fast and accurate detection, reliable imaging of cancer cells, and monitoring of angiogenesis and cancer metastasis, and the ability to determine the effectiveness of anticancer chemotherapy agents. This review will briefly summarize the current obstacles to early detection of cancer and the expanding use of biosensors as a diagnostic tool, as well as some future applications of biosensor technology.© 2011 Bohunicky and Mousa, publisher and licensee Dove Medical Press Ltd.","author":[{"dropping-particle":"","family":"Bohunicky","given":"Brian","non-dropping-particle":"","parse-names":false,"suffix":""},{"dropping-particle":"","family":"Mousa","given":"Shaker A.","non-dropping-particle":"","parse-names":false,"suffix":""}],"container-title":"Nanotechnology, Science and Applications","id":"ITEM-1","issue":"1","issued":{"date-parts":[["2011"]]},"page":"1-10","title":"Biosensors: The new wave in cancer diagnosis","type":"article-journal","volume":"4"},"uris":["http://www.mendeley.com/documents/?uuid=49e2c0df-f349-4a40-ba6d-c544735a25ac"]}],"mendeley":{"formattedCitation":"[119]","plainTextFormattedCitation":"[119]","previouslyFormattedCitation":"[119]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In current clinical practice, the detection of mutations relies on testing tumour biopsies and this is invasive and subject to sampling error.</w:t>
      </w:r>
      <w:r w:rsidRPr="005B1CCB">
        <w:rPr>
          <w:rFonts w:ascii="Times New Roman" w:eastAsia="Times New Roman" w:hAnsi="Times New Roman" w:cs="Times New Roman"/>
          <w:color w:val="000000"/>
          <w:sz w:val="24"/>
          <w:szCs w:val="20"/>
          <w:lang w:eastAsia="de-DE"/>
        </w:rPr>
        <w:t xml:space="preserve"> </w:t>
      </w:r>
      <w:r w:rsidRPr="00674196">
        <w:rPr>
          <w:rFonts w:ascii="Times New Roman" w:eastAsia="Times New Roman" w:hAnsi="Times New Roman" w:cs="Times New Roman"/>
          <w:color w:val="000000"/>
          <w:sz w:val="24"/>
          <w:szCs w:val="20"/>
          <w:lang w:eastAsia="de-DE"/>
        </w:rPr>
        <w:t>I</w:t>
      </w:r>
      <w:r w:rsidRPr="00674196">
        <w:rPr>
          <w:rFonts w:ascii="Palatino Linotype" w:hAnsi="Palatino Linotype" w:cs="Times New Roman"/>
          <w:sz w:val="24"/>
          <w:szCs w:val="24"/>
        </w:rPr>
        <w:t>n this study, amine-modified synthetic oligonucleotides were designed for use as probes</w:t>
      </w:r>
      <w:r w:rsidRPr="005B1CCB">
        <w:rPr>
          <w:rFonts w:ascii="Palatino Linotype" w:hAnsi="Palatino Linotype" w:cs="Times New Roman"/>
          <w:sz w:val="24"/>
          <w:szCs w:val="24"/>
        </w:rPr>
        <w:t xml:space="preserve">. </w:t>
      </w:r>
      <w:r w:rsidRPr="00674196">
        <w:rPr>
          <w:rFonts w:ascii="Palatino Linotype" w:hAnsi="Palatino Linotype" w:cs="Times New Roman"/>
          <w:sz w:val="24"/>
          <w:szCs w:val="24"/>
        </w:rPr>
        <w:t>The amine group was chosen to allow facile attachment to the carbon surface</w:t>
      </w:r>
      <w:r w:rsidRPr="005B1CCB">
        <w:rPr>
          <w:rFonts w:ascii="Palatino Linotype" w:hAnsi="Palatino Linotype" w:cs="Times New Roman"/>
          <w:sz w:val="24"/>
          <w:szCs w:val="24"/>
        </w:rPr>
        <w:t xml:space="preserve"> via well-established chemical coupling techniques and </w:t>
      </w:r>
      <w:r w:rsidRPr="00674196">
        <w:rPr>
          <w:rFonts w:ascii="Palatino Linotype" w:hAnsi="Palatino Linotype" w:cs="Times New Roman"/>
          <w:sz w:val="24"/>
          <w:szCs w:val="24"/>
        </w:rPr>
        <w:t>DNA was chosen for the oligonucleotide sequence</w:t>
      </w:r>
      <w:r w:rsidRPr="005B1CCB">
        <w:rPr>
          <w:rFonts w:ascii="Palatino Linotype" w:hAnsi="Palatino Linotype" w:cs="Times New Roman"/>
          <w:sz w:val="24"/>
          <w:szCs w:val="24"/>
        </w:rPr>
        <w:t xml:space="preserve"> (as opposed to PNA, LNA or morpolinos) </w:t>
      </w:r>
      <w:r w:rsidRPr="00674196">
        <w:rPr>
          <w:rFonts w:ascii="Palatino Linotype" w:hAnsi="Palatino Linotype" w:cs="Times New Roman"/>
          <w:sz w:val="24"/>
          <w:szCs w:val="24"/>
        </w:rPr>
        <w:t>because of its relative low cost</w:t>
      </w:r>
      <w:r w:rsidRPr="005B1CCB">
        <w:rPr>
          <w:rFonts w:ascii="Palatino Linotype" w:hAnsi="Palatino Linotype" w:cs="Times New Roman"/>
          <w:sz w:val="24"/>
          <w:szCs w:val="24"/>
        </w:rPr>
        <w:t xml:space="preserve"> and the aim being to produce a simple-to-use and low-cost system for ctDNA profiling.</w:t>
      </w:r>
    </w:p>
    <w:p w14:paraId="37483783" w14:textId="77777777" w:rsidR="00505BAB" w:rsidRPr="005B1CCB" w:rsidRDefault="00505BAB" w:rsidP="00B600BA">
      <w:pPr>
        <w:autoSpaceDE w:val="0"/>
        <w:autoSpaceDN w:val="0"/>
        <w:spacing w:line="360" w:lineRule="auto"/>
        <w:jc w:val="both"/>
        <w:rPr>
          <w:rFonts w:ascii="Palatino Linotype" w:hAnsi="Palatino Linotype" w:cs="Times New Roman"/>
          <w:sz w:val="24"/>
          <w:szCs w:val="24"/>
        </w:rPr>
      </w:pPr>
    </w:p>
    <w:p w14:paraId="688670F5" w14:textId="77777777" w:rsidR="00B600BA" w:rsidRPr="005B1CCB" w:rsidRDefault="00B600BA" w:rsidP="00B600BA">
      <w:pPr>
        <w:pStyle w:val="Heading3"/>
      </w:pPr>
      <w:bookmarkStart w:id="37" w:name="_Toc84528048"/>
      <w:r w:rsidRPr="005B1CCB">
        <w:t>Nucleic acids and their role in biosensing systems</w:t>
      </w:r>
      <w:bookmarkEnd w:id="37"/>
    </w:p>
    <w:p w14:paraId="08A85514" w14:textId="717AD222" w:rsidR="00B600BA" w:rsidRPr="005B1CCB" w:rsidRDefault="00B600BA" w:rsidP="00B600BA">
      <w:pPr>
        <w:spacing w:line="360" w:lineRule="auto"/>
        <w:jc w:val="both"/>
        <w:rPr>
          <w:rFonts w:ascii="Palatino Linotype" w:hAnsi="Palatino Linotype"/>
          <w:sz w:val="24"/>
          <w:szCs w:val="24"/>
        </w:rPr>
      </w:pPr>
      <w:r w:rsidRPr="005B1CCB">
        <w:rPr>
          <w:rFonts w:ascii="Palatino Linotype" w:hAnsi="Palatino Linotype"/>
          <w:sz w:val="24"/>
          <w:szCs w:val="24"/>
        </w:rPr>
        <w:t xml:space="preserve">   The release of cancerous nucleic acids into the blood is thought to be linked to the apoptosis of cancer cells in the tumour microenvironment </w:t>
      </w:r>
      <w:r w:rsidRPr="005B1CCB">
        <w:rPr>
          <w:rFonts w:ascii="Palatino Linotype" w:hAnsi="Palatino Linotype"/>
          <w:sz w:val="24"/>
          <w:szCs w:val="24"/>
        </w:rPr>
        <w:fldChar w:fldCharType="begin" w:fldLock="1"/>
      </w:r>
      <w:r w:rsidR="00C46CE8" w:rsidRPr="005B1CCB">
        <w:rPr>
          <w:rFonts w:ascii="Palatino Linotype" w:hAnsi="Palatino Linotype"/>
          <w:sz w:val="24"/>
          <w:szCs w:val="24"/>
        </w:rPr>
        <w:instrText>ADDIN CSL_CITATION {"citationItems":[{"id":"ITEM-1","itemData":{"DOI":"10.1038/nrc3066","ISBN":"1474-1768 (Electronic)\\r1474-175X (Linking)","ISSN":"1474-175X","PMID":"21562580","abstract":"DNA, mRNA and microRNA are released and circulate in the blood of cancer patients. Changes in the levels of circulating nucleic acids have been associated with tumour burden and malignant progression. In the past decade a wealth of information indicating the potential use of circulating nucleic acids for cancer screening, prognosis and monitoring of the efficacy of anticancer therapies has emerged. In this Review, we discuss these findings with a specific focus on the clinical utility of cell-free nucleic acids as blood biomarkers.","author":[{"dropping-particle":"","family":"Schwarzenbach","given":"Heidi","non-dropping-particle":"","parse-names":false,"suffix":""},{"dropping-particle":"","family":"Hoon","given":"Dave S. B.","non-dropping-particle":"","parse-names":false,"suffix":""},{"dropping-particle":"","family":"Pantel","given":"Klaus","non-dropping-particle":"","parse-names":false,"suffix":""}],"container-title":"Nature Reviews Cancer","id":"ITEM-1","issue":"6","issued":{"date-parts":[["2011"]]},"page":"426-437","publisher":"Nature Publishing Group","title":"Cell-free nucleic acids as biomarkers in cancer patients","type":"article-journal","volume":"11"},"uris":["http://www.mendeley.com/documents/?uuid=56d39a10-a865-4e44-b777-41fcc9b181a7"]}],"mendeley":{"formattedCitation":"[19]","plainTextFormattedCitation":"[19]","previouslyFormattedCitation":"[19]"},"properties":{"noteIndex":0},"schema":"https://github.com/citation-style-language/schema/raw/master/csl-citation.json"}</w:instrText>
      </w:r>
      <w:r w:rsidRPr="005B1CCB">
        <w:rPr>
          <w:rFonts w:ascii="Palatino Linotype" w:hAnsi="Palatino Linotype"/>
          <w:sz w:val="24"/>
          <w:szCs w:val="24"/>
        </w:rPr>
        <w:fldChar w:fldCharType="separate"/>
      </w:r>
      <w:r w:rsidR="0002596A" w:rsidRPr="005B1CCB">
        <w:rPr>
          <w:rFonts w:ascii="Palatino Linotype" w:hAnsi="Palatino Linotype"/>
          <w:noProof/>
          <w:sz w:val="24"/>
          <w:szCs w:val="24"/>
        </w:rPr>
        <w:t>[19]</w:t>
      </w:r>
      <w:r w:rsidRPr="005B1CCB">
        <w:rPr>
          <w:rFonts w:ascii="Palatino Linotype" w:hAnsi="Palatino Linotype"/>
          <w:sz w:val="24"/>
          <w:szCs w:val="24"/>
        </w:rPr>
        <w:fldChar w:fldCharType="end"/>
      </w:r>
      <w:r w:rsidRPr="005B1CCB">
        <w:rPr>
          <w:rFonts w:ascii="Palatino Linotype" w:hAnsi="Palatino Linotype"/>
          <w:sz w:val="24"/>
          <w:szCs w:val="24"/>
        </w:rPr>
        <w:t xml:space="preserve">. </w:t>
      </w:r>
      <w:r w:rsidRPr="00674196">
        <w:rPr>
          <w:rFonts w:ascii="Palatino Linotype" w:hAnsi="Palatino Linotype"/>
          <w:sz w:val="24"/>
          <w:szCs w:val="24"/>
        </w:rPr>
        <w:t>A nucleic acid molecule can either be a single stranded DNA or RNA. On a single strand of DNA, the 5’ and 3’ designations refer to the number of carbon atoms in a deoxyribose sugar molecule to which a phosphate group bonds and the 5’ – 3’ or 3’ – 5’ direction refers to the orientation of nucleotides</w:t>
      </w:r>
      <w:r w:rsidRPr="005B1CCB">
        <w:rPr>
          <w:rFonts w:ascii="Palatino Linotype" w:hAnsi="Palatino Linotype"/>
          <w:sz w:val="24"/>
          <w:szCs w:val="24"/>
        </w:rPr>
        <w:t xml:space="preserve"> (See Figure </w:t>
      </w:r>
      <w:r w:rsidR="00505BAB" w:rsidRPr="005B1CCB">
        <w:rPr>
          <w:rFonts w:ascii="Palatino Linotype" w:hAnsi="Palatino Linotype"/>
          <w:sz w:val="24"/>
          <w:szCs w:val="24"/>
        </w:rPr>
        <w:t>2</w:t>
      </w:r>
      <w:r w:rsidRPr="005B1CCB">
        <w:rPr>
          <w:rFonts w:ascii="Palatino Linotype" w:hAnsi="Palatino Linotype"/>
          <w:sz w:val="24"/>
          <w:szCs w:val="24"/>
        </w:rPr>
        <w:t xml:space="preserve">). A probe is a nucleic acid molecule with a strong affinity with a specific target that can also be a nucleic acid molecule. For the purposes of DNA detection using electrochemical biosensing, </w:t>
      </w:r>
      <w:r w:rsidRPr="00674196">
        <w:rPr>
          <w:rFonts w:ascii="Palatino Linotype" w:hAnsi="Palatino Linotype"/>
          <w:sz w:val="24"/>
          <w:szCs w:val="24"/>
        </w:rPr>
        <w:t>synthetic oligonucleotides can be designed and are usually 18-35 nucleotides long</w:t>
      </w:r>
      <w:r w:rsidRPr="005B1CCB">
        <w:rPr>
          <w:rFonts w:ascii="Palatino Linotype" w:hAnsi="Palatino Linotype"/>
          <w:sz w:val="24"/>
          <w:szCs w:val="24"/>
        </w:rPr>
        <w:t xml:space="preserve">. A probe design will usually depend on whether the DNA sequence will be specific for a gene or chromosome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{"citationItems":[{"id":"ITEM-1","itemData":{"DOI":"10.1007/978-1-60327-375-6_4","ISBN":"1603273700","ISSN":"1603273700","PMID":"1000173141","abstract":"A probe is a nucleic acid molecule (single-stranded DNA or RNA) with a strong affinity with a specific target (DNA or RNA sequence). Probe and target base sequences must be complementary to each other, but depending on conditions, they do not necessarily have to be exactly complementary. The hybrid (probe-target combination) can be revealed when appropriate labeling and detection systems are used. Gene probes are used in various blotting and in situ techniques for the detection of nucleic acid sequences. In medicine, they can help in the identification of microorganisms and the diagnosis of infectious, inherited, and other diseases","author":[{"dropping-particle":"","family":"Muro","given":"Marilena Aquino","non-dropping-particle":"de","parse-names":false,"suffix":""}],"container-title":"Molecular Biomethods Handbook","id":"ITEM-1","issued":{"date-parts":[["2008"]]},"page":"41-53","title":"Probe Design, Production, and Applications","type":"article-journal"},"uris":["http://www.mendeley.com/documents/?uuid=3b53f40e-f407-41c9-9c22-70c7b06cbb34"]}],"mendeley":{"formattedCitation":"[128]","plainTextFormattedCitation":"[128]","previouslyFormattedCitation":"[128]"},"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[128]</w:t>
      </w:r>
      <w:r w:rsidRPr="005B1CCB">
        <w:rPr>
          <w:rFonts w:ascii="Palatino Linotype" w:hAnsi="Palatino Linotype"/>
          <w:sz w:val="24"/>
          <w:szCs w:val="24"/>
        </w:rPr>
        <w:fldChar w:fldCharType="end"/>
      </w:r>
      <w:r w:rsidRPr="005B1CCB">
        <w:rPr>
          <w:rFonts w:ascii="Palatino Linotype" w:hAnsi="Palatino Linotype"/>
          <w:sz w:val="24"/>
          <w:szCs w:val="24"/>
        </w:rPr>
        <w:t xml:space="preserve">. </w:t>
      </w:r>
      <w:r w:rsidRPr="00674196">
        <w:rPr>
          <w:rFonts w:ascii="Palatino Linotype" w:hAnsi="Palatino Linotype"/>
          <w:sz w:val="24"/>
          <w:szCs w:val="24"/>
        </w:rPr>
        <w:t>In a covalent bonding technique, the synthesized DNA probe is typically linked to the group of thiols or amines at the 3’ or 5’ end of the DNA strand to bind covalently to the metal or conductive sensor surface</w:t>
      </w:r>
      <w:r w:rsidRPr="005B1CCB">
        <w:rPr>
          <w:rFonts w:ascii="Palatino Linotype" w:hAnsi="Palatino Linotype"/>
          <w:sz w:val="24"/>
          <w:szCs w:val="24"/>
        </w:rPr>
        <w:t>. When modifying the electrode surface using avidin/streptavidin, the end of the 3’ or 5’ DNA probe sequence is modified with a biotin molecule and later introduced to the surface of the electrode</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{"citationItems":[{"id":"ITEM-1","itemData":{"DOI":"10.1016/j.sbsr.2017.09.001","ISBN":"2214-1804","ISSN":"22141804","abstract":"In recent years, electrochemical deoxyribonucleic acid (DNA) sensor has recently emerged as promising alternative clinical diagnostic devices especially for infectious disease by exploiting DNA recognition events and converting them into an electrochemical signal. This is because the existing DNA diagnostic method possesses certain drawbacks such as time-consuming, expensive, laborious, low selectivity and sensitivity. DNA immobilization strategies and mechanism of electrochemical detection are two the most important aspects that should be considered before developing highly selective and sensitive electrochemical DNA sensor. Here, we focus on some recent strategies for DNA probes immobilization on the surface of electrochemical transducer such as adsorption, covalent bonding and Avidin/Streptavidin-Biotin interaction on the electrode surface for specific interaction with its complementary DNA target. A numerous approach for DNA hybridization detection based electrochemical technique that frequently used including direct DNA electrochemical detection and label based electrochemical (redox-active indicator, enzyme label and nanoparticles were also discussed in aiming to provide general guide for the design of electrochemical DNA sensor. We also discussed the challenges and suggestions to improve the application of electrochemical DNA sensor at point-care setting.","author":[{"dropping-particle":"","family":"Rashid","given":"Jahwarhar Izuan Abdul","non-dropping-particle":"","parse-names":false,"suffix":""},{"dropping-particle":"","family":"Yusof","given":"Nor Azah","non-dropping-particle":"","parse-names":false,"suffix":""}],"container-title":"Sensing and Bio-Sensing Research","id":"ITEM-1","issue":"September","issued":{"date-parts":[["2017"]]},"page":"19-31","publisher":"Elsevier","title":"The strategies of DNA immobilization and hybridization detection mechanism in the construction of electrochemical DNA sensor: A review","type":"article-journal","volume":"16"},"uris":["http://www.mendeley.com/documents/?uuid=52a433c3-5380-4329-99af-7d943f8d0fcf"]}],"mendeley":{"formattedCitation":"[129]","plainTextFormattedCitation":"[129]","previouslyFormattedCitation":"[129]"},"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[129]</w:t>
      </w:r>
      <w:r w:rsidRPr="005B1CCB">
        <w:rPr>
          <w:rFonts w:ascii="Palatino Linotype" w:hAnsi="Palatino Linotype"/>
          <w:sz w:val="24"/>
          <w:szCs w:val="24"/>
        </w:rPr>
        <w:fldChar w:fldCharType="end"/>
      </w:r>
      <w:r w:rsidRPr="005B1CCB">
        <w:rPr>
          <w:rFonts w:ascii="Palatino Linotype" w:hAnsi="Palatino Linotype"/>
          <w:sz w:val="24"/>
          <w:szCs w:val="24"/>
        </w:rPr>
        <w:t>.</w:t>
      </w:r>
    </w:p>
    <w:p w14:paraId="3CD48D39" w14:textId="77777777" w:rsidR="00B600BA" w:rsidRPr="005B1CCB" w:rsidRDefault="00B600BA" w:rsidP="00B600BA">
      <w:pPr>
        <w:keepNext/>
        <w:spacing w:line="360" w:lineRule="auto"/>
        <w:jc w:val="center"/>
      </w:pPr>
      <w:r w:rsidRPr="005B1CCB">
        <w:rPr>
          <w:rFonts w:ascii="Palatino Linotype" w:hAnsi="Palatino Linotype"/>
          <w:noProof/>
          <w:sz w:val="24"/>
          <w:szCs w:val="24"/>
          <w:lang w:eastAsia="en-GB"/>
        </w:rPr>
        <w:drawing>
          <wp:inline distT="0" distB="0" distL="0" distR="0" wp14:anchorId="5E8A8414" wp14:editId="02F9E3D0">
            <wp:extent cx="2880320" cy="4775060"/>
            <wp:effectExtent l="0" t="0" r="0" b="6985"/>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4"/>
                    <a:srcRect b="3142"/>
                    <a:stretch/>
                  </pic:blipFill>
                  <pic:spPr>
                    <a:xfrm>
                      <a:off x="0" y="0"/>
                      <a:ext cx="2880320" cy="4775060"/>
                    </a:xfrm>
                    <a:prstGeom prst="rect">
                      <a:avLst/>
                    </a:prstGeom>
                  </pic:spPr>
                </pic:pic>
              </a:graphicData>
            </a:graphic>
          </wp:inline>
        </w:drawing>
      </w:r>
    </w:p>
    <w:p w14:paraId="413A9CF2" w14:textId="1413F71B" w:rsidR="00B600BA" w:rsidRPr="005B1CCB" w:rsidRDefault="00B600BA" w:rsidP="00B600BA">
      <w:pPr>
        <w:pStyle w:val="Caption"/>
        <w:jc w:val="center"/>
        <w:rPr>
          <w:sz w:val="22"/>
          <w:szCs w:val="22"/>
        </w:rPr>
      </w:pPr>
      <w:bookmarkStart w:id="38" w:name="_Toc84519597"/>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w:t>
      </w:r>
      <w:r w:rsidRPr="005B1CCB">
        <w:rPr>
          <w:sz w:val="22"/>
          <w:szCs w:val="22"/>
        </w:rPr>
        <w:fldChar w:fldCharType="end"/>
      </w:r>
      <w:r w:rsidRPr="005B1CCB">
        <w:rPr>
          <w:sz w:val="22"/>
          <w:szCs w:val="22"/>
        </w:rPr>
        <w:t xml:space="preserve">: 2 DNA strands with sugar-phosphate backbone wound around one another to produce a double helix; stabilized in part by hydrogen bonds between nitrogenous bases on either strand </w:t>
      </w:r>
      <w:r w:rsidRPr="005B1CCB">
        <w:rPr>
          <w:sz w:val="22"/>
          <w:szCs w:val="22"/>
        </w:rPr>
        <w:fldChar w:fldCharType="begin" w:fldLock="1"/>
      </w:r>
      <w:r w:rsidR="000766C5">
        <w:rPr>
          <w:sz w:val="22"/>
          <w:szCs w:val="22"/>
        </w:rPr>
        <w:instrText>ADDIN CSL_CITATION {"citationItems":[{"id":"ITEM-1","itemData":{"URL":"https://i.pinimg.com/originals/73/6c/eb/736ceb06de3858d85d5b8669845f912c.jpg","author":[{"dropping-particle":"","family":"Wadsworth Thomson Learning","given":"","non-dropping-particle":"","parse-names":false,"suffix":""}],"id":"ITEM-1","issued":{"date-parts":[["2004"]]},"title":"2 DNA strands with complementary base pairs","type":"webpage"},"uris":["http://www.mendeley.com/documents/?uuid=cd32aa55-f07a-4e86-a6ad-58d504c14e03"]}],"mendeley":{"formattedCitation":"[130]","plainTextFormattedCitation":"[130]","previouslyFormattedCitation":"[130]"},"properties":{"noteIndex":0},"schema":"https://github.com/citation-style-language/schema/raw/master/csl-citation.json"}</w:instrText>
      </w:r>
      <w:r w:rsidRPr="005B1CCB">
        <w:rPr>
          <w:sz w:val="22"/>
          <w:szCs w:val="22"/>
        </w:rPr>
        <w:fldChar w:fldCharType="separate"/>
      </w:r>
      <w:r w:rsidR="005F2946" w:rsidRPr="005F2946">
        <w:rPr>
          <w:i w:val="0"/>
          <w:noProof/>
          <w:sz w:val="22"/>
          <w:szCs w:val="22"/>
        </w:rPr>
        <w:t>[130]</w:t>
      </w:r>
      <w:r w:rsidRPr="005B1CCB">
        <w:rPr>
          <w:sz w:val="22"/>
          <w:szCs w:val="22"/>
        </w:rPr>
        <w:fldChar w:fldCharType="end"/>
      </w:r>
      <w:r w:rsidRPr="005B1CCB">
        <w:rPr>
          <w:sz w:val="22"/>
          <w:szCs w:val="22"/>
        </w:rPr>
        <w:t>.</w:t>
      </w:r>
      <w:bookmarkEnd w:id="38"/>
    </w:p>
    <w:p w14:paraId="00A3D692" w14:textId="526AE316" w:rsidR="002F2C3F" w:rsidRDefault="002F2C3F" w:rsidP="002F2C3F"/>
    <w:p w14:paraId="6996B747" w14:textId="5C6E4B56" w:rsidR="00FA3B1C" w:rsidRDefault="00FA3B1C" w:rsidP="002F2C3F"/>
    <w:p w14:paraId="0E4D04DA" w14:textId="77777777" w:rsidR="00FA3B1C" w:rsidRPr="005B1CCB" w:rsidRDefault="00FA3B1C" w:rsidP="002F2C3F"/>
    <w:p w14:paraId="286B4CAC" w14:textId="77777777" w:rsidR="00B600BA" w:rsidRPr="005B1CCB" w:rsidRDefault="00B600BA" w:rsidP="00B600BA">
      <w:pPr>
        <w:pStyle w:val="Heading3"/>
      </w:pPr>
      <w:bookmarkStart w:id="39" w:name="_Toc84528049"/>
      <w:r w:rsidRPr="005B1CCB">
        <w:t>Probe and Primer design</w:t>
      </w:r>
      <w:bookmarkEnd w:id="39"/>
    </w:p>
    <w:p w14:paraId="37692DB7" w14:textId="0DCEE03A" w:rsidR="00B600BA" w:rsidRPr="005B1CCB" w:rsidRDefault="00B600BA" w:rsidP="00B600BA">
      <w:pPr>
        <w:spacing w:line="360" w:lineRule="auto"/>
        <w:jc w:val="both"/>
        <w:rPr>
          <w:rFonts w:ascii="Palatino Linotype" w:hAnsi="Palatino Linotype"/>
          <w:sz w:val="24"/>
          <w:szCs w:val="24"/>
        </w:rPr>
      </w:pPr>
      <w:r w:rsidRPr="005B1CCB">
        <w:rPr>
          <w:rFonts w:ascii="Palatino Linotype" w:hAnsi="Palatino Linotype"/>
          <w:sz w:val="24"/>
          <w:szCs w:val="24"/>
        </w:rPr>
        <w:t xml:space="preserve">     Probe and target bases must be complementary </w:t>
      </w:r>
      <w:r w:rsidR="008026E0" w:rsidRPr="005B1CCB">
        <w:rPr>
          <w:rFonts w:ascii="Palatino Linotype" w:hAnsi="Palatino Linotype"/>
          <w:sz w:val="24"/>
          <w:szCs w:val="24"/>
        </w:rPr>
        <w:t xml:space="preserve">to </w:t>
      </w:r>
      <w:r w:rsidR="008026E0">
        <w:rPr>
          <w:rFonts w:ascii="Palatino Linotype" w:hAnsi="Palatino Linotype"/>
          <w:sz w:val="24"/>
          <w:szCs w:val="24"/>
        </w:rPr>
        <w:t>each</w:t>
      </w:r>
      <w:r w:rsidR="00674196" w:rsidRPr="005B1CCB">
        <w:rPr>
          <w:rFonts w:ascii="Palatino Linotype" w:hAnsi="Palatino Linotype"/>
          <w:sz w:val="24"/>
          <w:szCs w:val="24"/>
        </w:rPr>
        <w:t xml:space="preserve"> other,</w:t>
      </w:r>
      <w:r w:rsidRPr="005B1CCB">
        <w:rPr>
          <w:rFonts w:ascii="Palatino Linotype" w:hAnsi="Palatino Linotype"/>
          <w:sz w:val="24"/>
          <w:szCs w:val="24"/>
        </w:rPr>
        <w:t xml:space="preserve"> so oligonucleotide probes are generally designed to target specific sequences within the gene of interest. The selection of probe sequences can be manually achieved from a known gene sequence however to determine optimal hybridisation conditions, the synthesized probe should be hybridised to both specific and non-specific target nucleic acids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{"citationItems":[{"id":"ITEM-1","itemData":{"DOI":"10.1007/978-1-60327-375-6_4","ISBN":"1603273700","ISSN":"1603273700","PMID":"1000173141","abstract":"A probe is a nucleic acid molecule (single-stranded DNA or RNA) with a strong affinity with a specific target (DNA or RNA sequence). Probe and target base sequences must be complementary to each other, but depending on conditions, they do not necessarily have to be exactly complementary. The hybrid (probe-target combination) can be revealed when appropriate labeling and detection systems are used. Gene probes are used in various blotting and in situ techniques for the detection of nucleic acid sequences. In medicine, they can help in the identification of microorganisms and the diagnosis of infectious, inherited, and other diseases","author":[{"dropping-particle":"","family":"Muro","given":"Marilena Aquino","non-dropping-particle":"de","parse-names":false,"suffix":""}],"container-title":"Molecular Biomethods Handbook","id":"ITEM-1","issued":{"date-parts":[["2008"]]},"page":"41-53","title":"Probe Design, Production, and Applications","type":"article-journal"},"uris":["http://www.mendeley.com/documents/?uuid=3b53f40e-f407-41c9-9c22-70c7b06cbb34"]}],"mendeley":{"formattedCitation":"[128]","plainTextFormattedCitation":"[128]","previouslyFormattedCitation":"[128]"},"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[128]</w:t>
      </w:r>
      <w:r w:rsidRPr="005B1CCB">
        <w:rPr>
          <w:rFonts w:ascii="Palatino Linotype" w:hAnsi="Palatino Linotype"/>
          <w:sz w:val="24"/>
          <w:szCs w:val="24"/>
        </w:rPr>
        <w:fldChar w:fldCharType="end"/>
      </w:r>
      <w:r w:rsidRPr="005B1CCB">
        <w:rPr>
          <w:rFonts w:ascii="Palatino Linotype" w:hAnsi="Palatino Linotype"/>
          <w:sz w:val="24"/>
          <w:szCs w:val="24"/>
        </w:rPr>
        <w:t xml:space="preserve">. Previous work on electrochemical detection of single base-pair changes has demonstrated </w:t>
      </w:r>
      <w:r w:rsidRPr="00674196">
        <w:rPr>
          <w:rFonts w:ascii="Palatino Linotype" w:hAnsi="Palatino Linotype"/>
          <w:sz w:val="24"/>
          <w:szCs w:val="24"/>
        </w:rPr>
        <w:t>enhanced discrimination and optimal signal levels when the mutation is placed close to the centre of the probe sequence</w:t>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{"citationItems":[{"id":"ITEM-1","itemData":{"DOI":"10.1021/ac060533b","ISBN":"0003-2700","ISSN":"00032700","PMID":"16944889","abstract":"Gold electrode arrays with electrode diameters of 10 mum were used for the detection of eight single-nucleotide mismatches in unlabeled and prehybridized DNA by electrochemical impedance spectroscopy (EIS). Because of the differences in the electrical properties of films of duplex DNA (normal duplex DNA in B-form) in the presence and absence of Zn(2+) at pH &gt; or = 8.6, Randles equivalent circuits were employed to evaluate the EIS results. The difference in the charge-transfer resistance (DeltaR(CT)) between B-DNA (absence of Zn2+ at pH &gt; or = 8.6) and M-DNA (presence of Zn2+ at pH &gt; or = 8.6) allows unequivocal detection of all eight single-nucleotide mismatches within a 20-mer DNA sequence. After dehybridization/rehybridization with target DNA, DeltaR(CT) allows the discrimination of single-nucleotide mismatches with concentrations of the target strand as low as 10 fM. Although the presence of protein impurities (bovine serum albumin, 10 microg/mL) interferes with the detection of the target strand (1 pM detection limit), the presence of nontarget DNA (calf thymus DNA, 10(-8) M) does not interfere, and the detection limit for recognition of the target strand remains at 10 fM.","author":[{"dropping-particle":"","family":"Li","given":"Xiaohong","non-dropping-particle":"","parse-names":false,"suffix":""},{"dropping-particle":"","family":"Lee","given":"Jeremy S.","non-dropping-particle":"","parse-names":false,"suffix":""},{"dropping-particle":"","family":"Kraatz","given":"Heinz Bernhard","non-dropping-particle":"","parse-names":false,"suffix":""}],"container-title":"Analytical Chemistry","id":"ITEM-1","issue":"17","issued":{"date-parts":[["2006"]]},"page":"6096-6101","title":"Electrochemical detection of single-nucleotide mismatches using an electrode microarray","type":"article-journal","volume":"78"},"uris":["http://www.mendeley.com/documents/?uuid=941a0a23-d1c8-438e-af9d-417e9e7e49b1","http://www.mendeley.com/documents/?uuid=21895e1c-304a-4e16-8a1b-cbcc2abd1eb3"]}],"mendeley":{"formattedCitation":"[131]","plainTextFormattedCitation":"[131]","previouslyFormattedCitation":"[131]"},"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[131]</w:t>
      </w:r>
      <w:r w:rsidRPr="005B1CCB">
        <w:rPr>
          <w:rFonts w:ascii="Palatino Linotype" w:hAnsi="Palatino Linotype"/>
          <w:sz w:val="24"/>
          <w:szCs w:val="24"/>
        </w:rPr>
        <w:fldChar w:fldCharType="end"/>
      </w:r>
      <w:r w:rsidRPr="005B1CCB">
        <w:rPr>
          <w:rFonts w:ascii="Palatino Linotype" w:hAnsi="Palatino Linotype"/>
          <w:sz w:val="24"/>
          <w:szCs w:val="24"/>
        </w:rPr>
        <w:t>.  General guidelines for oligonucleotide probe design include the following:</w:t>
      </w:r>
    </w:p>
    <w:p w14:paraId="590B928B" w14:textId="77777777" w:rsidR="00B600BA" w:rsidRPr="005B1CCB" w:rsidRDefault="00B600BA" w:rsidP="00B600BA">
      <w:pPr>
        <w:pStyle w:val="ListParagraph"/>
        <w:numPr>
          <w:ilvl w:val="0"/>
          <w:numId w:val="20"/>
        </w:numPr>
        <w:spacing w:line="360" w:lineRule="auto"/>
        <w:jc w:val="both"/>
        <w:rPr>
          <w:rFonts w:ascii="Palatino Linotype" w:hAnsi="Palatino Linotype"/>
          <w:sz w:val="24"/>
          <w:szCs w:val="24"/>
        </w:rPr>
      </w:pPr>
      <w:r w:rsidRPr="005B1CCB">
        <w:rPr>
          <w:rFonts w:ascii="Palatino Linotype" w:hAnsi="Palatino Linotype"/>
          <w:sz w:val="24"/>
          <w:szCs w:val="24"/>
        </w:rPr>
        <w:t>The probe length should be between 18-40 bases as longer probe can result in longer hybridisation times while shorter probes can lack specificity.</w:t>
      </w:r>
    </w:p>
    <w:p w14:paraId="2C01C48D" w14:textId="77777777" w:rsidR="00B600BA" w:rsidRPr="005B1CCB" w:rsidRDefault="00B600BA" w:rsidP="00B600BA">
      <w:pPr>
        <w:pStyle w:val="ListParagraph"/>
        <w:numPr>
          <w:ilvl w:val="0"/>
          <w:numId w:val="20"/>
        </w:numPr>
        <w:spacing w:line="360" w:lineRule="auto"/>
        <w:jc w:val="both"/>
        <w:rPr>
          <w:rFonts w:ascii="Palatino Linotype" w:hAnsi="Palatino Linotype"/>
          <w:sz w:val="24"/>
          <w:szCs w:val="24"/>
        </w:rPr>
      </w:pPr>
      <w:r w:rsidRPr="005B1CCB">
        <w:rPr>
          <w:rFonts w:ascii="Palatino Linotype" w:hAnsi="Palatino Linotype"/>
          <w:sz w:val="24"/>
          <w:szCs w:val="24"/>
        </w:rPr>
        <w:t>The composition of the bases should be 40-60</w:t>
      </w:r>
      <w:r w:rsidR="00505BAB" w:rsidRPr="005B1CCB">
        <w:rPr>
          <w:rFonts w:ascii="Palatino Linotype" w:hAnsi="Palatino Linotype"/>
          <w:sz w:val="24"/>
          <w:szCs w:val="24"/>
        </w:rPr>
        <w:t xml:space="preserve"> </w:t>
      </w:r>
      <w:r w:rsidRPr="005B1CCB">
        <w:rPr>
          <w:rFonts w:ascii="Palatino Linotype" w:hAnsi="Palatino Linotype"/>
          <w:sz w:val="24"/>
          <w:szCs w:val="24"/>
        </w:rPr>
        <w:t>% G-C as increased ratios can result in non-specific hybridisation.</w:t>
      </w:r>
    </w:p>
    <w:p w14:paraId="5ADE17D5" w14:textId="77777777" w:rsidR="00B600BA" w:rsidRPr="005B1CCB" w:rsidRDefault="00B600BA" w:rsidP="00B600BA">
      <w:pPr>
        <w:pStyle w:val="ListParagraph"/>
        <w:numPr>
          <w:ilvl w:val="0"/>
          <w:numId w:val="20"/>
        </w:numPr>
        <w:spacing w:line="360" w:lineRule="auto"/>
        <w:jc w:val="both"/>
        <w:rPr>
          <w:rFonts w:ascii="Palatino Linotype" w:hAnsi="Palatino Linotype"/>
          <w:sz w:val="24"/>
          <w:szCs w:val="24"/>
        </w:rPr>
      </w:pPr>
      <w:r w:rsidRPr="005B1CCB">
        <w:rPr>
          <w:rFonts w:ascii="Palatino Linotype" w:hAnsi="Palatino Linotype"/>
          <w:sz w:val="24"/>
          <w:szCs w:val="24"/>
        </w:rPr>
        <w:t>Avoid complementary regions within the probe sequence to avoid the formation of hairpin structures which can impede target hybridisation.</w:t>
      </w:r>
    </w:p>
    <w:p w14:paraId="15453294" w14:textId="77777777" w:rsidR="00B600BA" w:rsidRPr="005B1CCB" w:rsidRDefault="00B600BA" w:rsidP="00B600BA">
      <w:pPr>
        <w:pStyle w:val="ListParagraph"/>
        <w:numPr>
          <w:ilvl w:val="0"/>
          <w:numId w:val="20"/>
        </w:numPr>
        <w:spacing w:line="360" w:lineRule="auto"/>
        <w:jc w:val="both"/>
        <w:rPr>
          <w:rFonts w:ascii="Palatino Linotype" w:hAnsi="Palatino Linotype"/>
          <w:sz w:val="24"/>
          <w:szCs w:val="24"/>
        </w:rPr>
      </w:pPr>
      <w:r w:rsidRPr="005B1CCB">
        <w:rPr>
          <w:rFonts w:ascii="Palatino Linotype" w:hAnsi="Palatino Linotype"/>
          <w:sz w:val="24"/>
          <w:szCs w:val="24"/>
        </w:rPr>
        <w:t>Be certain that sequences do not contain more than four stretch</w:t>
      </w:r>
      <w:r w:rsidR="00C41BD2">
        <w:rPr>
          <w:rFonts w:ascii="Palatino Linotype" w:hAnsi="Palatino Linotype"/>
          <w:sz w:val="24"/>
          <w:szCs w:val="24"/>
        </w:rPr>
        <w:t>es</w:t>
      </w:r>
      <w:r w:rsidRPr="005B1CCB">
        <w:rPr>
          <w:rFonts w:ascii="Palatino Linotype" w:hAnsi="Palatino Linotype"/>
          <w:sz w:val="24"/>
          <w:szCs w:val="24"/>
        </w:rPr>
        <w:t xml:space="preserve"> of a single base.</w:t>
      </w:r>
    </w:p>
    <w:p w14:paraId="1AB21655" w14:textId="3DB85F9E" w:rsidR="00B600BA" w:rsidRPr="005B1CCB" w:rsidRDefault="00B600BA" w:rsidP="00B600BA">
      <w:pPr>
        <w:spacing w:line="360" w:lineRule="auto"/>
        <w:jc w:val="both"/>
        <w:rPr>
          <w:rFonts w:ascii="Palatino Linotype" w:hAnsi="Palatino Linotype"/>
          <w:sz w:val="24"/>
          <w:szCs w:val="24"/>
        </w:rPr>
      </w:pPr>
      <w:r w:rsidRPr="005B1CCB">
        <w:rPr>
          <w:rFonts w:ascii="Palatino Linotype" w:hAnsi="Palatino Linotype"/>
          <w:sz w:val="24"/>
          <w:szCs w:val="24"/>
        </w:rPr>
        <w:t xml:space="preserve">Other factors to consider include the modification of the 5’ end of the probe sequence to include an attachment e.g. Amino C6 or a thiol couple as a unique linker to allow ease of attachment to a solid structure.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{"citationItems":[{"id":"ITEM-1","itemData":{"DOI":"10.1128/AEM.71.7.3753-3760.2005","ISSN":"0099-2240","abstract":"Criteria for the design of gene-specific and group-specific oligonucleotide probes were established experimentally via an oligonucleotide array that contained perfect match (PM) and mismatch probes (50-mers and 70-mers) based upon four genes. The effects of probe-target identity, continuous stretch, mismatch position, and hybridization free energy on specificity were tested. Little hybridization was observed at a probe-target identity of &lt; or =85% for both 50-mer and 70-mer probes. PM signal intensities (33 to 48%) were detected at a probe-target identity of 94% for 50-mer oligonucleotides and 43 to 55% for 70-mer probes at a probe-target identity of 96%. When the effects of sequence identity and continuous stretch were considered independently, a stretch probe (&gt;15 bases) contributed an additional 9% of the PM signal intensity compared to a nonstretch probe (&lt; or =15 bases) at the same identity level. Cross-hybridization increased as the length of continuous stretch increased. A 35-base stretch for 50-mer probes or a 50-base stretch for 70-mer probes had approximately 55% of the PM signal. Little cross-hybridization was observed for probes with a minimal binding free energy greater than -30 kcal/mol for 50-mer probes or -40 kcal/mol for 70-mer probes. Based on the experimental results, a set of criteria are suggested for the design of gene-specific and group-specific oligonucleotide probes, and the experimentally established criteria should provide valuable information for new software and algorithms for microarray-based studies.","author":[{"dropping-particle":"","family":"He","given":"Zhili","non-dropping-particle":"","parse-names":false,"suffix":""},{"dropping-particle":"","family":"Wu","given":"Liyou","non-dropping-particle":"","parse-names":false,"suffix":""},{"dropping-particle":"","family":"Li","given":"Xingyuan","non-dropping-particle":"","parse-names":false,"suffix":""},{"dropping-particle":"","family":"Fields","given":"Matthew W","non-dropping-particle":"","parse-names":false,"suffix":""},{"dropping-particle":"","family":"Zhou","given":"Jizhong","non-dropping-particle":"","parse-names":false,"suffix":""}],"container-title":"Applied and environmental microbiology","id":"ITEM-1","issue":"7","issued":{"date-parts":[["2005","7"]]},"language":"eng","page":"3753-3760","publisher":"American Society for Microbiology","title":"Empirical establishment of oligonucleotide probe design criteria","type":"article-journal","volume":"71"},"uris":["http://www.mendeley.com/documents/?uuid=035044eb-ed83-4d01-a798-74a41189ff3e"]}],"mendeley":{"formattedCitation":"[132]","plainTextFormattedCitation":"[132]","previouslyFormattedCitation":"[132]"},"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[132]</w:t>
      </w:r>
      <w:r w:rsidRPr="005B1CCB">
        <w:rPr>
          <w:rFonts w:ascii="Palatino Linotype" w:hAnsi="Palatino Linotype"/>
          <w:sz w:val="24"/>
          <w:szCs w:val="24"/>
        </w:rPr>
        <w:fldChar w:fldCharType="end"/>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{"citationItems":[{"id":"ITEM-1","itemData":{"DOI":"10.1093/bioinformatics/btm114","ISSN":"1367-4803","abstract":"Motivation: With hundreds of completely sequenced microbial genomes available, and advancements in DNA microarray technology, the detection of genes in microbial communities consisting of hundreds of thousands of sequences may be possible. The existing strategies developed for DNA probe design, geared toward identifying specific sequences, are not suitable due to the lack of coverage, flexibility and efficiency necessary for applications in metagenomics.Methods: ProDesign is a tool developed for the selection of oligonucleotide probes to detect members of gene families present in environmental samples. Gene family-specific probe sequences are generated based on specific and shared words, which are found with the spaced seed hashing algorithm. To detect more sequences, those sharing some common words are re-clustered into new families, then probes specific for the new families are generated.Results: The program is very flexible in that it can be used for designing probes for detecting many genes families simultaneously and specifically in one or more genomes. Neither the length nor the melting temperature of the probes needs to be predefined. We have found that ProDesign provides more flexibility, coverage and speed than other software programs used in the selection of probes for genomic and gene family arrays.Availability: ProDesign is licensed free of charge to academic users. ProDesign and Supplementary Material can be obtained by contacting the authors. A web server for ProDesign is available at http://www.uhnresearch.ca/labs/tillier/ProDesign/ProDesign.htmlContact:e.tillier@utoronto.ca or fsz@ncic.ac.cnSupplementary information: Supplementary data are available at Bioinformatics online.","author":[{"dropping-particle":"","family":"Feng","given":"Shengzhong","non-dropping-particle":"","parse-names":false,"suffix":""},{"dropping-particle":"","family":"Tillier","given":"Elisabeth R M","non-dropping-particle":"","parse-names":false,"suffix":""}],"container-title":"Bioinformatics","id":"ITEM-1","issue":"10","issued":{"date-parts":[["2007","5","15"]]},"page":"1195-1202","title":"A fast and flexible approach to oligonucleotide probe design for genomes and gene families","type":"article-journal","volume":"23"},"uris":["http://www.mendeley.com/documents/?uuid=5ad88ab2-550b-4fa5-bbfa-2c80f1e9bd52"]}],"mendeley":{"formattedCitation":"[133]","plainTextFormattedCitation":"[133]","previouslyFormattedCitation":"[133]"},"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[133]</w:t>
      </w:r>
      <w:r w:rsidRPr="005B1CCB">
        <w:rPr>
          <w:rFonts w:ascii="Palatino Linotype" w:hAnsi="Palatino Linotype"/>
          <w:sz w:val="24"/>
          <w:szCs w:val="24"/>
        </w:rPr>
        <w:fldChar w:fldCharType="end"/>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{"citationItems":[{"id":"ITEM-1","itemData":{"DOI":"10.1093/nar/28.18.3535","ISSN":"1362-4962","abstract":"A recently described reaction for the UV-mediated attachment of alkenes to silicon surfaces is utilized as the basis for the preparation of functionalized silicon surfaces. UV light mediates the reaction of t-butyloxycarbonyl (t-BOC) protected omega-unsaturated aminoalkane (10-aminodec-1-ene) with hydrogen-terminated silicon (001). Removal of the t-BOC protecting group yields an aminodecane-modified silicon surface. The resultant amino groups can be coupled to thiol-modified oligodeoxyribonucleotides using a heterobifunctional crosslinker, permitting the preparation of DNA arrays. Two methods for controlling the surface density of oligodeoxyribonucleotides were explored: in the first, binary mixtures of 10-aminodec-1-ene and dodecene were utilized in the initial UV-mediated coupling reaction; a linear relationship was found between the mole fraction of aminodecene and the density of DNA hybridization sites. In the second, only a portion of the t-BOC protecting groups was removed from the surface by limiting the time allowed for the deprotection reaction. The oligodeoxyribonucleotide-modified surfaces were extremely stable and performed well in DNA hybridization assays. These surfaces provide an alternative to gold or glass for surface immobilization of oligonucleotides in DNA arrays as well as a route for the coupling of nucleic acid biomolecular recognition elements to semiconductor materials.","author":[{"dropping-particle":"","family":"Strother","given":"T","non-dropping-particle":"","parse-names":false,"suffix":""},{"dropping-particle":"","family":"Hamers","given":"R J","non-dropping-particle":"","parse-names":false,"suffix":""},{"dropping-particle":"","family":"Smith","given":"L M","non-dropping-particle":"","parse-names":false,"suffix":""}],"container-title":"Nucleic acids research","id":"ITEM-1","issue":"18","issued":{"date-parts":[["2000","9","15"]]},"language":"eng","page":"3535-3541","publisher":"Oxford University Press","title":"Covalent attachment of oligodeoxyribonucleotides to amine-modified Si (001) surfaces","type":"article-journal","volume":"28"},"uris":["http://www.mendeley.com/documents/?uuid=3f934e66-c69f-480a-8da4-3b773d16b9a3"]}],"mendeley":{"formattedCitation":"[134]","plainTextFormattedCitation":"[134]","previouslyFormattedCitation":"[134]"},"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[134]</w:t>
      </w:r>
      <w:r w:rsidRPr="005B1CCB">
        <w:rPr>
          <w:rFonts w:ascii="Palatino Linotype" w:hAnsi="Palatino Linotype"/>
          <w:sz w:val="24"/>
          <w:szCs w:val="24"/>
        </w:rPr>
        <w:fldChar w:fldCharType="end"/>
      </w:r>
    </w:p>
    <w:p w14:paraId="3D0F880E" w14:textId="77777777" w:rsidR="00B600BA" w:rsidRPr="005B1CCB" w:rsidRDefault="00B600BA" w:rsidP="00B600BA">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Pr="00674196">
        <w:rPr>
          <w:rFonts w:ascii="Palatino Linotype" w:hAnsi="Palatino Linotype"/>
          <w:sz w:val="24"/>
          <w:szCs w:val="24"/>
        </w:rPr>
        <w:t>A primer is a short synthetic oligonucleotide used in various molecular techniques. They are designed to have a sequence that is the reverse complement of a region of the target or DNA template which the primer anneals to.</w:t>
      </w:r>
      <w:r w:rsidRPr="005B1CCB">
        <w:rPr>
          <w:rFonts w:ascii="Palatino Linotype" w:hAnsi="Palatino Linotype"/>
          <w:sz w:val="24"/>
          <w:szCs w:val="24"/>
        </w:rPr>
        <w:t xml:space="preserve"> </w:t>
      </w:r>
      <w:r w:rsidRPr="005B1CCB">
        <w:rPr>
          <w:rFonts w:ascii="Palatino Linotype" w:hAnsi="Palatino Linotype"/>
          <w:sz w:val="24"/>
          <w:szCs w:val="24"/>
          <w:lang w:bidi="en-US"/>
        </w:rPr>
        <w:t xml:space="preserve">In order to isolate the region of DNA </w:t>
      </w:r>
      <w:r w:rsidR="00CE49BE" w:rsidRPr="005B1CCB">
        <w:rPr>
          <w:rFonts w:ascii="Palatino Linotype" w:hAnsi="Palatino Linotype"/>
          <w:sz w:val="24"/>
          <w:szCs w:val="24"/>
          <w:lang w:bidi="en-US"/>
        </w:rPr>
        <w:t>that needs to be detected</w:t>
      </w:r>
      <w:r w:rsidRPr="005B1CCB">
        <w:rPr>
          <w:rFonts w:ascii="Palatino Linotype" w:hAnsi="Palatino Linotype"/>
          <w:sz w:val="24"/>
          <w:szCs w:val="24"/>
          <w:lang w:bidi="en-US"/>
        </w:rPr>
        <w:t xml:space="preserve">, </w:t>
      </w:r>
      <w:r w:rsidRPr="005B1CCB">
        <w:rPr>
          <w:rFonts w:ascii="Palatino Linotype" w:hAnsi="Palatino Linotype"/>
          <w:sz w:val="24"/>
          <w:szCs w:val="24"/>
        </w:rPr>
        <w:t>effective primer design is essential for successful reactions and specific amplifications with high yields. When designing primers, some considerations to take into account include the following:</w:t>
      </w:r>
    </w:p>
    <w:p w14:paraId="17E35E60" w14:textId="1A55B16A" w:rsidR="00B600BA" w:rsidRPr="005B1CCB" w:rsidRDefault="00B600BA" w:rsidP="00B600BA">
      <w:pPr>
        <w:pStyle w:val="ListParagraph"/>
        <w:numPr>
          <w:ilvl w:val="0"/>
          <w:numId w:val="19"/>
        </w:numPr>
        <w:spacing w:line="360" w:lineRule="auto"/>
        <w:jc w:val="both"/>
        <w:rPr>
          <w:rFonts w:ascii="Palatino Linotype" w:hAnsi="Palatino Linotype"/>
          <w:sz w:val="24"/>
          <w:szCs w:val="24"/>
        </w:rPr>
      </w:pPr>
      <w:r w:rsidRPr="005B1CCB">
        <w:rPr>
          <w:rFonts w:ascii="Palatino Linotype" w:hAnsi="Palatino Linotype"/>
          <w:sz w:val="24"/>
          <w:szCs w:val="24"/>
        </w:rPr>
        <w:t>Gs bonds with Cs with three hydrogen bonds while As bonds with Ts with two hydrogen bonds so a G</w:t>
      </w:r>
      <w:r w:rsidR="00463E6B">
        <w:rPr>
          <w:rFonts w:ascii="Palatino Linotype" w:hAnsi="Palatino Linotype"/>
          <w:sz w:val="24"/>
          <w:szCs w:val="24"/>
        </w:rPr>
        <w:t>≡</w:t>
      </w:r>
      <w:r w:rsidRPr="005B1CCB">
        <w:rPr>
          <w:rFonts w:ascii="Palatino Linotype" w:hAnsi="Palatino Linotype"/>
          <w:sz w:val="24"/>
          <w:szCs w:val="24"/>
        </w:rPr>
        <w:t>C combination is a strong bond than an A</w:t>
      </w:r>
      <w:r w:rsidR="00463E6B">
        <w:rPr>
          <w:rFonts w:ascii="Palatino Linotype" w:hAnsi="Palatino Linotype"/>
          <w:sz w:val="24"/>
          <w:szCs w:val="24"/>
        </w:rPr>
        <w:t>=</w:t>
      </w:r>
      <w:r w:rsidRPr="005B1CCB">
        <w:rPr>
          <w:rFonts w:ascii="Palatino Linotype" w:hAnsi="Palatino Linotype"/>
          <w:sz w:val="24"/>
          <w:szCs w:val="24"/>
        </w:rPr>
        <w:t>T combination. The G-C content of the primers should ideally be between 40 – 60 %.</w:t>
      </w:r>
    </w:p>
    <w:p w14:paraId="08A841D3" w14:textId="77777777" w:rsidR="00B600BA" w:rsidRPr="005B1CCB" w:rsidRDefault="00B600BA" w:rsidP="00B600BA">
      <w:pPr>
        <w:pStyle w:val="ListParagraph"/>
        <w:numPr>
          <w:ilvl w:val="0"/>
          <w:numId w:val="19"/>
        </w:numPr>
        <w:spacing w:line="360" w:lineRule="auto"/>
        <w:jc w:val="both"/>
        <w:rPr>
          <w:rFonts w:ascii="Palatino Linotype" w:hAnsi="Palatino Linotype"/>
          <w:sz w:val="24"/>
          <w:szCs w:val="24"/>
        </w:rPr>
      </w:pPr>
      <w:r w:rsidRPr="005B1CCB">
        <w:rPr>
          <w:rFonts w:ascii="Palatino Linotype" w:hAnsi="Palatino Linotype"/>
          <w:sz w:val="24"/>
          <w:szCs w:val="24"/>
        </w:rPr>
        <w:t>The 3’ end of the primer molecule is essential for the sensitivity and specificity of the reaction so it is advisable to have three or more G or C bases at this end.</w:t>
      </w:r>
    </w:p>
    <w:p w14:paraId="39F1F0ED" w14:textId="77777777" w:rsidR="00B600BA" w:rsidRPr="005B1CCB" w:rsidRDefault="00B600BA" w:rsidP="00B600BA">
      <w:pPr>
        <w:pStyle w:val="ListParagraph"/>
        <w:numPr>
          <w:ilvl w:val="0"/>
          <w:numId w:val="19"/>
        </w:numPr>
        <w:spacing w:line="360" w:lineRule="auto"/>
        <w:jc w:val="both"/>
        <w:rPr>
          <w:rFonts w:ascii="Palatino Linotype" w:hAnsi="Palatino Linotype"/>
          <w:sz w:val="24"/>
          <w:szCs w:val="24"/>
        </w:rPr>
      </w:pPr>
      <w:r w:rsidRPr="005B1CCB">
        <w:rPr>
          <w:rFonts w:ascii="Palatino Linotype" w:hAnsi="Palatino Linotype"/>
          <w:sz w:val="24"/>
          <w:szCs w:val="24"/>
        </w:rPr>
        <w:t>Using primers with a low self-complementarity score to reduce self-binding i.e.</w:t>
      </w:r>
      <w:r w:rsidR="0054039C">
        <w:rPr>
          <w:rFonts w:ascii="Palatino Linotype" w:hAnsi="Palatino Linotype"/>
          <w:sz w:val="24"/>
          <w:szCs w:val="24"/>
        </w:rPr>
        <w:t>,</w:t>
      </w:r>
      <w:r w:rsidRPr="005B1CCB">
        <w:rPr>
          <w:rFonts w:ascii="Palatino Linotype" w:hAnsi="Palatino Linotype"/>
          <w:sz w:val="24"/>
          <w:szCs w:val="24"/>
        </w:rPr>
        <w:t xml:space="preserve"> a score of 4 or less with 8 being the maximum.</w:t>
      </w:r>
    </w:p>
    <w:p w14:paraId="11B4938F" w14:textId="77777777" w:rsidR="00B600BA" w:rsidRPr="005B1CCB" w:rsidRDefault="00B600BA" w:rsidP="00B600BA">
      <w:pPr>
        <w:pStyle w:val="ListParagraph"/>
        <w:numPr>
          <w:ilvl w:val="0"/>
          <w:numId w:val="19"/>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A primer length of 18-22 bases as shorter primers could lead to non-specific amplicons.</w:t>
      </w:r>
    </w:p>
    <w:p w14:paraId="578D9829" w14:textId="150362CC" w:rsidR="00B600BA" w:rsidRPr="005B1CCB" w:rsidRDefault="00B600BA" w:rsidP="00B600BA">
      <w:pPr>
        <w:pStyle w:val="ListParagraph"/>
        <w:numPr>
          <w:ilvl w:val="0"/>
          <w:numId w:val="19"/>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A good yield and specificity occurs when the temperature of both primers are within 2 – 4 °C and in the range of 55 – 65 °C.                                          </w:t>
      </w:r>
      <w:r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{"citationItems":[{"id":"ITEM-1","itemData":{"DOI":"10.1101/gr.3.3.S30","ISSN":"10889051","PMID":"8118394","author":[{"dropping-particle":"","family":"Dieffenbach","given":"C. W.","non-dropping-particle":"","parse-names":false,"suffix":""},{"dropping-particle":"","family":"Lowe","given":"T. M.J.","non-dropping-particle":"","parse-names":false,"suffix":""},{"dropping-particle":"","family":"Dveksler","given":"G. S.","non-dropping-particle":"","parse-names":false,"suffix":""}],"container-title":"Genome Research","id":"ITEM-1","issue":"3","issued":{"date-parts":[["1993"]]},"title":"General concepts for PCR primer design","type":"article-journal","volume":"3"},"uris":["http://www.mendeley.com/documents/?uuid=0c6dff5b-3e2c-4b6b-8ff4-b30faf7bf6e3"]}],"mendeley":{"formattedCitation":"[135]","plainTextFormattedCitation":"[135]","previouslyFormattedCitation":"[135]"},"properties":{"noteIndex":0},"schema":"https://github.com/citation-style-language/schema/raw/master/csl-citation.json"}</w:instrText>
      </w:r>
      <w:r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[135]</w:t>
      </w:r>
      <w:r w:rsidRPr="005B1CCB">
        <w:rPr>
          <w:rFonts w:ascii="Palatino Linotype" w:hAnsi="Palatino Linotype"/>
          <w:sz w:val="24"/>
          <w:szCs w:val="24"/>
          <w:lang w:bidi="en-US"/>
        </w:rPr>
        <w:fldChar w:fldCharType="end"/>
      </w:r>
      <w:r w:rsidRPr="005B1CCB">
        <w:rPr>
          <w:rFonts w:ascii="Palatino Linotype" w:hAnsi="Palatino Linotype"/>
          <w:sz w:val="24"/>
          <w:szCs w:val="24"/>
          <w:lang w:bidi="en-US"/>
        </w:rPr>
        <w:t xml:space="preserve"> </w:t>
      </w:r>
      <w:r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{"citationItems":[{"id":"ITEM-1","itemData":{"ISBN":"1684-5315","ISSN":"1684-5315","abstract":"Bioinformatics has become an essential tool not only for basic research but also for applied research in biotechnology and biomedical sciences. Optimal primer sequence and appropriate primer concentration are essential for maximal specificity and efficiency of PCR. A poorly designed primer can result in little or no product due to non-specific amplification and/or primer-dimer formation, which can become competitive enough to suppress product formation. There are several online tools devoted to serving molecular biologist design effective PCR primers. This review intends to provide a guide to choosing the most efficient way to design a new specific-primer by applying current publicly available links and Web services. Also, the purpose here is to provide general recommendations for the design and use of PCR primers. \\n(African Journal of Biotechnology: 2003 2(5): 91-95)","author":[{"dropping-particle":"","family":"Elsalam","given":"Kamel A. Abd","non-dropping-particle":"","parse-names":false,"suffix":""}],"container-title":"African Journal of Biotechnology","id":"ITEM-1","issue":"5","issued":{"date-parts":[["2003"]]},"page":"91-95","title":"Bioinformatic tools and guideline for PCR primer design","type":"article-journal","volume":"2"},"uris":["http://www.mendeley.com/documents/?uuid=a2a23a29-e4da-4235-9e8a-19ec26be8b49"]}],"mendeley":{"formattedCitation":"[136]","plainTextFormattedCitation":"[136]","previouslyFormattedCitation":"[136]"},"properties":{"noteIndex":0},"schema":"https://github.com/citation-style-language/schema/raw/master/csl-citation.json"}</w:instrText>
      </w:r>
      <w:r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[136]</w:t>
      </w:r>
      <w:r w:rsidRPr="005B1CCB">
        <w:rPr>
          <w:rFonts w:ascii="Palatino Linotype" w:hAnsi="Palatino Linotype"/>
          <w:sz w:val="24"/>
          <w:szCs w:val="24"/>
          <w:lang w:bidi="en-US"/>
        </w:rPr>
        <w:fldChar w:fldCharType="end"/>
      </w:r>
    </w:p>
    <w:p w14:paraId="6E13341C" w14:textId="77777777" w:rsidR="00B600BA" w:rsidRPr="005B1CCB" w:rsidRDefault="00B600BA" w:rsidP="00B600BA">
      <w:pPr>
        <w:pStyle w:val="ListParagraph"/>
        <w:ind w:left="1004"/>
        <w:jc w:val="both"/>
        <w:rPr>
          <w:rFonts w:ascii="Palatino Linotype" w:hAnsi="Palatino Linotype"/>
          <w:sz w:val="24"/>
          <w:szCs w:val="24"/>
          <w:lang w:bidi="en-US"/>
        </w:rPr>
      </w:pPr>
    </w:p>
    <w:p w14:paraId="71C3007E" w14:textId="77777777" w:rsidR="00B600BA" w:rsidRPr="005B1CCB" w:rsidRDefault="00B600BA" w:rsidP="00B600BA">
      <w:pPr>
        <w:pStyle w:val="Heading3"/>
      </w:pPr>
      <w:bookmarkStart w:id="40" w:name="_Toc84528050"/>
      <w:r w:rsidRPr="005B1CCB">
        <w:t>Amplification</w:t>
      </w:r>
      <w:bookmarkEnd w:id="40"/>
    </w:p>
    <w:p w14:paraId="60F6D862" w14:textId="0E63B2D2" w:rsidR="00B600BA" w:rsidRPr="005B1CCB" w:rsidRDefault="00B600BA" w:rsidP="00B600B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It is possible that an integrated PoC measurement and amplification of ctDNA may present a more practical means of detecting the presence of a tumour as well as capturing tumour heterogeneity, evaluating response to treatment and monitoring disease recurrence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{"citationItems":[{"id":"ITEM-1","itemData":{"DOI":"10.1373/clinchem.2013.206359","ISBN":"1530-8561 (Electronic)\\r0009-9147 (Linking)","ISSN":"00099147","PMID":"23938455","abstract":"Multiplex digital PCR (dPCR) enables noninvasive and sensitive detection of circulating tumor DNA with performance unachievable by current molecular-detection approaches. Furthermore, picodroplet dPCR facilitates simultaneous screening for multiple mutations from the same sample.","author":[{"dropping-particle":"","family":"Taly","given":"Valerie","non-dropping-particle":"","parse-names":false,"suffix":""},{"dropping-particle":"","family":"Pekin","given":"Deniz","non-dropping-particle":"","parse-names":false,"suffix":""},{"dropping-particle":"","family":"Benhaim","given":"Leonor","non-dropping-particle":"","parse-names":false,"suffix":""},{"dropping-particle":"","family":"Kotsopoulos","given":"Steve K.","non-dropping-particle":"","parse-names":false,"suffix":""},{"dropping-particle":"Le","family":"Corre","given":"Delphine","non-dropping-particle":"","parse-names":false,"suffix":""},{"dropping-particle":"","family":"Li","given":"Xinyu","non-dropping-particle":"","parse-names":false,"suffix":""},{"dropping-particle":"","family":"Atochin","given":"Ivan","non-dropping-particle":"","parse-names":false,"suffix":""},{"dropping-particle":"","family":"Link","given":"Darren R.","non-dropping-particle":"","parse-names":false,"suffix":""},{"dropping-particle":"","family":"Griffiths","given":"Andrew D.","non-dropping-particle":"","parse-names":false,"suffix":""},{"dropping-particle":"","family":"Pallier","given":"Karine","non-dropping-particle":"","parse-names":false,"suffix":""},{"dropping-particle":"","family":"Blons","given":"Hélène","non-dropping-particle":"","parse-names":false,"suffix":""},{"dropping-particle":"","family":"Bouché","given":"Olivier","non-dropping-particle":"","parse-names":false,"suffix":""},{"dropping-particle":"","family":"Landi","given":"Bruno","non-dropping-particle":"","parse-names":false,"suffix":""},{"dropping-particle":"","family":"Hutchison","given":"J. Brian","non-dropping-particle":"","parse-names":false,"suffix":""},{"dropping-particle":"","family":"Laurent-Puig","given":"Pierre","non-dropping-particle":"","parse-names":false,"suffix":""}],"container-title":"Clinical Chemistry","id":"ITEM-1","issue":"12","issued":{"date-parts":[["2013"]]},"page":"1722-1731","title":"Multiplex picodroplet digital PCR to detect KRAS mutations in circulating DNA from the plasma of colorectal cancer patients","type":"article-journal","volume":"59"},"uris":["http://www.mendeley.com/documents/?uuid=1f9f51a3-b9d5-4038-9de7-d5780b3fe2de"]}],"mendeley":{"formattedCitation":"[27]","plainTextFormattedCitation":"[27]","previouslyFormattedCitation":"[27]"},"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[27]</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{"citationItems":[{"id":"ITEM-1","itemData":{"author":[{"dropping-particle":"","family":"Wan","given":"Jonathan C M","non-dropping-particle":"","parse-names":false,"suffix":""},{"dropping-particle":"","family":"Massie","given":"Charles","non-dropping-particle":"","parse-names":false,"suffix":""},{"dropping-particle":"","family":"Garcia-Corbacho","given":"Javier","non-dropping-particle":"","parse-names":false,"suffix":""},{"dropping-particle":"","family":"Mouliere","given":"Florent","non-dropping-particle":"","parse-names":false,"suffix":""},{"dropping-particle":"","family":"Brenton","given":"James D","non-dropping-particle":"","parse-names":false,"suffix":""},{"dropping-particle":"","family":"Caldas","given":"Carlos","non-dropping-particle":"","parse-names":false,"suffix":""},{"dropping-particle":"","family":"Pacey","given":"Simon","non-dropping-particle":"","parse-names":false,"suffix":""},{"dropping-particle":"","family":"Baird","given":"Richard","non-dropping-particle":"","parse-names":false,"suffix":""},{"dropping-particle":"","family":"Rosenfeld","given":"Nitzan","non-dropping-particle":"","parse-names":false,"suffix":""}],"container-title":"Nature Reviews Cancer","id":"ITEM-1","issued":{"date-parts":[["2017","2","24"]]},"page":"223","publisher":"Nature Publishing Group, a division of Macmillan Publishers Limited. All Rights Reserved.","title":"Liquid biopsies come of age: towards implementation of circulating tumour DNA","type":"article-journal","volume":"17"},"uris":["http://www.mendeley.com/documents/?uuid=438599ae-30ef-490e-8644-93a371a83e4e"]}],"mendeley":{"formattedCitation":"[28]","plainTextFormattedCitation":"[28]","previouslyFormattedCitation":"[28]"},"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[28]</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In order to couple DNA amplification directly to the electrochemical assay, it will be necessary to develop a standard amplification reaction which can be run in a portable thermocycling machine to closely a mimic a system which could be deployed in the clinic with on-board amplification and sample delivery to the sensor electrodes.  Due to the small fraction of ctDNA masked by large background levels of wild-type </w:t>
      </w:r>
      <w:r w:rsidR="00F6783B">
        <w:rPr>
          <w:rFonts w:ascii="Palatino Linotype" w:hAnsi="Palatino Linotype" w:cs="Times New Roman"/>
          <w:sz w:val="24"/>
          <w:szCs w:val="24"/>
        </w:rPr>
        <w:t>cf</w:t>
      </w:r>
      <w:r w:rsidRPr="005B1CCB">
        <w:rPr>
          <w:rFonts w:ascii="Palatino Linotype" w:hAnsi="Palatino Linotype" w:cs="Times New Roman"/>
          <w:sz w:val="24"/>
          <w:szCs w:val="24"/>
        </w:rPr>
        <w:t xml:space="preserve">DNA, highly sensitive amplification techniques such as polymerase chain reaction (PCR) will need to be employed to achieve discrimination.  PCR is a technique regularly used in the lab to amplify specific regions of the genomic DNA strand and is most effective after repeated rounds of DNA synthesis as every cycle doubles the amount of DNA synthesized in the previous cycle. </w:t>
      </w:r>
      <w:r w:rsidR="00CE49BE" w:rsidRPr="005B1CCB">
        <w:rPr>
          <w:rFonts w:ascii="Palatino Linotype" w:hAnsi="Palatino Linotype" w:cs="Times New Roman"/>
          <w:sz w:val="24"/>
          <w:szCs w:val="24"/>
        </w:rPr>
        <w:t>M</w:t>
      </w:r>
      <w:r w:rsidRPr="005B1CCB">
        <w:rPr>
          <w:rFonts w:ascii="Palatino Linotype" w:hAnsi="Palatino Linotype" w:cs="Times New Roman"/>
          <w:sz w:val="24"/>
          <w:szCs w:val="24"/>
        </w:rPr>
        <w:t>illions of copies of a specific DNA sample</w:t>
      </w:r>
      <w:r w:rsidR="00CE49BE" w:rsidRPr="005B1CCB">
        <w:rPr>
          <w:rFonts w:ascii="Palatino Linotype" w:hAnsi="Palatino Linotype" w:cs="Times New Roman"/>
          <w:sz w:val="24"/>
          <w:szCs w:val="24"/>
        </w:rPr>
        <w:t xml:space="preserve"> can be gotten</w:t>
      </w:r>
      <w:r w:rsidRPr="005B1CCB">
        <w:rPr>
          <w:rFonts w:ascii="Palatino Linotype" w:hAnsi="Palatino Linotype" w:cs="Times New Roman"/>
          <w:sz w:val="24"/>
          <w:szCs w:val="24"/>
        </w:rPr>
        <w:t xml:space="preserve">.  Three steps are required for a successful PCR reaction: </w:t>
      </w:r>
      <w:r w:rsidRPr="00674196">
        <w:rPr>
          <w:rFonts w:ascii="Palatino Linotype" w:hAnsi="Palatino Linotype" w:cs="Times New Roman"/>
          <w:sz w:val="24"/>
          <w:szCs w:val="24"/>
        </w:rPr>
        <w:t xml:space="preserve">(1) denaturation of the template into single strands (2) annealing of primers to each original strand for new strand synthesis and (3) extension of the new DNA strands using specifically designed primers </w:t>
      </w:r>
      <w:r w:rsidRPr="00492F11">
        <w:rPr>
          <w:rFonts w:ascii="Palatino Linotype" w:hAnsi="Palatino Linotype" w:cs="Times New Roman"/>
          <w:sz w:val="24"/>
          <w:szCs w:val="24"/>
          <w:highlight w:val="yellow"/>
        </w:rPr>
        <w:fldChar w:fldCharType="begin" w:fldLock="1"/>
      </w:r>
      <w:r w:rsidR="000766C5">
        <w:rPr>
          <w:rFonts w:ascii="Palatino Linotype" w:hAnsi="Palatino Linotype" w:cs="Times New Roman"/>
          <w:sz w:val="24"/>
          <w:szCs w:val="24"/>
        </w:rPr>
        <w:instrText>ADDIN CSL_CITATION {"citationItems":[{"id":"ITEM-1","itemData":{"DOI":"10.1385/0-89603-244-2:1","ISBN":"978-1-59259-502-0","abstract":"The melding of a technique for repeated rounds of DNA synthesis with the discovery of a thermostable DNA polymerase has given scientists the very powerful technique known as polymerase chain reaction (PCR). PCR is based on three simple steps required for any DNA synthesis reaction: (1) denaturation of the template into single strands; (2) annealing of primers to each original strand for new strand synthesis; and (3) extension of the new DNA strands from the primers. These reactions may be carried out with any DNA polymerase and result in the synthesis of defined portions of the original DNA sequence. However, in order to achieve more than one round of synthesis, the templates must again be denatured, which requires temperatures well above those that inactivate most enzymes. Therefore, initial attempts at cyclic DNA synthesis were carried out by adding fresh polymerase after each denaturation step (1,2). The cost of such a protocol becomes rapidly prohibitive.","author":[{"dropping-particle":"","family":"Delidow","given":"Beverly C","non-dropping-particle":"","parse-names":false,"suffix":""},{"dropping-particle":"","family":"Lynch","given":"John P","non-dropping-particle":"","parse-names":false,"suffix":""},{"dropping-particle":"","family":"Peluso","given":"John J","non-dropping-particle":"","parse-names":false,"suffix":""},{"dropping-particle":"","family":"White","given":"Bruce A","non-dropping-particle":"","parse-names":false,"suffix":""}],"editor":[{"dropping-particle":"","family":"White","given":"Bruce A","non-dropping-particle":"","parse-names":false,"suffix":""}],"id":"ITEM-1","issued":{"date-parts":[["1993"]]},"page":"1-29","publisher":"Humana Press","publisher-place":"Totowa, NJ","title":"Polymerase Chain Reaction BT  - PCR Protocols: Current Methods and Applications","type":"chapter"},"uris":["http://www.mendeley.com/documents/?uuid=bc2356bd-74e3-4f6d-b02d-a3873ad60710"]}],"mendeley":{"formattedCitation":"[137]","plainTextFormattedCitation":"[137]","previouslyFormattedCitation":"[137]"},"properties":{"noteIndex":0},"schema":"https://github.com/citation-style-language/schema/raw/master/csl-citation.json"}</w:instrText>
      </w:r>
      <w:r w:rsidRPr="00492F11">
        <w:rPr>
          <w:rFonts w:ascii="Palatino Linotype" w:hAnsi="Palatino Linotype" w:cs="Times New Roman"/>
          <w:sz w:val="24"/>
          <w:szCs w:val="24"/>
          <w:highlight w:val="yellow"/>
        </w:rPr>
        <w:fldChar w:fldCharType="separate"/>
      </w:r>
      <w:r w:rsidR="005F2946" w:rsidRPr="005F2946">
        <w:rPr>
          <w:rFonts w:ascii="Palatino Linotype" w:hAnsi="Palatino Linotype" w:cs="Times New Roman"/>
          <w:noProof/>
          <w:sz w:val="24"/>
          <w:szCs w:val="24"/>
        </w:rPr>
        <w:t>[137]</w:t>
      </w:r>
      <w:r w:rsidRPr="00492F11">
        <w:rPr>
          <w:rFonts w:ascii="Palatino Linotype" w:hAnsi="Palatino Linotype" w:cs="Times New Roman"/>
          <w:sz w:val="24"/>
          <w:szCs w:val="24"/>
          <w:highlight w:val="yellow"/>
        </w:rPr>
        <w:fldChar w:fldCharType="end"/>
      </w:r>
      <w:r w:rsidRPr="00674196">
        <w:rPr>
          <w:rFonts w:ascii="Palatino Linotype" w:hAnsi="Palatino Linotype" w:cs="Times New Roman"/>
          <w:sz w:val="24"/>
          <w:szCs w:val="24"/>
        </w:rPr>
        <w:t>.</w:t>
      </w:r>
      <w:r w:rsidRPr="005B1CCB">
        <w:rPr>
          <w:rFonts w:ascii="Palatino Linotype" w:hAnsi="Palatino Linotype" w:cs="Times New Roman"/>
          <w:sz w:val="24"/>
          <w:szCs w:val="24"/>
        </w:rPr>
        <w:t xml:space="preserve">  An illustration of the PCR amplification process is shown in Figure </w:t>
      </w:r>
      <w:r w:rsidR="00505BAB" w:rsidRPr="005B1CCB">
        <w:rPr>
          <w:rFonts w:ascii="Palatino Linotype" w:hAnsi="Palatino Linotype" w:cs="Times New Roman"/>
          <w:sz w:val="24"/>
          <w:szCs w:val="24"/>
        </w:rPr>
        <w:t>3</w:t>
      </w:r>
      <w:r w:rsidRPr="005B1CCB">
        <w:rPr>
          <w:rFonts w:ascii="Palatino Linotype" w:hAnsi="Palatino Linotype" w:cs="Times New Roman"/>
          <w:sz w:val="24"/>
          <w:szCs w:val="24"/>
        </w:rPr>
        <w:t>.</w:t>
      </w:r>
    </w:p>
    <w:p w14:paraId="78D8161E" w14:textId="77777777" w:rsidR="00B600BA" w:rsidRPr="005B1CCB" w:rsidRDefault="00B600BA" w:rsidP="00B600BA">
      <w:pPr>
        <w:keepNext/>
        <w:spacing w:line="360" w:lineRule="auto"/>
        <w:jc w:val="both"/>
      </w:pPr>
      <w:r w:rsidRPr="005B1CCB">
        <w:rPr>
          <w:noProof/>
          <w:lang w:eastAsia="en-GB"/>
        </w:rPr>
        <w:drawing>
          <wp:inline distT="0" distB="0" distL="0" distR="0" wp14:anchorId="47A54F4B" wp14:editId="2BDFDAF3">
            <wp:extent cx="5972175" cy="3115876"/>
            <wp:effectExtent l="0" t="0" r="0" b="0"/>
            <wp:docPr id="7" name="Picture 7" descr="Polymerase Chain Reaction (PCR)- Principle, Procedure, Types, Applications  and Ani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lymerase Chain Reaction (PCR)- Principle, Procedure, Types, Applications  and Anim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3115876"/>
                    </a:xfrm>
                    <a:prstGeom prst="rect">
                      <a:avLst/>
                    </a:prstGeom>
                    <a:noFill/>
                    <a:ln>
                      <a:noFill/>
                    </a:ln>
                  </pic:spPr>
                </pic:pic>
              </a:graphicData>
            </a:graphic>
          </wp:inline>
        </w:drawing>
      </w:r>
    </w:p>
    <w:p w14:paraId="14D57A08" w14:textId="3D25F1F3" w:rsidR="00B600BA" w:rsidRPr="005B1CCB" w:rsidRDefault="00B600BA" w:rsidP="00B600BA">
      <w:pPr>
        <w:pStyle w:val="Caption"/>
        <w:jc w:val="center"/>
        <w:rPr>
          <w:rFonts w:ascii="Palatino Linotype" w:hAnsi="Palatino Linotype" w:cs="Times New Roman"/>
          <w:sz w:val="22"/>
          <w:szCs w:val="22"/>
        </w:rPr>
      </w:pPr>
      <w:bookmarkStart w:id="41" w:name="_Toc84519598"/>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w:t>
      </w:r>
      <w:r w:rsidRPr="005B1CCB">
        <w:rPr>
          <w:sz w:val="22"/>
          <w:szCs w:val="22"/>
        </w:rPr>
        <w:fldChar w:fldCharType="end"/>
      </w:r>
      <w:r w:rsidRPr="005B1CCB">
        <w:rPr>
          <w:sz w:val="22"/>
          <w:szCs w:val="22"/>
        </w:rPr>
        <w:t xml:space="preserve">: Schematic drawing showing the PCR amplification technique </w:t>
      </w:r>
      <w:r w:rsidRPr="005B1CCB">
        <w:rPr>
          <w:sz w:val="22"/>
          <w:szCs w:val="22"/>
        </w:rPr>
        <w:fldChar w:fldCharType="begin" w:fldLock="1"/>
      </w:r>
      <w:r w:rsidR="000766C5">
        <w:rPr>
          <w:sz w:val="22"/>
          <w:szCs w:val="22"/>
        </w:rPr>
        <w:instrText>ADDIN CSL_CITATION {"citationItems":[{"id":"ITEM-1","itemData":{"URL":"https://microbeonline.com/polymerase-chain-reaction-pcr-steps-types-applications/","author":[{"dropping-particle":"","family":"Tankeshwar","given":"Acharya","non-dropping-particle":"","parse-names":false,"suffix":""}],"container-title":"microbeonline","id":"ITEM-1","issued":{"date-parts":[["2021"]]},"title":"Polymerase Chain Reaction (PCR)","type":"webpage"},"uris":["http://www.mendeley.com/documents/?uuid=81dba324-8b53-4bcf-904b-6a60502e8431"]}],"mendeley":{"formattedCitation":"[138]","plainTextFormattedCitation":"[138]","previouslyFormattedCitation":"[138]"},"properties":{"noteIndex":0},"schema":"https://github.com/citation-style-language/schema/raw/master/csl-citation.json"}</w:instrText>
      </w:r>
      <w:r w:rsidRPr="005B1CCB">
        <w:rPr>
          <w:sz w:val="22"/>
          <w:szCs w:val="22"/>
        </w:rPr>
        <w:fldChar w:fldCharType="separate"/>
      </w:r>
      <w:r w:rsidR="005F2946" w:rsidRPr="005F2946">
        <w:rPr>
          <w:i w:val="0"/>
          <w:noProof/>
          <w:sz w:val="22"/>
          <w:szCs w:val="22"/>
        </w:rPr>
        <w:t>[138]</w:t>
      </w:r>
      <w:bookmarkEnd w:id="41"/>
      <w:r w:rsidRPr="005B1CCB">
        <w:rPr>
          <w:sz w:val="22"/>
          <w:szCs w:val="22"/>
        </w:rPr>
        <w:fldChar w:fldCharType="end"/>
      </w:r>
    </w:p>
    <w:p w14:paraId="5CB74591" w14:textId="744D43CD" w:rsidR="00B600BA" w:rsidRPr="005B1CCB" w:rsidRDefault="00B600BA" w:rsidP="00B600BA">
      <w:pPr>
        <w:spacing w:line="360" w:lineRule="auto"/>
        <w:jc w:val="both"/>
        <w:rPr>
          <w:rFonts w:ascii="Palatino Linotype" w:hAnsi="Palatino Linotype"/>
          <w:sz w:val="24"/>
          <w:szCs w:val="24"/>
        </w:rPr>
      </w:pPr>
      <w:r w:rsidRPr="005B1CCB">
        <w:rPr>
          <w:rFonts w:ascii="Palatino Linotype" w:hAnsi="Palatino Linotype" w:cs="Times New Roman"/>
          <w:sz w:val="24"/>
          <w:szCs w:val="24"/>
        </w:rPr>
        <w:t xml:space="preserve">     Although PCR was the first nucleic acid amplification technique, a number of alternative methods have been developed with the advancement of research. These include recombinase polymerase amplification (RPA)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twistdx.co.uk/en/rpa","author":[{"dropping-particle":"","family":"Limited","given":"TwistDx","non-dropping-particle":"","parse-names":false,"suffix":""}],"id":"ITEM-1","issued":{"date-parts":[["2020"]]},"title":"TwistDx","type":"webpage"},"uris":["http://www.mendeley.com/documents/?uuid=240a0d9c-e2fa-43a2-9f77-e0134080973e"]}],"mendeley":{"formattedCitation":"[139]","plainTextFormattedCitation":"[139]","previouslyFormattedCitation":"[139]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[139]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nucleic acid sequence based amplification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{"citationItems":[{"id":"ITEM-1","itemData":{"DOI":"10.1038/350091a0","ISSN":"1476-4687","abstract":"Nucleic acid sequence-based amplification (NASBA) is a primer-dependent technology that can be used for the continuous amplification of nucleic acids in a single mixture at one temperature.","author":[{"dropping-particle":"","family":"Compton","given":"J","non-dropping-particle":"","parse-names":false,"suffix":""}],"container-title":"Nature","id":"ITEM-1","issue":"6313","issued":{"date-parts":[["1991"]]},"page":"91-92","title":"Nucleic acid sequence-based amplification","type":"article-journal","volume":"350"},"uris":["http://www.mendeley.com/documents/?uuid=d873fc48-2a4b-4a7d-bdc2-676e563adfd8"]}],"mendeley":{"formattedCitation":"[140]","plainTextFormattedCitation":"[140]","previouslyFormattedCitation":"[140]"},"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[140]</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loop-mediated isothermal amplification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{"citationItems":[{"id":"ITEM-1","itemData":{"DOI":"10.1093/nar/28.12.e63","ISSN":"1362-4962","abstract":"We have developed a novel method, termed loop-mediated isothermal amplification (LAMP), that amplifies DNA with high specificity, efficiency and rapidity under isothermal conditions. This method employs a DNA polymerase and a set of four specially designed primers that recognize a total of six distinct sequences on the target DNA. An inner primer containing sequences of the sense and antisense strands of the target DNA initiates LAMP. The following strand displacement DNA synthesis primed by an outer primer releases a single-stranded DNA. This serves as template for DNA synthesis primed by the second inner and outer primers that hybridize to the other end of the target, which produces a stem-loop DNA structure. In subsequent LAMP cycling one inner primer hybridizes to the loop on the product and initiates displacement DNA synthesis, yielding the original stem-loop DNA and a new stem-loop DNA with a stem twice as long. The cycling reaction continues with accumulation of 10(9) copies of target in less than an hour. The final products are stem-loop DNAs with several inverted repeats of the target and cauliflower-like structures with multiple loops formed by annealing between alternately inverted repeats of the target in the same strand. Because LAMP recognizes the target by six distinct sequences initially and by four distinct sequences afterwards, it is expected to amplify the target sequence with high selectivity.","author":[{"dropping-particle":"","family":"Notomi","given":"T","non-dropping-particle":"","parse-names":false,"suffix":""},{"dropping-particle":"","family":"Okayama","given":"H","non-dropping-particle":"","parse-names":false,"suffix":""},{"dropping-particle":"","family":"Masubuchi","given":"H","non-dropping-particle":"","parse-names":false,"suffix":""},{"dropping-particle":"","family":"Yonekawa","given":"T","non-dropping-particle":"","parse-names":false,"suffix":""},{"dropping-particle":"","family":"Watanabe","given":"K","non-dropping-particle":"","parse-names":false,"suffix":""},{"dropping-particle":"","family":"Amino","given":"N","non-dropping-particle":"","parse-names":false,"suffix":""},{"dropping-particle":"","family":"Hase","given":"T","non-dropping-particle":"","parse-names":false,"suffix":""}],"container-title":"Nucleic acids research","id":"ITEM-1","issue":"12","issued":{"date-parts":[["2000","6","15"]]},"language":"eng","page":"E63-E63","publisher":"Oxford University Press","title":"Loop-mediated isothermal amplification of DNA","type":"article-journal","volume":"28"},"uris":["http://www.mendeley.com/documents/?uuid=a619c014-c05a-4aff-a694-3619b6494931"]}],"mendeley":{"formattedCitation":"[141]","plainTextFormattedCitation":"[141]","previouslyFormattedCitation":"[141]"},"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[141]</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strand displacement amplification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{"citationItems":[{"id":"ITEM-1","itemData":{"DOI":"10.1093/nar/20.7.1691","ISSN":"0305-1048","abstract":"Strand Displacement Amplification (SDA) is an isothermal, in vitro nucleic acid amplification technique based upon the ability of HincII to nick the unmodified strand of a hemiphosphorothioate form of its recognition site, and the ability of exonuclease deficient klenow (exo- klenow) to extend the 3'-end at the nick and displace the downstream DNA strand. Exponential amplification results from coupling sense and antisense reactions in which strands displaced from a sense reaction serve as target for an antisense reaction and vice versa. In the original design (G. T. Walker, M. C. Little, J. G. Nadeau and D. D. Shank (1992) Proc. Natl. Acad. Sci 89, 392-396), the target DNA sample is first cleaved with a restriction enzyme(s) in order to generate a double-stranded target fragment with defined 5'- and 3'-ends that can then undergo SDA. Although effective, target generation by restriction enzyme cleavage presents a number of practical limitations. We report a new target generation scheme that eliminates the requirement for restriction enzyme cleavage of the target sample prior to amplification. The method exploits the strand displacement activity of exo- klenow to generate target DNA copies with defined 5'- and 3'-ends. The new target generation process occurs at a single temperature (after initial heat denaturation of the double-stranded DNA). The target copies generated by this process are then amplified directly by SDA. The new protocol improves overall amplification efficiency. Amplification efficiency is also enhanced by improved reaction conditions that reduce nonspecific binding of SDA primers. Greater than 10(7)-fold amplification of a genomic sequence from Mycobacterium tuberculosis is achieved in 2 hours at 37 degrees C even in the presence of as much as 10 micrograms of human DNA per 50 microL reaction. The new target generation scheme can also be applied to techniques separate from SDA as a means of conveniently producing double-stranded fragments with 5'- and 3'-sequences modified as desired.","author":[{"dropping-particle":"","family":"Walker","given":"G T","non-dropping-particle":"","parse-names":false,"suffix":""},{"dropping-particle":"","family":"Fraiser","given":"M S","non-dropping-particle":"","parse-names":false,"suffix":""},{"dropping-particle":"","family":"Schram","given":"J L","non-dropping-particle":"","parse-names":false,"suffix":""},{"dropping-particle":"","family":"Little","given":"M C","non-dropping-particle":"","parse-names":false,"suffix":""},{"dropping-particle":"","family":"Nadeau","given":"J G","non-dropping-particle":"","parse-names":false,"suffix":""},{"dropping-particle":"","family":"Malinowski","given":"D P","non-dropping-particle":"","parse-names":false,"suffix":""}],"container-title":"Nucleic acids research","id":"ITEM-1","issue":"7","issued":{"date-parts":[["1992","4","11"]]},"language":"eng","page":"1691-1696","title":"Strand displacement amplification--an isothermal, in vitro DNA amplification technique","type":"article-journal","volume":"20"},"uris":["http://www.mendeley.com/documents/?uuid=12205463-e0cb-413b-876f-4a64785b17e6"]}],"mendeley":{"formattedCitation":"[142]","plainTextFormattedCitation":"[142]","previouslyFormattedCitation":"[142]"},"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[142]</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and multiple displacement amplification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{"citationItems":[{"id":"ITEM-1","itemData":{"DOI":"10.1038/nprot.2006.326","ISSN":"1750-2799","abstract":"Multiple displacement amplification (MDA) is a recently described method of whole-genome amplification (WGA) that has proven efficient in the amplification of small amounts of DNA, including DNA from single cells. Compared with PCR-based WGA methods, MDA generates DNA with a higher molecular weight and shows better genome coverage. This protocol was developed for preimplantation genetic diagnosis, and details a method for performing single-cell MDA using the φ29 DNA polymerase. It can also be useful for the amplification of other minute quantities of DNA, such as from forensic material or microdissected tissue. The protocol includes the collection and lysis of single cells, and all materials and steps involved in the MDA reaction. The whole procedure takes 3 h and generates 1–2 μg of DNA from a single cell, which is suitable for multiple downstream applications, such as sequencing, short tandem repeat analysis or array comparative genomic hybridization.","author":[{"dropping-particle":"","family":"Spits","given":"Claudia","non-dropping-particle":"","parse-names":false,"suffix":""},{"dropping-particle":"","family":"Caignec","given":"Cédric","non-dropping-particle":"Le","parse-names":false,"suffix":""},{"dropping-particle":"","family":"Rycke","given":"Martine","non-dropping-particle":"De","parse-names":false,"suffix":""},{"dropping-particle":"","family":"Haute","given":"Lindsey","non-dropping-particle":"Van","parse-names":false,"suffix":""},{"dropping-particle":"","family":"Steirteghem","given":"André","non-dropping-particle":"Van","parse-names":false,"suffix":""},{"dropping-particle":"","family":"Liebaers","given":"Inge","non-dropping-particle":"","parse-names":false,"suffix":""},{"dropping-particle":"","family":"Sermon","given":"Karen","non-dropping-particle":"","parse-names":false,"suffix":""}],"container-title":"Nature Protocols","id":"ITEM-1","issue":"4","issued":{"date-parts":[["2006"]]},"page":"1965-1970","title":"Whole-genome multiple displacement amplification from single cells","type":"article-journal","volume":"1"},"uris":["http://www.mendeley.com/documents/?uuid=3aa33ab3-9fb7-440c-9b75-2d2981d2d315"]}],"mendeley":{"formattedCitation":"[143]","plainTextFormattedCitation":"[143]","previouslyFormattedCitation":"[143]"},"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[143]</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674196">
        <w:rPr>
          <w:rFonts w:ascii="Palatino Linotype" w:hAnsi="Palatino Linotype"/>
          <w:sz w:val="24"/>
          <w:szCs w:val="24"/>
        </w:rPr>
        <w:t>The principles of the alternative nucleic acid amplification methods are relatively complex than that of PCR but they offer better sensitivity and applicability in cases where PCR has limitations and most of them are isothermal, thus relinquishing the need for thermal cyclers</w:t>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{"citationItems":[{"id":"ITEM-1","itemData":{"DOI":"10.4103/0975-7406.120066","ISSN":"0976-4879","abstract":"Nucleic acid amplification is a valuable molecular tool not only in basic research but also in application oriented fields, such as clinical medicine development, infectious diseases diagnosis, gene cloning and industrial quality control. A comperehensive review of the literature on the principles, applications, challenges and prospects of different alternative methods of polymerase chain reaction (PCR) was performed. PCR was the first nucleic acid amplification method. With the advancement of research, a no of alternative nucleic acid amplification methods has been developed such as loop mediated isothermal amplification, nucleic acid sequence based amplification, strand displacement amplification, multiple displacement amplification. Most of the alternative methods are isothermal obviating the need for thermal cyclers. Though principles of most of the alternate methods are relatively complex than that of PCR, they offer better applicability and sensitivity in cases where PCR has limitations. Most of the alternate methods still have to prove themselves through extensive validation studies and are not available in commercial form; they pose the potentiality to be used as replacements of PCR. Continuous research is going on in different parts of the world to make these methods viable technically and economically.","author":[{"dropping-particle":"","family":"Fakruddin","given":"Md","non-dropping-particle":"","parse-names":false,"suffix":""},{"dropping-particle":"Bin","family":"Mannan","given":"Khanjada Shahnewaj","non-dropping-particle":"","parse-names":false,"suffix":""},{"dropping-particle":"","family":"Chowdhury","given":"Abhijit","non-dropping-particle":"","parse-names":false,"suffix":""},{"dropping-particle":"","family":"Mazumdar","given":"Reaz Mohammad","non-dropping-particle":"","parse-names":false,"suffix":""},{"dropping-particle":"","family":"Hossain","given":"Md Nur","non-dropping-particle":"","parse-names":false,"suffix":""},{"dropping-particle":"","family":"Islam","given":"Sumaiya","non-dropping-particle":"","parse-names":false,"suffix":""},{"dropping-particle":"","family":"Chowdhury","given":"Md Alimuddin","non-dropping-particle":"","parse-names":false,"suffix":""}],"container-title":"Journal of pharmacy &amp; bioallied sciences","id":"ITEM-1","issue":"4","issued":{"date-parts":[["2013","10"]]},"language":"eng","page":"245-252","publisher":"Medknow Publications &amp; Media Pvt Ltd","title":"Nucleic acid amplification: Alternative methods of polymerase chain reaction","type":"article-journal","volume":"5"},"uris":["http://www.mendeley.com/documents/?uuid=84273804-ef74-4628-b1c9-4f6fa8ea267b"]}],"mendeley":{"formattedCitation":"[144]","plainTextFormattedCitation":"[144]","previouslyFormattedCitation":"[144]"},"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[144]</w:t>
      </w:r>
      <w:r w:rsidRPr="005B1CCB">
        <w:rPr>
          <w:rFonts w:ascii="Palatino Linotype" w:hAnsi="Palatino Linotype"/>
          <w:sz w:val="24"/>
          <w:szCs w:val="24"/>
        </w:rPr>
        <w:fldChar w:fldCharType="end"/>
      </w:r>
      <w:r w:rsidRPr="005B1CCB">
        <w:rPr>
          <w:rFonts w:ascii="Palatino Linotype" w:hAnsi="Palatino Linotype"/>
          <w:sz w:val="24"/>
          <w:szCs w:val="24"/>
        </w:rPr>
        <w:t xml:space="preserve">. </w:t>
      </w:r>
    </w:p>
    <w:p w14:paraId="7DF4C282" w14:textId="77777777" w:rsidR="00505BAB" w:rsidRPr="005B1CCB" w:rsidRDefault="00505BAB" w:rsidP="00B600BA">
      <w:pPr>
        <w:spacing w:line="360" w:lineRule="auto"/>
        <w:jc w:val="both"/>
        <w:rPr>
          <w:rFonts w:ascii="Palatino Linotype" w:hAnsi="Palatino Linotype" w:cs="Times New Roman"/>
          <w:sz w:val="24"/>
          <w:szCs w:val="24"/>
        </w:rPr>
      </w:pPr>
    </w:p>
    <w:p w14:paraId="31D6F894" w14:textId="77777777" w:rsidR="008B4F4A" w:rsidRPr="005B1CCB" w:rsidRDefault="00CB2AE2" w:rsidP="00BF381B">
      <w:pPr>
        <w:pStyle w:val="Heading2"/>
      </w:pPr>
      <w:bookmarkStart w:id="42" w:name="_Toc84528051"/>
      <w:r w:rsidRPr="005B1CCB">
        <w:t>Electrochemistry</w:t>
      </w:r>
      <w:bookmarkEnd w:id="42"/>
    </w:p>
    <w:p w14:paraId="1F0B0947" w14:textId="3CB4F0F4" w:rsidR="005A27FD" w:rsidRPr="005B1CCB" w:rsidRDefault="004569A7" w:rsidP="00AB2F9D">
      <w:pPr>
        <w:spacing w:line="360" w:lineRule="auto"/>
        <w:jc w:val="both"/>
        <w:rPr>
          <w:rFonts w:ascii="Palatino Linotype" w:hAnsi="Palatino Linotype" w:cs="Times New Roman"/>
          <w:sz w:val="24"/>
          <w:szCs w:val="24"/>
        </w:rPr>
      </w:pPr>
      <w:r w:rsidRPr="005B1CCB">
        <w:rPr>
          <w:rFonts w:ascii="Palatino Linotype" w:hAnsi="Palatino Linotype"/>
          <w:sz w:val="24"/>
          <w:szCs w:val="24"/>
        </w:rPr>
        <w:t xml:space="preserve">   </w:t>
      </w:r>
      <w:r w:rsidR="001E240C" w:rsidRPr="005B1CCB">
        <w:rPr>
          <w:rFonts w:ascii="Palatino Linotype" w:hAnsi="Palatino Linotype"/>
          <w:sz w:val="24"/>
          <w:szCs w:val="24"/>
        </w:rPr>
        <w:t xml:space="preserve">The traditional disciplines of chemistry, physics, engineering and biology have intersected and combined to form sub-fields like ‘electrochemistry’. </w:t>
      </w:r>
      <w:r w:rsidR="001E240C" w:rsidRPr="00674196">
        <w:rPr>
          <w:rFonts w:ascii="Palatino Linotype" w:hAnsi="Palatino Linotype"/>
          <w:sz w:val="24"/>
          <w:szCs w:val="24"/>
        </w:rPr>
        <w:t xml:space="preserve">Electrochemistry is </w:t>
      </w:r>
      <w:r w:rsidR="000575FA" w:rsidRPr="00674196">
        <w:rPr>
          <w:rFonts w:ascii="Palatino Linotype" w:hAnsi="Palatino Linotype"/>
          <w:sz w:val="24"/>
          <w:szCs w:val="24"/>
        </w:rPr>
        <w:t>majorly a branch</w:t>
      </w:r>
      <w:r w:rsidR="001E240C" w:rsidRPr="00674196">
        <w:rPr>
          <w:rFonts w:ascii="Palatino Linotype" w:hAnsi="Palatino Linotype"/>
          <w:sz w:val="24"/>
          <w:szCs w:val="24"/>
        </w:rPr>
        <w:t xml:space="preserve"> of chemistry, which has been historically used for studying heterogeneous electron transfer kinetics</w:t>
      </w:r>
      <w:r w:rsidR="001E240C" w:rsidRPr="005B1CCB">
        <w:rPr>
          <w:rFonts w:ascii="Palatino Linotype" w:hAnsi="Palatino Linotype"/>
          <w:sz w:val="24"/>
          <w:szCs w:val="24"/>
        </w:rPr>
        <w:t xml:space="preserve">. </w:t>
      </w:r>
      <w:r w:rsidR="00742EA4" w:rsidRPr="00674196">
        <w:rPr>
          <w:rFonts w:ascii="Palatino Linotype" w:hAnsi="Palatino Linotype"/>
          <w:sz w:val="24"/>
          <w:szCs w:val="24"/>
        </w:rPr>
        <w:t>E</w:t>
      </w:r>
      <w:r w:rsidR="00BC6948" w:rsidRPr="00674196">
        <w:rPr>
          <w:rFonts w:ascii="Palatino Linotype" w:hAnsi="Palatino Linotype"/>
          <w:sz w:val="24"/>
          <w:szCs w:val="24"/>
        </w:rPr>
        <w:t xml:space="preserve">lectrochemical phenomena are often measured using a cell that consists of </w:t>
      </w:r>
      <w:r w:rsidR="004B769F" w:rsidRPr="00674196">
        <w:rPr>
          <w:rFonts w:ascii="Palatino Linotype" w:hAnsi="Palatino Linotype"/>
          <w:sz w:val="24"/>
          <w:szCs w:val="24"/>
        </w:rPr>
        <w:t>three</w:t>
      </w:r>
      <w:r w:rsidR="00BC6948" w:rsidRPr="00674196">
        <w:rPr>
          <w:rFonts w:ascii="Palatino Linotype" w:hAnsi="Palatino Linotype"/>
          <w:sz w:val="24"/>
          <w:szCs w:val="24"/>
        </w:rPr>
        <w:t xml:space="preserve"> electrodes: (1) </w:t>
      </w:r>
      <w:r w:rsidR="00BC6948" w:rsidRPr="00674196">
        <w:rPr>
          <w:rFonts w:ascii="Palatino Linotype" w:hAnsi="Palatino Linotype" w:cs="Times New Roman"/>
          <w:sz w:val="24"/>
          <w:szCs w:val="24"/>
        </w:rPr>
        <w:t>a working electrode (WE) where the redox reactions of interest occur</w:t>
      </w:r>
      <w:r w:rsidR="004B769F" w:rsidRPr="00674196">
        <w:rPr>
          <w:rFonts w:ascii="Palatino Linotype" w:hAnsi="Palatino Linotype" w:cs="Times New Roman"/>
          <w:sz w:val="24"/>
          <w:szCs w:val="24"/>
        </w:rPr>
        <w:t>,</w:t>
      </w:r>
      <w:r w:rsidR="00BC6948" w:rsidRPr="00674196">
        <w:rPr>
          <w:rFonts w:ascii="Palatino Linotype" w:hAnsi="Palatino Linotype" w:cs="Times New Roman"/>
          <w:sz w:val="24"/>
          <w:szCs w:val="24"/>
        </w:rPr>
        <w:t xml:space="preserve"> can be measured</w:t>
      </w:r>
      <w:r w:rsidR="008E1FA3" w:rsidRPr="00674196">
        <w:rPr>
          <w:rFonts w:ascii="Palatino Linotype" w:hAnsi="Palatino Linotype" w:cs="Times New Roman"/>
          <w:sz w:val="24"/>
          <w:szCs w:val="24"/>
        </w:rPr>
        <w:t xml:space="preserve"> and where the voltage/current can be monitored and manipulated</w:t>
      </w:r>
      <w:r w:rsidR="00BC6948" w:rsidRPr="00674196">
        <w:rPr>
          <w:rFonts w:ascii="Palatino Linotype" w:hAnsi="Palatino Linotype" w:cs="Times New Roman"/>
          <w:sz w:val="24"/>
          <w:szCs w:val="24"/>
        </w:rPr>
        <w:t>, (2) a counter electrode (CE) controlled by the potentiostat to set the WE potential and balance current, and (3) a reference electrode (RE) that provides feedback of the W</w:t>
      </w:r>
      <w:r w:rsidR="00502BD3" w:rsidRPr="00674196">
        <w:rPr>
          <w:rFonts w:ascii="Palatino Linotype" w:hAnsi="Palatino Linotype" w:cs="Times New Roman"/>
          <w:sz w:val="24"/>
          <w:szCs w:val="24"/>
        </w:rPr>
        <w:t>E potential to the potentiostat</w:t>
      </w:r>
      <w:r w:rsidR="00AB2F9D" w:rsidRPr="005B1CCB">
        <w:rPr>
          <w:rFonts w:ascii="Palatino Linotype" w:hAnsi="Palatino Linotype"/>
          <w:sz w:val="24"/>
          <w:szCs w:val="24"/>
        </w:rPr>
        <w:t xml:space="preserve"> </w:t>
      </w:r>
      <w:r w:rsidR="00956B5F"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{"citationItems":[{"id":"ITEM-1","itemData":{"author":[{"dropping-particle":"","family":"Dorothee Grieshaber, Robert MacKenzie, Janos Voros","given":"Erik Reimhult","non-dropping-particle":"","parse-names":false,"suffix":""}],"id":"ITEM-1","issue":"March","issued":{"date-parts":[["2008"]]},"page":"1400-1458","title":"Electrochemical Biosensors - Sensor Principles and Architectures","type":"article-journal"},"uris":["http://www.mendeley.com/documents/?uuid=9173daa3-3a99-45de-957e-9bc9d7232582"]}],"mendeley":{"formattedCitation":"[145]","plainTextFormattedCitation":"[145]","previouslyFormattedCitation":"[145]"},"properties":{"noteIndex":0},"schema":"https://github.com/citation-style-language/schema/raw/master/csl-citation.json"}</w:instrText>
      </w:r>
      <w:r w:rsidR="00956B5F" w:rsidRPr="005B1CCB">
        <w:rPr>
          <w:rFonts w:ascii="Palatino Linotype" w:hAnsi="Palatino Linotype"/>
          <w:sz w:val="24"/>
          <w:szCs w:val="24"/>
        </w:rPr>
        <w:fldChar w:fldCharType="separate"/>
      </w:r>
      <w:r w:rsidR="005F2946" w:rsidRPr="005F2946">
        <w:rPr>
          <w:rFonts w:ascii="Palatino Linotype" w:hAnsi="Palatino Linotype"/>
          <w:noProof/>
          <w:sz w:val="24"/>
          <w:szCs w:val="24"/>
        </w:rPr>
        <w:t>[145]</w:t>
      </w:r>
      <w:r w:rsidR="00956B5F" w:rsidRPr="005B1CCB">
        <w:rPr>
          <w:rFonts w:ascii="Palatino Linotype" w:hAnsi="Palatino Linotype"/>
          <w:sz w:val="24"/>
          <w:szCs w:val="24"/>
        </w:rPr>
        <w:fldChar w:fldCharType="end"/>
      </w:r>
      <w:r w:rsidR="00956B5F"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{"citationItems":[{"id":"ITEM-1","itemData":{"DOI":"10.1039/c4cs00369a","ISSN":"14604744","PMID":"25962356","abstract":"Electrochemistry, biosensors and microfluidics are popular research topics that have attracted widespread attention from chemists, biologists, physicists, and engineers. Here, we introduce the basic concepts and recent histories of electrochemistry, biosensors, and microfluidics, and describe how they are combining to form new application-areas, including so-called \"point-of-care\" systems in which measurements traditionally performed in a laboratory are moved into the field. We propose that this review can serve both as a useful starting-point for researchers who are new to these topics, as well as being a compendium of the current state-of-the art for experts in these evolving areas.","author":[{"dropping-particle":"","family":"Rackus","given":"Darius G.","non-dropping-particle":"","parse-names":false,"suffix":""},{"dropping-particle":"","family":"Shamsi","given":"Mohtashim H.","non-dropping-particle":"","parse-names":false,"suffix":""},{"dropping-particle":"","family":"Wheeler","given":"Aaron R.","non-dropping-particle":"","parse-names":false,"suffix":""}],"container-title":"Chemical Society Reviews","id":"ITEM-1","issue":"15","issued":{"date-parts":[["2015"]]},"page":"5320-5340","publisher":"Royal Society of Chemistry","title":"Electrochemistry, biosensors and microfluidics: a convergence of fields","type":"article-journal","volume":"44"},"uris":["http://www.mendeley.com/documents/?uuid=8c428899-ed97-4858-b7b9-0e5cc72693de"]}],"mendeley":{"formattedCitation":"[110]","plainTextFormattedCitation":"[110]","previouslyFormattedCitation":"[110]"},"properties":{"noteIndex":0},"schema":"https://github.com/citation-style-language/schema/raw/master/csl-citation.json"}</w:instrText>
      </w:r>
      <w:r w:rsidR="00956B5F" w:rsidRPr="005B1CCB">
        <w:rPr>
          <w:rFonts w:ascii="Palatino Linotype" w:hAnsi="Palatino Linotype"/>
          <w:sz w:val="24"/>
          <w:szCs w:val="24"/>
        </w:rPr>
        <w:fldChar w:fldCharType="separate"/>
      </w:r>
      <w:r w:rsidR="005F2946" w:rsidRPr="005F2946">
        <w:rPr>
          <w:rFonts w:ascii="Palatino Linotype" w:hAnsi="Palatino Linotype"/>
          <w:noProof/>
          <w:sz w:val="24"/>
          <w:szCs w:val="24"/>
        </w:rPr>
        <w:t>[110]</w:t>
      </w:r>
      <w:r w:rsidR="00956B5F" w:rsidRPr="005B1CCB">
        <w:rPr>
          <w:rFonts w:ascii="Palatino Linotype" w:hAnsi="Palatino Linotype"/>
          <w:sz w:val="24"/>
          <w:szCs w:val="24"/>
        </w:rPr>
        <w:fldChar w:fldCharType="end"/>
      </w:r>
      <w:r w:rsidR="00AB2F9D" w:rsidRPr="005B1CCB">
        <w:rPr>
          <w:rFonts w:ascii="Palatino Linotype" w:hAnsi="Palatino Linotype"/>
          <w:sz w:val="24"/>
          <w:szCs w:val="24"/>
        </w:rPr>
        <w:t>.</w:t>
      </w:r>
    </w:p>
    <w:p w14:paraId="056FB586" w14:textId="55B967C7" w:rsidR="005A27FD" w:rsidRPr="005B1CCB" w:rsidRDefault="005A27FD" w:rsidP="00E743D9">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7E3B5A" w:rsidRPr="005B1CCB">
        <w:rPr>
          <w:rFonts w:ascii="Palatino Linotype" w:hAnsi="Palatino Linotype" w:cs="Times New Roman"/>
          <w:sz w:val="24"/>
          <w:szCs w:val="24"/>
        </w:rPr>
        <w:t xml:space="preserve">   </w:t>
      </w:r>
      <w:r w:rsidRPr="00674196">
        <w:rPr>
          <w:rFonts w:ascii="Palatino Linotype" w:hAnsi="Palatino Linotype" w:cs="Times New Roman"/>
          <w:sz w:val="24"/>
          <w:szCs w:val="24"/>
        </w:rPr>
        <w:t xml:space="preserve">A vital aspect of a </w:t>
      </w:r>
      <w:r w:rsidR="00C11870" w:rsidRPr="00674196">
        <w:rPr>
          <w:rFonts w:ascii="Palatino Linotype" w:hAnsi="Palatino Linotype" w:cs="Times New Roman"/>
          <w:sz w:val="24"/>
          <w:szCs w:val="24"/>
        </w:rPr>
        <w:t>working electrode (</w:t>
      </w:r>
      <w:r w:rsidRPr="00674196">
        <w:rPr>
          <w:rFonts w:ascii="Palatino Linotype" w:hAnsi="Palatino Linotype" w:cs="Times New Roman"/>
          <w:sz w:val="24"/>
          <w:szCs w:val="24"/>
        </w:rPr>
        <w:t>WE</w:t>
      </w:r>
      <w:r w:rsidR="00C11870" w:rsidRPr="00674196">
        <w:rPr>
          <w:rFonts w:ascii="Palatino Linotype" w:hAnsi="Palatino Linotype" w:cs="Times New Roman"/>
          <w:sz w:val="24"/>
          <w:szCs w:val="24"/>
        </w:rPr>
        <w:t>)</w:t>
      </w:r>
      <w:r w:rsidRPr="00674196">
        <w:rPr>
          <w:rFonts w:ascii="Palatino Linotype" w:hAnsi="Palatino Linotype" w:cs="Times New Roman"/>
          <w:sz w:val="24"/>
          <w:szCs w:val="24"/>
        </w:rPr>
        <w:t xml:space="preserve"> is that it is composed of redox-inert material in the potential range of interest</w:t>
      </w:r>
      <w:r w:rsidR="0013127B"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s.jchemed.7b00361","ISSN":"0021-9584","author":[{"dropping-particle":"","family":"Elgrishi","given":"Noemie","non-dropping-particle":"","parse-names":false,"suffix":""},{"dropping-particle":"","family":"Hammon","given":"Kelley","non-dropping-particle":"","parse-names":false,"suffix":""},{"dropping-particle":"","family":"McCarthy","given":"Brian","non-dropping-particle":"","parse-names":false,"suffix":""},{"dropping-particle":"","family":"Eisenhart","given":"Thomas","non-dropping-particle":"","parse-names":false,"suffix":""},{"dropping-particle":"","family":"Dempsey","given":"Jillian","non-dropping-particle":"","parse-names":false,"suffix":""}],"container-title":"Journal of Chemical Education","id":"ITEM-1","issued":{"date-parts":[["2017"]]},"page":"1-10","title":"A Practical Beginner's Guide to Cyclic Voltammetry","type":"article-journal"},"uris":["http://www.mendeley.com/documents/?uuid=c88fc604-1d60-481b-acc7-828678732b67"]}],"mendeley":{"formattedCitation":"[146]","plainTextFormattedCitation":"[146]","previouslyFormattedCitation":"[146]"},"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[146]</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00634C82" w:rsidRPr="00674196">
        <w:rPr>
          <w:rFonts w:ascii="Palatino Linotype" w:hAnsi="Palatino Linotype" w:cs="Times New Roman"/>
          <w:sz w:val="24"/>
          <w:szCs w:val="24"/>
        </w:rPr>
        <w:t>For biological sensing, t</w:t>
      </w:r>
      <w:r w:rsidRPr="00674196">
        <w:rPr>
          <w:rFonts w:ascii="Palatino Linotype" w:hAnsi="Palatino Linotype" w:cs="Times New Roman"/>
          <w:sz w:val="24"/>
          <w:szCs w:val="24"/>
        </w:rPr>
        <w:t>he working electrode is usually gold, platinum or carbon and the counter and reference electrodes are usually made of gold/carbon and silver respectively</w:t>
      </w:r>
      <w:r w:rsidRPr="005B1CCB">
        <w:rPr>
          <w:rFonts w:ascii="Palatino Linotype" w:hAnsi="Palatino Linotype" w:cs="Times New Roman"/>
          <w:sz w:val="24"/>
          <w:szCs w:val="24"/>
        </w:rPr>
        <w:t xml:space="preserve">. In addition, </w:t>
      </w:r>
      <w:r w:rsidR="00C11870" w:rsidRPr="005B1CCB">
        <w:rPr>
          <w:rFonts w:ascii="Palatino Linotype" w:hAnsi="Palatino Linotype" w:cs="Times New Roman"/>
          <w:sz w:val="24"/>
          <w:szCs w:val="24"/>
        </w:rPr>
        <w:t>WEs</w:t>
      </w:r>
      <w:r w:rsidRPr="005B1CCB">
        <w:rPr>
          <w:rFonts w:ascii="Palatino Linotype" w:hAnsi="Palatino Linotype" w:cs="Times New Roman"/>
          <w:sz w:val="24"/>
          <w:szCs w:val="24"/>
        </w:rPr>
        <w:t xml:space="preserve"> can be modified using various materials like ferrocyanide, nickel oxide and bismuth (III) oxide so as to amplify the electron transfer properties</w:t>
      </w:r>
      <w:r w:rsidR="00806B2E" w:rsidRPr="005B1CCB">
        <w:rPr>
          <w:rFonts w:ascii="Palatino Linotype" w:hAnsi="Palatino Linotype" w:cs="Times New Roman"/>
          <w:sz w:val="24"/>
          <w:szCs w:val="24"/>
        </w:rPr>
        <w:t xml:space="preserve"> </w:t>
      </w:r>
      <w:r w:rsidR="00806B2E"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www.dropsens.com/en/screen_printed_electrodes_pag.html","accessed":{"date-parts":[["2019","10","7"]]},"author":[{"dropping-particle":"","family":"Dropsens","given":"","non-dropping-particle":"","parse-names":false,"suffix":""}],"id":"ITEM-1","issued":{"date-parts":[["2019"]]},"title":"Screen-printed electrodes","type":"webpage"},"uris":["http://www.mendeley.com/documents/?uuid=a457159a-1b76-421d-8412-f4452eee476b"]}],"mendeley":{"formattedCitation":"[147]","plainTextFormattedCitation":"[147]","previouslyFormattedCitation":"[147]"},"properties":{"noteIndex":0},"schema":"https://github.com/citation-style-language/schema/raw/master/csl-citation.json"}</w:instrText>
      </w:r>
      <w:r w:rsidR="00806B2E"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[147]</w:t>
      </w:r>
      <w:r w:rsidR="00806B2E" w:rsidRPr="005B1CCB">
        <w:rPr>
          <w:rFonts w:ascii="Palatino Linotype" w:hAnsi="Palatino Linotype" w:cs="Times New Roman"/>
          <w:sz w:val="24"/>
          <w:szCs w:val="24"/>
        </w:rPr>
        <w:fldChar w:fldCharType="end"/>
      </w:r>
      <w:r w:rsidR="00806B2E" w:rsidRPr="005B1CCB">
        <w:rPr>
          <w:rFonts w:ascii="Palatino Linotype" w:hAnsi="Palatino Linotype" w:cs="Times New Roman"/>
          <w:sz w:val="24"/>
          <w:szCs w:val="24"/>
        </w:rPr>
        <w:t xml:space="preserve">. </w:t>
      </w:r>
      <w:r w:rsidR="00E743D9" w:rsidRPr="005B1CCB">
        <w:rPr>
          <w:rFonts w:ascii="Palatino Linotype" w:hAnsi="Palatino Linotype" w:cs="Times New Roman"/>
          <w:sz w:val="24"/>
          <w:szCs w:val="24"/>
        </w:rPr>
        <w:t xml:space="preserve">The WE and CE are in direct contact with the solution being studied and the RE is often in indirect electrical contact </w:t>
      </w:r>
      <w:r w:rsidR="002804F5" w:rsidRPr="005B1CCB">
        <w:rPr>
          <w:rFonts w:ascii="Palatino Linotype" w:hAnsi="Palatino Linotype" w:cs="Times New Roman"/>
          <w:sz w:val="24"/>
          <w:szCs w:val="24"/>
        </w:rPr>
        <w:t xml:space="preserve">or </w:t>
      </w:r>
      <w:r w:rsidR="00E743D9" w:rsidRPr="005B1CCB">
        <w:rPr>
          <w:rFonts w:ascii="Palatino Linotype" w:hAnsi="Palatino Linotype" w:cs="Times New Roman"/>
          <w:sz w:val="24"/>
          <w:szCs w:val="24"/>
        </w:rPr>
        <w:t>by means of a conductive salt bridge</w:t>
      </w:r>
      <w:r w:rsidR="002804F5" w:rsidRPr="005B1CCB">
        <w:rPr>
          <w:rFonts w:ascii="Palatino Linotype" w:hAnsi="Palatino Linotype" w:cs="Times New Roman"/>
          <w:sz w:val="24"/>
          <w:szCs w:val="24"/>
        </w:rPr>
        <w:t xml:space="preserve"> or Luggin capillary</w:t>
      </w:r>
      <w:r w:rsidR="00E743D9" w:rsidRPr="005B1CCB">
        <w:rPr>
          <w:rFonts w:ascii="Palatino Linotype" w:hAnsi="Palatino Linotype" w:cs="Times New Roman"/>
          <w:sz w:val="24"/>
          <w:szCs w:val="24"/>
        </w:rPr>
        <w:t xml:space="preserve">. </w:t>
      </w:r>
      <w:r w:rsidR="00E743D9" w:rsidRPr="00674196">
        <w:rPr>
          <w:rFonts w:ascii="Palatino Linotype" w:hAnsi="Palatino Linotype" w:cs="Times New Roman"/>
          <w:sz w:val="24"/>
          <w:szCs w:val="24"/>
        </w:rPr>
        <w:t>For analytical purposes, electrons should transfer across the solution/solid interface smoothly and rapidly</w:t>
      </w:r>
      <w:r w:rsidR="00DB4010" w:rsidRPr="005B1CCB">
        <w:rPr>
          <w:rFonts w:ascii="Palatino Linotype" w:hAnsi="Palatino Linotype" w:cs="Times New Roman"/>
          <w:sz w:val="24"/>
          <w:szCs w:val="24"/>
        </w:rPr>
        <w:t xml:space="preserve"> </w:t>
      </w:r>
      <w:r w:rsidR="00E743D9"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{"citationItems":[{"id":"ITEM-1","itemData":{"DOI":"10.1039/c4cs00369a","ISSN":"14604744","PMID":"25962356","abstract":"Electrochemistry, biosensors and microfluidics are popular research topics that have attracted widespread attention from chemists, biologists, physicists, and engineers. Here, we introduce the basic concepts and recent histories of electrochemistry, biosensors, and microfluidics, and describe how they are combining to form new application-areas, including so-called \"point-of-care\" systems in which measurements traditionally performed in a laboratory are moved into the field. We propose that this review can serve both as a useful starting-point for researchers who are new to these topics, as well as being a compendium of the current state-of-the art for experts in these evolving areas.","author":[{"dropping-particle":"","family":"Rackus","given":"Darius G.","non-dropping-particle":"","parse-names":false,"suffix":""},{"dropping-particle":"","family":"Shamsi","given":"Mohtashim H.","non-dropping-particle":"","parse-names":false,"suffix":""},{"dropping-particle":"","family":"Wheeler","given":"Aaron R.","non-dropping-particle":"","parse-names":false,"suffix":""}],"container-title":"Chemical Society Reviews","id":"ITEM-1","issue":"15","issued":{"date-parts":[["2015"]]},"page":"5320-5340","publisher":"Royal Society of Chemistry","title":"Electrochemistry, biosensors and microfluidics: a convergence of fields","type":"article-journal","volume":"44"},"uris":["http://www.mendeley.com/documents/?uuid=8c428899-ed97-4858-b7b9-0e5cc72693de"]}],"mendeley":{"formattedCitation":"[110]","plainTextFormattedCitation":"[110]","previouslyFormattedCitation":"[110]"},"properties":{"noteIndex":0},"schema":"https://github.com/citation-style-language/schema/raw/master/csl-citation.json"}</w:instrText>
      </w:r>
      <w:r w:rsidR="00E743D9"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[110]</w:t>
      </w:r>
      <w:r w:rsidR="00E743D9" w:rsidRPr="005B1CCB">
        <w:rPr>
          <w:rFonts w:ascii="Palatino Linotype" w:hAnsi="Palatino Linotype" w:cs="Times New Roman"/>
          <w:sz w:val="24"/>
          <w:szCs w:val="24"/>
        </w:rPr>
        <w:fldChar w:fldCharType="end"/>
      </w:r>
      <w:r w:rsidR="00E743D9" w:rsidRPr="005B1CCB">
        <w:rPr>
          <w:rFonts w:ascii="Palatino Linotype" w:hAnsi="Palatino Linotype" w:cs="Times New Roman"/>
          <w:sz w:val="24"/>
          <w:szCs w:val="24"/>
        </w:rPr>
        <w:t>.</w:t>
      </w:r>
    </w:p>
    <w:p w14:paraId="29938928" w14:textId="60D0B964" w:rsidR="005A27FD" w:rsidRPr="005B1CCB" w:rsidRDefault="00E81476" w:rsidP="005A27FD">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5A27FD" w:rsidRPr="00674196">
        <w:rPr>
          <w:rFonts w:ascii="Palatino Linotype" w:hAnsi="Palatino Linotype" w:cs="Times New Roman"/>
          <w:sz w:val="24"/>
          <w:szCs w:val="24"/>
        </w:rPr>
        <w:t xml:space="preserve">The potentiostat will normally control the applied potential of the WE as a function of the </w:t>
      </w:r>
      <w:r w:rsidR="00535ABB" w:rsidRPr="00674196">
        <w:rPr>
          <w:rFonts w:ascii="Palatino Linotype" w:hAnsi="Palatino Linotype" w:cs="Times New Roman"/>
          <w:sz w:val="24"/>
          <w:szCs w:val="24"/>
        </w:rPr>
        <w:t>r</w:t>
      </w:r>
      <w:r w:rsidR="005A27FD" w:rsidRPr="00674196">
        <w:rPr>
          <w:rFonts w:ascii="Palatino Linotype" w:hAnsi="Palatino Linotype" w:cs="Times New Roman"/>
          <w:sz w:val="24"/>
          <w:szCs w:val="24"/>
        </w:rPr>
        <w:t>eference electrode</w:t>
      </w:r>
      <w:r w:rsidR="00535ABB" w:rsidRPr="00674196">
        <w:rPr>
          <w:rFonts w:ascii="Palatino Linotype" w:hAnsi="Palatino Linotype" w:cs="Times New Roman"/>
          <w:sz w:val="24"/>
          <w:szCs w:val="24"/>
        </w:rPr>
        <w:t>’</w:t>
      </w:r>
      <w:r w:rsidR="005A27FD" w:rsidRPr="00674196">
        <w:rPr>
          <w:rFonts w:ascii="Palatino Linotype" w:hAnsi="Palatino Linotype" w:cs="Times New Roman"/>
          <w:sz w:val="24"/>
          <w:szCs w:val="24"/>
        </w:rPr>
        <w:t>s (RE) potential</w:t>
      </w:r>
      <w:r w:rsidR="005A27FD" w:rsidRPr="005B1CCB">
        <w:rPr>
          <w:rFonts w:ascii="Palatino Linotype" w:hAnsi="Palatino Linotype" w:cs="Times New Roman"/>
          <w:sz w:val="24"/>
          <w:szCs w:val="24"/>
        </w:rPr>
        <w:t xml:space="preserve">. </w:t>
      </w:r>
      <w:r w:rsidR="005A27FD" w:rsidRPr="00674196">
        <w:rPr>
          <w:rFonts w:ascii="Palatino Linotype" w:hAnsi="Palatino Linotype" w:cs="Times New Roman"/>
          <w:sz w:val="24"/>
          <w:szCs w:val="24"/>
        </w:rPr>
        <w:t>RE will have a well-defined stable equilibrium potential which will be used as a reference point against which the potential of other electrodes in the cell are measured</w:t>
      </w:r>
      <w:r w:rsidR="005A27FD" w:rsidRPr="005B1CCB">
        <w:rPr>
          <w:rFonts w:ascii="Palatino Linotype" w:hAnsi="Palatino Linotype" w:cs="Times New Roman"/>
          <w:sz w:val="24"/>
          <w:szCs w:val="24"/>
        </w:rPr>
        <w:t xml:space="preserve">. Counter electrodes are also referred to as auxiliary electrodes as they also take on the role of cathode or anode depending on </w:t>
      </w:r>
      <w:r w:rsidR="00535ABB" w:rsidRPr="005B1CCB">
        <w:rPr>
          <w:rFonts w:ascii="Palatino Linotype" w:hAnsi="Palatino Linotype" w:cs="Times New Roman"/>
          <w:sz w:val="24"/>
          <w:szCs w:val="24"/>
        </w:rPr>
        <w:t xml:space="preserve">the polarity of </w:t>
      </w:r>
      <w:r w:rsidR="005A27FD" w:rsidRPr="005B1CCB">
        <w:rPr>
          <w:rFonts w:ascii="Palatino Linotype" w:hAnsi="Palatino Linotype" w:cs="Times New Roman"/>
          <w:sz w:val="24"/>
          <w:szCs w:val="24"/>
        </w:rPr>
        <w:t xml:space="preserve">WEs </w:t>
      </w:r>
      <w:r w:rsidR="00535ABB" w:rsidRPr="005B1CCB">
        <w:rPr>
          <w:rFonts w:ascii="Palatino Linotype" w:hAnsi="Palatino Linotype" w:cs="Times New Roman"/>
          <w:sz w:val="24"/>
          <w:szCs w:val="24"/>
        </w:rPr>
        <w:t>and its reaction</w:t>
      </w:r>
      <w:r w:rsidR="005A27FD" w:rsidRPr="005B1CCB">
        <w:rPr>
          <w:rFonts w:ascii="Palatino Linotype" w:hAnsi="Palatino Linotype" w:cs="Times New Roman"/>
          <w:sz w:val="24"/>
          <w:szCs w:val="24"/>
        </w:rPr>
        <w:t xml:space="preserve"> </w:t>
      </w:r>
      <w:r w:rsidR="00BF49C7"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{"citationItems":[{"id":"ITEM-1","itemData":{"DOI":"10.1002/9781119967392.ch","ISBN":"9780470974247","author":[{"dropping-particle":"","family":"Pollet","given":"Bruno G.","non-dropping-particle":"","parse-names":false,"suffix":""},{"dropping-particle":"","family":"Curnick","given":"Oliver J.","non-dropping-particle":"","parse-names":false,"suffix":""}],"container-title":"Power Ultrasound in Electrochemistry: From Versatile Laboratory Tool to Engineering Solution","id":"ITEM-1","issue":"3","issued":{"date-parts":[["2012"]]},"page":"1-20","title":"Introduction to Electrochemistry","type":"article-journal","volume":"1"},"uris":["http://www.mendeley.com/documents/?uuid=1f887f5b-5ef1-4753-8153-9dc183ba0414"]}],"mendeley":{"formattedCitation":"[148]","plainTextFormattedCitation":"[148]","previouslyFormattedCitation":"[148]"},"properties":{"noteIndex":0},"schema":"https://github.com/citation-style-language/schema/raw/master/csl-citation.json"}</w:instrText>
      </w:r>
      <w:r w:rsidR="00BF49C7"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[148]</w:t>
      </w:r>
      <w:r w:rsidR="00BF49C7" w:rsidRPr="005B1CCB">
        <w:rPr>
          <w:rFonts w:ascii="Palatino Linotype" w:hAnsi="Palatino Linotype" w:cs="Times New Roman"/>
          <w:sz w:val="24"/>
          <w:szCs w:val="24"/>
        </w:rPr>
        <w:fldChar w:fldCharType="end"/>
      </w:r>
      <w:r w:rsidR="00BF49C7" w:rsidRPr="005B1CCB">
        <w:rPr>
          <w:rFonts w:ascii="Palatino Linotype" w:hAnsi="Palatino Linotype" w:cs="Times New Roman"/>
          <w:sz w:val="24"/>
          <w:szCs w:val="24"/>
        </w:rPr>
        <w:t xml:space="preserve"> </w:t>
      </w:r>
      <w:r w:rsidR="005A27FD" w:rsidRPr="005B1CCB">
        <w:rPr>
          <w:rFonts w:ascii="Palatino Linotype" w:hAnsi="Palatino Linotype" w:cs="Times New Roman"/>
          <w:sz w:val="24"/>
          <w:szCs w:val="24"/>
        </w:rPr>
        <w:t xml:space="preserve">with their operation split between RE and WE. Most electrochemical </w:t>
      </w:r>
      <w:r w:rsidR="00535ABB" w:rsidRPr="005B1CCB">
        <w:rPr>
          <w:rFonts w:ascii="Palatino Linotype" w:hAnsi="Palatino Linotype" w:cs="Times New Roman"/>
          <w:sz w:val="24"/>
          <w:szCs w:val="24"/>
        </w:rPr>
        <w:t xml:space="preserve">measurement </w:t>
      </w:r>
      <w:r w:rsidR="005A27FD" w:rsidRPr="005B1CCB">
        <w:rPr>
          <w:rFonts w:ascii="Palatino Linotype" w:hAnsi="Palatino Linotype" w:cs="Times New Roman"/>
          <w:sz w:val="24"/>
          <w:szCs w:val="24"/>
        </w:rPr>
        <w:t xml:space="preserve">devices </w:t>
      </w:r>
      <w:r w:rsidR="00535ABB" w:rsidRPr="005B1CCB">
        <w:rPr>
          <w:rFonts w:ascii="Palatino Linotype" w:hAnsi="Palatino Linotype" w:cs="Times New Roman"/>
          <w:sz w:val="24"/>
          <w:szCs w:val="24"/>
        </w:rPr>
        <w:t xml:space="preserve">such as the potentiostat, </w:t>
      </w:r>
      <w:r w:rsidR="005A27FD" w:rsidRPr="005B1CCB">
        <w:rPr>
          <w:rFonts w:ascii="Palatino Linotype" w:hAnsi="Palatino Linotype" w:cs="Times New Roman"/>
          <w:sz w:val="24"/>
          <w:szCs w:val="24"/>
        </w:rPr>
        <w:t xml:space="preserve">comprise </w:t>
      </w:r>
      <w:r w:rsidR="00535ABB" w:rsidRPr="005B1CCB">
        <w:rPr>
          <w:rFonts w:ascii="Palatino Linotype" w:hAnsi="Palatino Linotype" w:cs="Times New Roman"/>
          <w:sz w:val="24"/>
          <w:szCs w:val="24"/>
        </w:rPr>
        <w:t>a circuit design where</w:t>
      </w:r>
      <w:r w:rsidR="005A27FD" w:rsidRPr="005B1CCB">
        <w:rPr>
          <w:rFonts w:ascii="Palatino Linotype" w:hAnsi="Palatino Linotype" w:cs="Times New Roman"/>
          <w:sz w:val="24"/>
          <w:szCs w:val="24"/>
        </w:rPr>
        <w:t xml:space="preserve"> an operational amplifier of high input impedance </w:t>
      </w:r>
      <w:r w:rsidR="00535ABB" w:rsidRPr="005B1CCB">
        <w:rPr>
          <w:rFonts w:ascii="Palatino Linotype" w:hAnsi="Palatino Linotype" w:cs="Times New Roman"/>
          <w:sz w:val="24"/>
          <w:szCs w:val="24"/>
        </w:rPr>
        <w:t>is in place to aid</w:t>
      </w:r>
      <w:r w:rsidR="005A27FD" w:rsidRPr="005B1CCB">
        <w:rPr>
          <w:rFonts w:ascii="Palatino Linotype" w:hAnsi="Palatino Linotype" w:cs="Times New Roman"/>
          <w:sz w:val="24"/>
          <w:szCs w:val="24"/>
        </w:rPr>
        <w:t xml:space="preserve"> in the removal of any current </w:t>
      </w:r>
      <w:r w:rsidR="00535ABB" w:rsidRPr="005B1CCB">
        <w:rPr>
          <w:rFonts w:ascii="Palatino Linotype" w:hAnsi="Palatino Linotype" w:cs="Times New Roman"/>
          <w:sz w:val="24"/>
          <w:szCs w:val="24"/>
        </w:rPr>
        <w:t xml:space="preserve">likely </w:t>
      </w:r>
      <w:r w:rsidR="005A27FD" w:rsidRPr="005B1CCB">
        <w:rPr>
          <w:rFonts w:ascii="Palatino Linotype" w:hAnsi="Palatino Linotype" w:cs="Times New Roman"/>
          <w:sz w:val="24"/>
          <w:szCs w:val="24"/>
        </w:rPr>
        <w:t xml:space="preserve">going through the RE </w:t>
      </w:r>
      <w:r w:rsidR="008E4514"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{"citationItems":[{"id":"ITEM-1","itemData":{"DOI":"10.1595/147106708X297855","ISSN":"14710676","abstract":"The usefulness of platinum as an electrochemical reference electrode was investigated. Well known redox systems with one-electron single or multiple redox waves, and two-electron multiple redox waves were used as test regimes. The effects on electrode performance of variables such as the solvent, the physical state of the electrolyte and its temperature were investigated. Cyclic voltammetry (CV) was used to derive kinetic parameters for comparison with corresponding measurements on traditional reference electrodes. The results indicate that Pt can be used as a reference electrode under specific conditions in which traditional reference electrodes cannot be used.","author":[{"dropping-particle":"","family":"Kasem","given":"Kasem K.","non-dropping-particle":"","parse-names":false,"suffix":""},{"dropping-particle":"","family":"Jones","given":"Stephanie","non-dropping-particle":"","parse-names":false,"suffix":""}],"container-title":"Platinum Metals Review","id":"ITEM-1","issue":"2","issued":{"date-parts":[["2008"]]},"page":"100-106","title":"Platinum as a reference electrode in electrochemical measurements","type":"article-journal","volume":"52"},"uris":["http://www.mendeley.com/documents/?uuid=69c68e98-3395-4ffd-bd50-3af948386e17"]}],"mendeley":{"formattedCitation":"[149]","plainTextFormattedCitation":"[149]","previouslyFormattedCitation":"[149]"},"properties":{"noteIndex":0},"schema":"https://github.com/citation-style-language/schema/raw/master/csl-citation.json"}</w:instrText>
      </w:r>
      <w:r w:rsidR="008E4514"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[149]</w:t>
      </w:r>
      <w:r w:rsidR="008E4514" w:rsidRPr="005B1CCB">
        <w:rPr>
          <w:rFonts w:ascii="Palatino Linotype" w:hAnsi="Palatino Linotype" w:cs="Times New Roman"/>
          <w:sz w:val="24"/>
          <w:szCs w:val="24"/>
        </w:rPr>
        <w:fldChar w:fldCharType="end"/>
      </w:r>
      <w:r w:rsidR="008E4514" w:rsidRPr="005B1CCB">
        <w:rPr>
          <w:rFonts w:ascii="Palatino Linotype" w:hAnsi="Palatino Linotype" w:cs="Times New Roman"/>
          <w:sz w:val="24"/>
          <w:szCs w:val="24"/>
        </w:rPr>
        <w:t>.</w:t>
      </w:r>
    </w:p>
    <w:p w14:paraId="1C019535" w14:textId="59C086B5" w:rsidR="005A27FD" w:rsidRPr="00674196" w:rsidRDefault="00465042" w:rsidP="00B007B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For potentiometric measurements, the </w:t>
      </w:r>
      <w:r w:rsidRPr="00674196">
        <w:rPr>
          <w:rFonts w:ascii="Palatino Linotype" w:hAnsi="Palatino Linotype" w:cs="Times New Roman"/>
          <w:sz w:val="24"/>
          <w:szCs w:val="24"/>
        </w:rPr>
        <w:t>relationship between the potential and concentration</w:t>
      </w:r>
      <w:r w:rsidRPr="005B1CCB">
        <w:rPr>
          <w:rFonts w:ascii="Palatino Linotype" w:hAnsi="Palatino Linotype" w:cs="Times New Roman"/>
          <w:sz w:val="24"/>
          <w:szCs w:val="24"/>
        </w:rPr>
        <w:t xml:space="preserve"> is governed by the Nernst equation </w:t>
      </w:r>
      <w:r w:rsidRPr="00674196">
        <w:rPr>
          <w:rFonts w:ascii="Palatino Linotype" w:hAnsi="Palatino Linotype" w:cs="Times New Roman"/>
          <w:sz w:val="24"/>
          <w:szCs w:val="24"/>
        </w:rPr>
        <w:t>where E</w:t>
      </w:r>
      <w:r w:rsidRPr="00674196">
        <w:rPr>
          <w:rFonts w:ascii="Palatino Linotype" w:hAnsi="Palatino Linotype" w:cs="Times New Roman"/>
          <w:sz w:val="24"/>
          <w:szCs w:val="24"/>
          <w:vertAlign w:val="subscript"/>
        </w:rPr>
        <w:t>cell</w:t>
      </w:r>
      <w:r w:rsidRPr="00674196">
        <w:rPr>
          <w:rFonts w:ascii="Palatino Linotype" w:hAnsi="Palatino Linotype" w:cs="Times New Roman"/>
          <w:sz w:val="24"/>
          <w:szCs w:val="24"/>
        </w:rPr>
        <w:t xml:space="preserve"> represents the observed cell potential at zero current, E</w:t>
      </w:r>
      <w:r w:rsidRPr="00674196">
        <w:rPr>
          <w:rFonts w:ascii="Palatino Linotype" w:hAnsi="Palatino Linotype" w:cs="Times New Roman"/>
          <w:sz w:val="24"/>
          <w:szCs w:val="24"/>
          <w:vertAlign w:val="superscript"/>
        </w:rPr>
        <w:t>O</w:t>
      </w:r>
      <w:r w:rsidRPr="00674196">
        <w:rPr>
          <w:rFonts w:ascii="Palatino Linotype" w:hAnsi="Palatino Linotype" w:cs="Times New Roman"/>
          <w:sz w:val="24"/>
          <w:szCs w:val="24"/>
          <w:vertAlign w:val="subscript"/>
        </w:rPr>
        <w:t>cell</w:t>
      </w:r>
      <w:r w:rsidRPr="00674196">
        <w:rPr>
          <w:rFonts w:ascii="Palatino Linotype" w:hAnsi="Palatino Linotype" w:cs="Times New Roman"/>
          <w:sz w:val="24"/>
          <w:szCs w:val="24"/>
        </w:rPr>
        <w:t xml:space="preserve"> represents the constant potential contribution to the cell, r represents the universal gas constant, F represents the faraday constant and Q represents the ratio of ion concentration at the anode to ion concentration at the cathode </w:t>
      </w:r>
      <w:r w:rsidRPr="00674196">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{"citationItems":[{"id":"ITEM-1","itemData":{"author":[{"dropping-particle":"","family":"Dorothee Grieshaber, Robert MacKenzie, Janos Voros","given":"Erik Reimhult","non-dropping-particle":"","parse-names":false,"suffix":""}],"id":"ITEM-1","issue":"March","issued":{"date-parts":[["2008"]]},"page":"1400-1458","title":"Electrochemical Biosensors - Sensor Principles and Architectures","type":"article-journal"},"uris":["http://www.mendeley.com/documents/?uuid=9173daa3-3a99-45de-957e-9bc9d7232582"]}],"mendeley":{"formattedCitation":"[145]","plainTextFormattedCitation":"[145]","previouslyFormattedCitation":"[145]"},"properties":{"noteIndex":0},"schema":"https://github.com/citation-style-language/schema/raw/master/csl-citation.json"}</w:instrText>
      </w:r>
      <w:r w:rsidRPr="00674196">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[145]</w:t>
      </w:r>
      <w:r w:rsidRPr="00674196">
        <w:rPr>
          <w:rFonts w:ascii="Palatino Linotype" w:hAnsi="Palatino Linotype" w:cs="Times New Roman"/>
          <w:sz w:val="24"/>
          <w:szCs w:val="24"/>
        </w:rPr>
        <w:fldChar w:fldCharType="end"/>
      </w:r>
      <w:r w:rsidRPr="00674196">
        <w:rPr>
          <w:rFonts w:ascii="Palatino Linotype" w:hAnsi="Palatino Linotype" w:cs="Times New Roman"/>
          <w:sz w:val="24"/>
          <w:szCs w:val="24"/>
        </w:rPr>
        <w:t>. The Nernst equation is given as</w:t>
      </w:r>
    </w:p>
    <w:p w14:paraId="03C5C549" w14:textId="77777777" w:rsidR="00465042" w:rsidRPr="005B1CCB" w:rsidRDefault="00465042" w:rsidP="00B007BB">
      <w:pPr>
        <w:spacing w:line="360" w:lineRule="auto"/>
        <w:jc w:val="both"/>
        <w:rPr>
          <w:rFonts w:ascii="Palatino Linotype" w:eastAsiaTheme="minorEastAsia" w:hAnsi="Palatino Linotype"/>
          <w:sz w:val="28"/>
          <w:szCs w:val="28"/>
        </w:rPr>
      </w:pPr>
      <w:r w:rsidRPr="00674196">
        <w:rPr>
          <w:rFonts w:ascii="Palatino Linotype" w:hAnsi="Palatino Linotype"/>
          <w:sz w:val="28"/>
          <w:szCs w:val="28"/>
        </w:rPr>
        <w:t xml:space="preserve">                                         E</w:t>
      </w:r>
      <w:r w:rsidRPr="00674196">
        <w:rPr>
          <w:rFonts w:ascii="Palatino Linotype" w:hAnsi="Palatino Linotype"/>
          <w:sz w:val="28"/>
          <w:szCs w:val="28"/>
          <w:vertAlign w:val="subscript"/>
        </w:rPr>
        <w:t xml:space="preserve">cell </w:t>
      </w:r>
      <w:r w:rsidRPr="00674196">
        <w:rPr>
          <w:rFonts w:ascii="Palatino Linotype" w:hAnsi="Palatino Linotype"/>
          <w:sz w:val="28"/>
          <w:szCs w:val="28"/>
        </w:rPr>
        <w:t>= E</w:t>
      </w:r>
      <w:r w:rsidRPr="00674196">
        <w:rPr>
          <w:rFonts w:ascii="Palatino Linotype" w:hAnsi="Palatino Linotype"/>
          <w:sz w:val="28"/>
          <w:szCs w:val="28"/>
          <w:vertAlign w:val="superscript"/>
        </w:rPr>
        <w:t>O</w:t>
      </w:r>
      <w:r w:rsidRPr="00674196">
        <w:rPr>
          <w:rFonts w:ascii="Palatino Linotype" w:hAnsi="Palatino Linotype"/>
          <w:sz w:val="28"/>
          <w:szCs w:val="28"/>
          <w:vertAlign w:val="subscript"/>
        </w:rPr>
        <w:t xml:space="preserve">cell </w:t>
      </w:r>
      <w:r w:rsidRPr="00674196">
        <w:rPr>
          <w:rFonts w:ascii="Palatino Linotype" w:hAnsi="Palatino Linotype"/>
          <w:sz w:val="28"/>
          <w:szCs w:val="28"/>
        </w:rPr>
        <w:t xml:space="preserve">- </w:t>
      </w:r>
      <m:oMath>
        <m:f>
          <m:fPr>
            <m:ctrlPr>
              <w:rPr>
                <w:rFonts w:ascii="Cambria Math" w:hAnsi="Cambria Math"/>
                <w:i/>
                <w:sz w:val="28"/>
                <w:szCs w:val="28"/>
              </w:rPr>
            </m:ctrlPr>
          </m:fPr>
          <m:num>
            <m:r>
              <w:rPr>
                <w:rFonts w:ascii="Cambria Math" w:hAnsi="Cambria Math"/>
                <w:sz w:val="28"/>
                <w:szCs w:val="28"/>
              </w:rPr>
              <m:t>RT</m:t>
            </m:r>
          </m:num>
          <m:den>
            <m:r>
              <w:rPr>
                <w:rFonts w:ascii="Cambria Math" w:hAnsi="Cambria Math"/>
                <w:sz w:val="28"/>
                <w:szCs w:val="28"/>
              </w:rPr>
              <m:t>nF</m:t>
            </m:r>
          </m:den>
        </m:f>
      </m:oMath>
      <w:r w:rsidRPr="00674196">
        <w:rPr>
          <w:rFonts w:ascii="Palatino Linotype" w:eastAsiaTheme="minorEastAsia" w:hAnsi="Palatino Linotype"/>
          <w:sz w:val="28"/>
          <w:szCs w:val="28"/>
        </w:rPr>
        <w:t xml:space="preserve"> ln Q</w:t>
      </w:r>
    </w:p>
    <w:p w14:paraId="552E2961" w14:textId="77777777" w:rsidR="00505BAB" w:rsidRPr="005B1CCB" w:rsidRDefault="00505BAB" w:rsidP="00B007BB">
      <w:pPr>
        <w:spacing w:line="360" w:lineRule="auto"/>
        <w:jc w:val="both"/>
        <w:rPr>
          <w:rFonts w:ascii="Palatino Linotype" w:hAnsi="Palatino Linotype"/>
          <w:sz w:val="28"/>
          <w:szCs w:val="28"/>
        </w:rPr>
      </w:pPr>
    </w:p>
    <w:p w14:paraId="66F6605A" w14:textId="77777777" w:rsidR="00CE63C5" w:rsidRPr="005B1CCB" w:rsidRDefault="00CE63C5" w:rsidP="00CE63C5">
      <w:pPr>
        <w:pStyle w:val="Heading2"/>
      </w:pPr>
      <w:bookmarkStart w:id="43" w:name="_Toc84528052"/>
      <w:r w:rsidRPr="005B1CCB">
        <w:t>Electrochemical biosensors</w:t>
      </w:r>
      <w:bookmarkEnd w:id="43"/>
    </w:p>
    <w:p w14:paraId="14DB4F0A" w14:textId="21CFDCE3" w:rsidR="00CE63C5" w:rsidRPr="005B1CCB" w:rsidRDefault="00CE63C5" w:rsidP="00CE63C5">
      <w:pPr>
        <w:spacing w:line="360" w:lineRule="auto"/>
        <w:jc w:val="both"/>
        <w:rPr>
          <w:rFonts w:ascii="Palatino Linotype" w:hAnsi="Palatino Linotype"/>
          <w:sz w:val="24"/>
          <w:szCs w:val="24"/>
        </w:rPr>
      </w:pPr>
      <w:r w:rsidRPr="005B1CCB">
        <w:rPr>
          <w:rFonts w:ascii="Palatino Linotype" w:hAnsi="Palatino Linotype" w:cs="Times New Roman"/>
          <w:sz w:val="24"/>
          <w:szCs w:val="24"/>
        </w:rPr>
        <w:t xml:space="preserve">   From a PoC viewpoint, </w:t>
      </w:r>
      <w:r w:rsidR="00A464E3">
        <w:rPr>
          <w:rFonts w:ascii="Palatino Linotype" w:hAnsi="Palatino Linotype" w:cs="Times New Roman"/>
          <w:sz w:val="24"/>
          <w:szCs w:val="24"/>
        </w:rPr>
        <w:t>e</w:t>
      </w:r>
      <w:r w:rsidR="00A464E3" w:rsidRPr="005B1CCB">
        <w:rPr>
          <w:rFonts w:ascii="Palatino Linotype" w:hAnsi="Palatino Linotype" w:cs="Times New Roman"/>
          <w:sz w:val="24"/>
          <w:szCs w:val="24"/>
        </w:rPr>
        <w:t xml:space="preserve">lectrochemical </w:t>
      </w:r>
      <w:r w:rsidRPr="005B1CCB">
        <w:rPr>
          <w:rFonts w:ascii="Palatino Linotype" w:hAnsi="Palatino Linotype" w:cs="Times New Roman"/>
          <w:sz w:val="24"/>
          <w:szCs w:val="24"/>
        </w:rPr>
        <w:t xml:space="preserve">DNA biosensors represent an exciting approach to the detection of clinically important biomarkers due to their rapidity and simplicity </w:t>
      </w:r>
      <w:r w:rsidRPr="005B1CCB">
        <w:rPr>
          <w:rFonts w:ascii="Palatino Linotype" w:hAnsi="Palatino Linotype" w:cs="Times New Roman"/>
          <w:b/>
          <w:sz w:val="24"/>
          <w:szCs w:val="24"/>
        </w:rPr>
        <w:fldChar w:fldCharType="begin" w:fldLock="1"/>
      </w:r>
      <w:r w:rsidR="000766C5">
        <w:rPr>
          <w:rFonts w:ascii="Palatino Linotype" w:hAnsi="Palatino Linotype" w:cs="Times New Roman"/>
          <w:sz w:val="24"/>
          <w:szCs w:val="24"/>
        </w:rPr>
        <w:instrText>ADDIN CSL_CITATION {"citationItems":[{"id":"ITEM-1","itemData":{"DOI":"10.3390/bios9040141","author":[{"dropping-particle":"","family":"Crossley","given":"Lisa","non-dropping-particle":"","parse-names":false,"suffix":""},{"dropping-particle":"","family":"Attoye","given":"Bukola","non-dropping-particle":"","parse-names":false,"suffix":""},{"dropping-particle":"","family":"Vezza","given":"Vincent","non-dropping-particle":"","parse-names":false,"suffix":""},{"dropping-particle":"","family":"Blair","given":"Ewen","non-dropping-particle":"","parse-names":false,"suffix":""},{"dropping-particle":"","family":"Corrigan","given":"Damion K","non-dropping-particle":"","parse-names":false,"suffix":""},{"dropping-particle":"","family":"Hannah","given":"Stuart","non-dropping-particle":"","parse-names":false,"suffix":""}],"id":"ITEM-1","issued":{"date-parts":[["2019"]]},"title":"Establishing a Field-Effect Transistor Sensor for the Detection of Mutations in the Tumour Protein 53 Gene ( TP53 )— An Electrochemical Optimisation Approach","type":"article-journal"},"uris":["http://www.mendeley.com/documents/?uuid=2df47309-8657-48ef-90d0-b0922e22e90a","http://www.mendeley.com/documents/?uuid=152f7c98-a591-40c1-a78a-67b58c23f8fb"]},{"id":"ITEM-2","itemData":{"DOI":"10.1016/j.bios.2018.11.053","ISSN":"0956-5663","author":[{"dropping-particle":"","family":"Russell","given":"Christopher","non-dropping-particle":"","parse-names":false,"suffix":""},{"dropping-particle":"","family":"Ward","given":"Andrew C","non-dropping-particle":"","parse-names":false,"suffix":""},{"dropping-particle":"","family":"Vezza","given":"Vincent","non-dropping-particle":"","parse-names":false,"suffix":""},{"dropping-particle":"","family":"Hoskisson","given":"Paul","non-dropping-particle":"","parse-names":false,"suffix":""},{"dropping-particle":"","family":"Alcorn","given":"David","non-dropping-particle":"","parse-names":false,"suffix":""}],"container-title":"Biosensors and Bioelectronic","id":"ITEM-2","issue":"September 2018","issued":{"date-parts":[["2019"]]},"page":"806-814","publisher":"Elsevier B.V.","title":"Biosensors and Bioelectronics Development of a needle shaped microelectrode for electrochemical detection of the sepsis biomarker interleukin-6 ( IL-6 ) in real time","type":"article-journal","volume":"126"},"uris":["http://www.mendeley.com/documents/?uuid=fed87841-7a71-4c12-bd5e-eeff07362c8d","http://www.mendeley.com/documents/?uuid=77821bc7-6f68-4fb4-9558-49e3749283da"]}],"mendeley":{"formattedCitation":"[150], [151]","manualFormatting":"[18-","plainTextFormattedCitation":"[150], [151]","previouslyFormattedCitation":"[150], [151]"},"properties":{"noteIndex":0},"schema":"https://github.com/citation-style-language/schema/raw/master/csl-citation.json"}</w:instrText>
      </w:r>
      <w:r w:rsidRPr="005B1CCB">
        <w:rPr>
          <w:rFonts w:ascii="Palatino Linotype" w:hAnsi="Palatino Linotype" w:cs="Times New Roman"/>
          <w:b/>
          <w:sz w:val="24"/>
          <w:szCs w:val="24"/>
        </w:rPr>
        <w:fldChar w:fldCharType="separate"/>
      </w:r>
      <w:r w:rsidRPr="005B1CCB">
        <w:rPr>
          <w:rFonts w:ascii="Palatino Linotype" w:hAnsi="Palatino Linotype" w:cs="Times New Roman"/>
          <w:noProof/>
          <w:sz w:val="24"/>
          <w:szCs w:val="24"/>
        </w:rPr>
        <w:t>[18-</w:t>
      </w:r>
      <w:r w:rsidRPr="005B1CCB">
        <w:rPr>
          <w:rFonts w:ascii="Palatino Linotype" w:hAnsi="Palatino Linotype" w:cs="Times New Roman"/>
          <w:sz w:val="24"/>
          <w:szCs w:val="24"/>
        </w:rPr>
        <w:fldChar w:fldCharType="end"/>
      </w:r>
      <w:r w:rsidRPr="005B1CCB">
        <w:rPr>
          <w:rFonts w:ascii="Palatino Linotype" w:hAnsi="Palatino Linotype" w:cs="Times New Roman"/>
          <w:b/>
          <w:sz w:val="24"/>
          <w:szCs w:val="24"/>
        </w:rPr>
        <w:fldChar w:fldCharType="begin" w:fldLock="1"/>
      </w:r>
      <w:r w:rsidR="000766C5">
        <w:rPr>
          <w:rFonts w:ascii="Palatino Linotype" w:hAnsi="Palatino Linotype" w:cs="Times New Roman"/>
          <w:sz w:val="24"/>
          <w:szCs w:val="24"/>
        </w:rPr>
        <w:instrText>ADDIN CSL_CITATION {"citationItems":[{"id":"ITEM-1","itemData":{"DOI":"10.1039/C9AY00383E","ISSN":"1759-9660","author":[{"dropping-particle":"","family":"Butterworth","given":"Adrian","non-dropping-particle":"","parse-names":false,"suffix":""},{"dropping-particle":"","family":"Ward","given":"Andrew C","non-dropping-particle":"","parse-names":false,"suffix":""}],"container-title":"Analytical Methods","id":"ITEM-1","issued":{"date-parts":[["2019"]]},"page":"1958-1965","publisher":"Royal Society of Chemistry","title":"Analytical Methods Electrochemical detection of oxacillin resistance with SimpleStat : a low cost integrated potentiostat and sensor platform †","type":"article-journal","volume":"11"},"uris":["http://www.mendeley.com/documents/?uuid=4ce15758-11ed-4497-b82b-3a4d87498b3a","http://www.mendeley.com/documents/?uuid=deea8069-02aa-47c9-8898-09744c3280e8"]}],"mendeley":{"formattedCitation":"[152]","manualFormatting":"20]","plainTextFormattedCitation":"[152]","previouslyFormattedCitation":"[152]"},"properties":{"noteIndex":0},"schema":"https://github.com/citation-style-language/schema/raw/master/csl-citation.json"}</w:instrText>
      </w:r>
      <w:r w:rsidRPr="005B1CCB">
        <w:rPr>
          <w:rFonts w:ascii="Palatino Linotype" w:hAnsi="Palatino Linotype" w:cs="Times New Roman"/>
          <w:b/>
          <w:sz w:val="24"/>
          <w:szCs w:val="24"/>
        </w:rPr>
        <w:fldChar w:fldCharType="separate"/>
      </w:r>
      <w:r w:rsidRPr="005B1CCB">
        <w:rPr>
          <w:rFonts w:ascii="Palatino Linotype" w:hAnsi="Palatino Linotype" w:cs="Times New Roman"/>
          <w:noProof/>
          <w:sz w:val="24"/>
          <w:szCs w:val="24"/>
        </w:rPr>
        <w:t>20]</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674196">
        <w:rPr>
          <w:rFonts w:ascii="Palatino Linotype" w:hAnsi="Palatino Linotype" w:cs="Times New Roman"/>
          <w:sz w:val="24"/>
          <w:szCs w:val="24"/>
        </w:rPr>
        <w:t>Electrochemical biosensors are used to directly convert the occurrence of a biological event into an electronic signal</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{"citationItems":[{"id":"ITEM-1","itemData":{"author":[{"dropping-particle":"","family":"Dorothee Grieshaber, Robert MacKenzie, Janos Voros","given":"Erik Reimhult","non-dropping-particle":"","parse-names":false,"suffix":""}],"id":"ITEM-1","issue":"March","issued":{"date-parts":[["2008"]]},"page":"1400-1458","title":"Electrochemical Biosensors - Sensor Principles and Architectures","type":"article-journal"},"uris":["http://www.mendeley.com/documents/?uuid=9173daa3-3a99-45de-957e-9bc9d7232582"]}],"mendeley":{"formattedCitation":"[145]","plainTextFormattedCitation":"[145]","previouslyFormattedCitation":"[145]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as illustrated in Figure </w:t>
      </w:r>
      <w:r w:rsidR="00783DC8" w:rsidRPr="005B1CCB">
        <w:rPr>
          <w:rFonts w:ascii="Palatino Linotype" w:hAnsi="Palatino Linotype" w:cs="Times New Roman"/>
          <w:sz w:val="24"/>
          <w:szCs w:val="24"/>
        </w:rPr>
        <w:t>4</w:t>
      </w:r>
      <w:r w:rsidRPr="005B1CCB">
        <w:rPr>
          <w:rFonts w:ascii="Palatino Linotype" w:hAnsi="Palatino Linotype" w:cs="Times New Roman"/>
          <w:sz w:val="24"/>
          <w:szCs w:val="24"/>
        </w:rPr>
        <w:t xml:space="preserve">. Biosensors are ideal in this regard as they can be developed into compact, simple, point of care (PoC) devices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{"citationItems":[{"id":"ITEM-1","itemData":{"DOI":"10.2147/NSA.S13465","ISSN":"11778903","abstract":"The earlier cancer can be detected, the better the chance of a cure. Currently, many cancers are diagnosed only after they have metastasized throughout the body. Effective, accurate methods of cancer detection and clinical diagnosis are urgently needed. Biosensors are devices that are designed to detect a specific biological analyte by essentially converting a biological entity (ie, protein, DNA, RNA) into an electrical signal that can be detected and analyzed. The use of biosensors in cancer detection and monitoring holds vast potential. Biosensors can be designed to detect emerging cancer biomarkers and to determine drug effectiveness at various target sites. Biosensor technology has the potential to provide fast and accurate detection, reliable imaging of cancer cells, and monitoring of angiogenesis and cancer metastasis, and the ability to determine the effectiveness of anticancer chemotherapy agents. This review will briefly summarize the current obstacles to early detection of cancer and the expanding use of biosensors as a diagnostic tool, as well as some future applications of biosensor technology.© 2011 Bohunicky and Mousa, publisher and licensee Dove Medical Press Ltd.","author":[{"dropping-particle":"","family":"Bohunicky","given":"Brian","non-dropping-particle":"","parse-names":false,"suffix":""},{"dropping-particle":"","family":"Mousa","given":"Shaker A.","non-dropping-particle":"","parse-names":false,"suffix":""}],"container-title":"Nanotechnology, Science and Applications","id":"ITEM-1","issue":"1","issued":{"date-parts":[["2011"]]},"page":"1-10","title":"Biosensors: The new wave in cancer diagnosis","type":"article-journal","volume":"4"},"uris":["http://www.mendeley.com/documents/?uuid=49e2c0df-f349-4a40-ba6d-c544735a25ac"]}],"mendeley":{"formattedCitation":"[119]","plainTextFormattedCitation":"[119]","previouslyFormattedCitation":"[119]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and they have shown to be promising tools for cancer diagnosis. They offer a suitable alternative to e.g. PCR which is reagent, time and labour intense and </w:t>
      </w:r>
      <w:r w:rsidRPr="00674196">
        <w:rPr>
          <w:rFonts w:ascii="Palatino Linotype" w:hAnsi="Palatino Linotype" w:cs="Times New Roman"/>
          <w:sz w:val="24"/>
          <w:szCs w:val="24"/>
        </w:rPr>
        <w:t>biosensors for nucleic acids have the potential to streamline clinical workflows, minimise bottlenecks, consume less reagents and be used in decentralised health systems</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{"citationItems":[{"id":"ITEM-1","itemData":{"DOI":"10.15406/ijbsbe.2017.03.00072","abstract":"Due to its high death rate, cancer has been one of the most researched diseases all over the globe. A biosensor is an analytical device, used for the detection of an analyte that combines a biological component with a physicochemical detector. Nowadays, there is an increasing interest in developing cancer biosensors as they show superior analytical performance and real-time measurement. Further with recent advances in molecular biology and bioengineering, biosensors diagnosis of cancer has taken a new direction. Due to high specificity and promise of early diagnosis, biosensors are prime candidates for current and future cancer diagnosis. With ever increasing list of biomarkers associated with various types of cancer and innovation in bioengineering, the future for diagnosis of cancer seems promising. In present article we have discussed various biosensors and biomarkers as a promising tool for cancer diagnosis.","author":[{"dropping-particle":"","family":"Patel","given":"Prittesh ","non-dropping-particle":"","parse-names":false,"suffix":""}],"container-title":"International Journal of Biosensors &amp; Bioelectronics","id":"ITEM-1","issue":"4","issued":{"date-parts":[["2017"]]},"page":"313-316","title":"Biosensors and Biomarkers: Promising Tools for Cancer Diagnosis","type":"article-journal","volume":"3"},"uris":["http://www.mendeley.com/documents/?uuid=d2d43db2-ea5c-46e4-b1e7-e898d8f582be"]}],"mendeley":{"formattedCitation":"[127]","plainTextFormattedCitation":"[127]","previouslyFormattedCitation":"[127]"},"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[127]</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{"citationItems":[{"id":"ITEM-1","itemData":{"DOI":"10.1016/j.talanta.2019.120251","ISSN":"00399140","abstract":"Cancer is one of the most widespread challenges and important diseases, which has the highest mortality rate. Lung cancer is the most common type of cancer, so that about 25% of all cancer deaths are related to the lung cancer. The lung cancer is classified as two different types with different treatment methodology: the small cell lung carcinoma and nonsmall cell lung carcinoma are two categories of the lung cancer. Since the lung cancer is often in the latent period in its early stages, therefore, early diagnosis of lung cancer has many challenges. Hence, there is a need for sensitive and reliable tools for preclinical diagnosis of lung cancer. Therefore, many detection methods have been employed for early detection of lung cancer. As lung cancer tumors growth in the body, the cancerous cells release numerous DNA, proteins, and metabolites as special biomarkers of the lung cancer. The levels of these biomarkers show the stages of the lung cancer. Therefore, detection of the biomarkers can be used for screening and clinical diagnosis of the lung cancer. There are numerous biomarkers for the lung cancer such as EGFR, CEA, CYFRA 21-1, ENO1, NSE, CA 19-9, CA 125 and VEGF. Nowadays, electrochemical methods are very attractive and useful in the lung cancer detections. So, in this paper, the recent advances and improvements (2010–2018) in the electrochemical detection of the lung cancer biomarkers have been reviewed.","author":[{"dropping-particle":"","family":"Khanmohammadi","given":"A.","non-dropping-particle":"","parse-names":false,"suffix":""},{"dropping-particle":"","family":"Aghaie","given":"Ali","non-dropping-particle":"","parse-names":false,"suffix":""},{"dropping-particle":"","family":"Vahedi","given":"Ensieh","non-dropping-particle":"","parse-names":false,"suffix":""},{"dropping-particle":"","family":"Qazvini","given":"Ali","non-dropping-particle":"","parse-names":false,"suffix":""},{"dropping-particle":"","family":"Ghanei","given":"Mostafa","non-dropping-particle":"","parse-names":false,"suffix":""},{"dropping-particle":"","family":"Afkhami","given":"A.","non-dropping-particle":"","parse-names":false,"suffix":""},{"dropping-particle":"","family":"Hajian","given":"Ali","non-dropping-particle":"","parse-names":false,"suffix":""},{"dropping-particle":"","family":"Bagheri","given":"H.","non-dropping-particle":"","parse-names":false,"suffix":""}],"container-title":"Talanta","id":"ITEM-1","issue":"July 2019","issued":{"date-parts":[["2020"]]},"page":"120251","publisher":"Elsevier B.V.","title":"Electrochemical biosensors for the detection of lung cancer biomarkers: A review","type":"article-journal","volume":"206"},"uris":["http://www.mendeley.com/documents/?uuid=54753c49-7c9e-451b-892c-ae55094f147a"]}],"mendeley":{"formattedCitation":"[153]","plainTextFormattedCitation":"[153]","previouslyFormattedCitation":"[153]"},"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[153]</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The standard arrangement of an electrochemical sensor is also in the form of a 3-electrode cell that consists of a WE, a RE, and a CE, all held within an electrolyte solution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{"citationItems":[{"id":"ITEM-1","itemData":{"DOI":"10.3390/bios10110156","ISSN":"20796374","abstract":"It is well-known that two major issues, preventing improved outcomes from cancer are late diagnosis and the evolution of drug resistance during chemotherapy, therefore technologies that address these issues can have a transformative effect on healthcare workflows. In this work we present a simple, low-cost DNA biosensor that was developed specifically to detect mutations in a key oncogene (KRAS). The sensor employed was a screen-printed array of carbon electrodes, used to perform parallel measurements of DNA hybridisation. A DNA amplification reaction was developed with primers for mutant and wild type KRAS sequences which amplified target sequences from representative clinical samples to detectable levels in as few as twenty cycles. High levels of sensitivity were demonstrated alongside a clear exemplar of assay specificity by showing the mutant KRAS sequence was detectable against a significant background of wild type DNA following amplification and hybridisation on the sensor surface. The time to result was found to be 3.5 h with considerable potential for optimisation through assay integration. This quick and versatile biosensor has the potential to be deployed in a low-cost, point-of-care test where patients can be screened either for early diagnosis purposes or monitoring of response to therapy.","author":[{"dropping-particle":"","family":"Attoye","given":"B.","non-dropping-particle":"","parse-names":false,"suffix":""},{"dropping-particle":"","family":"Pou","given":"C.","non-dropping-particle":"","parse-names":false,"suffix":""},{"dropping-particle":"","family":"Blair","given":"E.","non-dropping-particle":"","parse-names":false,"suffix":""},{"dropping-particle":"","family":"Rinaldi","given":"C.","non-dropping-particle":"","parse-names":false,"suffix":""},{"dropping-particle":"","family":"Thomson","given":"F.","non-dropping-particle":"","parse-names":false,"suffix":""},{"dropping-particle":"","family":"Baker","given":"M.J.","non-dropping-particle":"","parse-names":false,"suffix":""},{"dropping-particle":"","family":"Corrigan","given":"D.K.","non-dropping-particle":"","parse-names":false,"suffix":""}],"container-title":"Biosensors","id":"ITEM-1","issue":"11","issued":{"date-parts":[["2020"]]},"title":"Developing a Low-Cost, Simple-to-Use Electrochemical Sensor for the Detection of Circulating Tumour DNA in Human Fluids","type":"article-journal","volume":"10"},"uris":["http://www.mendeley.com/documents/?uuid=1725adc5-2c81-3bb4-8ca3-b7b2a912b0b6"]}],"mendeley":{"formattedCitation":"[154]","plainTextFormattedCitation":"[154]","previouslyFormattedCitation":"[154]"},"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[154]</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674196">
        <w:rPr>
          <w:rFonts w:ascii="Palatino Linotype" w:hAnsi="Palatino Linotype"/>
          <w:sz w:val="24"/>
          <w:szCs w:val="24"/>
        </w:rPr>
        <w:t>Electrochemical systems for ctDNA detection or cancer biomarker detection have most often employed the “three electrode system” where the working electrode is functionalised with a nucleic acid probe sequence and then interrogated using some measurement techniques to determine recognition of the target molecule</w:t>
      </w:r>
      <w:r w:rsidRPr="005B1CCB">
        <w:rPr>
          <w:rFonts w:ascii="Palatino Linotype" w:hAnsi="Palatino Linotype"/>
          <w:sz w:val="24"/>
          <w:szCs w:val="24"/>
        </w:rPr>
        <w:t xml:space="preserve"> </w:t>
      </w:r>
      <w:r w:rsidRPr="005B1CCB">
        <w:rPr>
          <w:rFonts w:ascii="Palatino Linotype" w:hAnsi="Palatino Linotype"/>
          <w:b/>
          <w:sz w:val="24"/>
          <w:szCs w:val="24"/>
        </w:rPr>
        <w:fldChar w:fldCharType="begin" w:fldLock="1"/>
      </w:r>
      <w:r w:rsidR="000766C5">
        <w:rPr>
          <w:rFonts w:ascii="Palatino Linotype" w:hAnsi="Palatino Linotype"/>
          <w:sz w:val="24"/>
          <w:szCs w:val="24"/>
        </w:rPr>
        <w:instrText>ADDIN CSL_CITATION {"citationItems":[{"id":"ITEM-1","itemData":{"DOI":"10.1038/srep18810","ISSN":"20452322","PMID":"26729209","abstract":"Sensitive and specific methodologies for detection of pathogenic gene at the pointofcare are still urgent demands in rapid diagnosis of infectious diseases. This work develops a simple and pragmatic electrochemical biosensing strategy for ultrasensitive and specific detection of pathogenic nucleic acids directly by integrating homogeneous targetinitiated transcription amplification (HTITA) with interfacial sensing process in single analysis system. The homogeneous recognition and specific binding of target DNA with the designed hairpin probe triggered circular primer extension reaction to form DNA doublestrands which contained T7 RNA polymerase promoter and served as templates for in vitro transcription amplification. The HTITA protocol resulted in numerous singlestranded RNA products which could synchronously hybridized with the detection probes and immobilized capture probes for enzymeamplified electrochemical detection on the biosensor surface. The proposed electrochemical biosensing strategy showed very high sensitivity and selectivity for target DNA with a dynamic response range from 1 fM to 100 pM. Using salmonella as a model, the established strategy was successfully applied to directly detect invA gene from genomic DNA extract. This proposed strategy presented a simple, pragmatic platform toward ultrasensitive nucleic acids detection and would become a versatile and powerful tool for pointofcare pathogen identification. Nucleic acid testing for pathogens plays essential role in rapid pathogen identification and diagnosis of infectious diseases, especially for applications in the pointofcare setting where fast turnaround times are required and centralized laboratory facilities are unavailable 1,2 . The development of the polymerase chain reaction (PCR) has given rise to powerful methods for the rapid and accurate diagnosis of infectious disease. However, PCRbased techniques, requiring highprecision instruments for thermal cycling amplifications and stringent laboratory compartmentalization for prevention of false positive results, can only be used in centralized laboratories of hospitals 1–3","author":[{"dropping-particle":"","family":"Yan","given":"Yurong","non-dropping-particle":"","parse-names":false,"suffix":""},{"dropping-particle":"","family":"Ding","given":"Shijia","non-dropping-particle":"","parse-names":false,"suffix":""},{"dropping-particle":"","family":"Zhao","given":"Dan","non-dropping-particle":"","parse-names":false,"suffix":""},{"dropping-particle":"","family":"Yuan","given":"Rui","non-dropping-particle":"","parse-names":false,"suffix":""},{"dropping-particle":"","family":"Zhang","given":"Yuhong","non-dropping-particle":"","parse-names":false,"suffix":""},{"dropping-particle":"","family":"Cheng","given":"Wei","non-dropping-particle":"","parse-names":false,"suffix":""}],"container-title":"Scientific Reports","id":"ITEM-1","issue":"January","issued":{"date-parts":[["2016"]]},"page":"1-9","publisher":"Nature Publishing Group","title":"Direct ultrasensitive electrochemical biosensing of pathogenic DNA using homogeneous target-initiated transcription amplification","type":"article-journal","volume":"6"},"uris":["http://www.mendeley.com/documents/?uuid=6574fd4e-61e9-4a05-aa8b-2a6a91e4da62","http://www.mendeley.com/documents/?uuid=95b2f10a-82c3-42ec-8642-bb2d8a099739"]}],"mendeley":{"formattedCitation":"[155]","plainTextFormattedCitation":"[155]","previouslyFormattedCitation":"[155]"},"properties":{"noteIndex":0},"schema":"https://github.com/citation-style-language/schema/raw/master/csl-citation.json"}</w:instrText>
      </w:r>
      <w:r w:rsidRPr="005B1CCB">
        <w:rPr>
          <w:rFonts w:ascii="Palatino Linotype" w:hAnsi="Palatino Linotype"/>
          <w:b/>
          <w:sz w:val="24"/>
          <w:szCs w:val="24"/>
        </w:rPr>
        <w:fldChar w:fldCharType="separate"/>
      </w:r>
      <w:r w:rsidR="005F2946" w:rsidRPr="005F2946">
        <w:rPr>
          <w:rFonts w:ascii="Palatino Linotype" w:hAnsi="Palatino Linotype"/>
          <w:noProof/>
          <w:sz w:val="24"/>
          <w:szCs w:val="24"/>
        </w:rPr>
        <w:t>[155]</w:t>
      </w:r>
      <w:r w:rsidRPr="005B1CCB">
        <w:rPr>
          <w:rFonts w:ascii="Palatino Linotype" w:hAnsi="Palatino Linotype"/>
          <w:b/>
          <w:sz w:val="24"/>
          <w:szCs w:val="24"/>
        </w:rPr>
        <w:fldChar w:fldCharType="end"/>
      </w:r>
      <w:r w:rsidRPr="005B1CCB">
        <w:rPr>
          <w:rFonts w:ascii="Palatino Linotype" w:hAnsi="Palatino Linotype"/>
          <w:sz w:val="24"/>
          <w:szCs w:val="24"/>
        </w:rPr>
        <w:t>.</w:t>
      </w:r>
    </w:p>
    <w:p w14:paraId="3C73ED27" w14:textId="77777777" w:rsidR="00CE63C5" w:rsidRPr="005B1CCB" w:rsidRDefault="00CE63C5" w:rsidP="00CE63C5">
      <w:pPr>
        <w:keepNext/>
        <w:spacing w:line="360" w:lineRule="auto"/>
        <w:jc w:val="center"/>
      </w:pPr>
      <w:r w:rsidRPr="005B1CCB">
        <w:rPr>
          <w:rFonts w:ascii="Palatino Linotype" w:hAnsi="Palatino Linotype"/>
          <w:noProof/>
          <w:sz w:val="24"/>
          <w:szCs w:val="24"/>
          <w:lang w:eastAsia="en-GB"/>
        </w:rPr>
        <w:drawing>
          <wp:inline distT="0" distB="0" distL="0" distR="0" wp14:anchorId="45DF5992" wp14:editId="247BFFD8">
            <wp:extent cx="4005580" cy="25971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5580" cy="2597150"/>
                    </a:xfrm>
                    <a:prstGeom prst="rect">
                      <a:avLst/>
                    </a:prstGeom>
                    <a:noFill/>
                  </pic:spPr>
                </pic:pic>
              </a:graphicData>
            </a:graphic>
          </wp:inline>
        </w:drawing>
      </w:r>
    </w:p>
    <w:p w14:paraId="465DC5B0" w14:textId="501BF13E" w:rsidR="00CE63C5" w:rsidRPr="005B1CCB" w:rsidRDefault="00CE63C5" w:rsidP="00CE63C5">
      <w:pPr>
        <w:pStyle w:val="Caption"/>
        <w:jc w:val="center"/>
        <w:rPr>
          <w:rFonts w:ascii="Palatino Linotype" w:hAnsi="Palatino Linotype"/>
          <w:sz w:val="22"/>
          <w:szCs w:val="22"/>
        </w:rPr>
      </w:pPr>
      <w:bookmarkStart w:id="44" w:name="_Toc84519599"/>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w:t>
      </w:r>
      <w:r w:rsidRPr="005B1CCB">
        <w:rPr>
          <w:sz w:val="22"/>
          <w:szCs w:val="22"/>
        </w:rPr>
        <w:fldChar w:fldCharType="end"/>
      </w:r>
      <w:r w:rsidRPr="005B1CCB">
        <w:rPr>
          <w:sz w:val="22"/>
          <w:szCs w:val="22"/>
        </w:rPr>
        <w:t xml:space="preserve">: Basic principle of a biosensor consisting of a sensitive bio-molecular layer immobilised onto the surface of a solid substrate (transducer) that can measure the output signal </w:t>
      </w:r>
      <w:r w:rsidRPr="005B1CCB">
        <w:rPr>
          <w:sz w:val="22"/>
          <w:szCs w:val="22"/>
        </w:rPr>
        <w:fldChar w:fldCharType="begin" w:fldLock="1"/>
      </w:r>
      <w:r w:rsidR="000766C5">
        <w:rPr>
          <w:sz w:val="22"/>
          <w:szCs w:val="22"/>
        </w:rPr>
        <w:instrText>ADDIN CSL_CITATION {"citationItems":[{"id":"ITEM-1","itemData":{"DOI":"10.1155/2009/943125","author":[{"dropping-particle":"V.","family":"Voinova","given":"Marina","non-dropping-particle":"","parse-names":false,"suffix":""}],"container-title":"Journal of Sensors","id":"ITEM-1","issued":{"date-parts":[["2009","6","2"]]},"title":"On Mass Loading and Dissipation Measured with Acoustic Wave Sensors: A Review","type":"article-journal","volume":"2009"},"uris":["http://www.mendeley.com/documents/?uuid=aa6a441c-4719-483a-859f-9892def25277"]}],"mendeley":{"formattedCitation":"[156]","plainTextFormattedCitation":"[156]","previouslyFormattedCitation":"[156]"},"properties":{"noteIndex":0},"schema":"https://github.com/citation-style-language/schema/raw/master/csl-citation.json"}</w:instrText>
      </w:r>
      <w:r w:rsidRPr="005B1CCB">
        <w:rPr>
          <w:sz w:val="22"/>
          <w:szCs w:val="22"/>
        </w:rPr>
        <w:fldChar w:fldCharType="separate"/>
      </w:r>
      <w:r w:rsidR="005F2946" w:rsidRPr="005F2946">
        <w:rPr>
          <w:i w:val="0"/>
          <w:noProof/>
          <w:sz w:val="22"/>
          <w:szCs w:val="22"/>
        </w:rPr>
        <w:t>[156]</w:t>
      </w:r>
      <w:bookmarkEnd w:id="44"/>
      <w:r w:rsidRPr="005B1CCB">
        <w:rPr>
          <w:sz w:val="22"/>
          <w:szCs w:val="22"/>
        </w:rPr>
        <w:fldChar w:fldCharType="end"/>
      </w:r>
    </w:p>
    <w:p w14:paraId="1675C695" w14:textId="4893FDCF" w:rsidR="00CE63C5" w:rsidRPr="005B1CCB" w:rsidRDefault="00CE63C5" w:rsidP="00CE63C5">
      <w:pPr>
        <w:spacing w:line="360" w:lineRule="auto"/>
        <w:jc w:val="both"/>
        <w:rPr>
          <w:rFonts w:ascii="Palatino Linotype" w:hAnsi="Palatino Linotype"/>
          <w:sz w:val="24"/>
          <w:szCs w:val="24"/>
          <w:lang w:bidi="en-US"/>
        </w:rPr>
      </w:pPr>
      <w:r w:rsidRPr="005B1CCB">
        <w:rPr>
          <w:rFonts w:ascii="Palatino Linotype" w:hAnsi="Palatino Linotype" w:cs="Times New Roman"/>
          <w:sz w:val="24"/>
          <w:szCs w:val="24"/>
        </w:rPr>
        <w:t xml:space="preserve">    Electron transfer is significantly prominent at the interface between the WE and the solution so it is essential that the material which constitutes the WE displays a beneficial redox behaviour in combination with the analyte. </w:t>
      </w:r>
      <w:r w:rsidRPr="00674196">
        <w:rPr>
          <w:rFonts w:ascii="Palatino Linotype" w:hAnsi="Palatino Linotype" w:cs="Times New Roman"/>
          <w:sz w:val="24"/>
          <w:szCs w:val="24"/>
        </w:rPr>
        <w:t>WEs can act as either the anode or the cathode depending on the voltage applied</w:t>
      </w:r>
      <w:r w:rsidRPr="005B1CCB">
        <w:rPr>
          <w:rFonts w:ascii="Palatino Linotype" w:hAnsi="Palatino Linotype" w:cs="Times New Roman"/>
          <w:sz w:val="24"/>
          <w:szCs w:val="24"/>
        </w:rPr>
        <w:t xml:space="preserve">, examples of WEs customarily used include carbon, gold, platinum, and mercury. </w:t>
      </w:r>
      <w:r w:rsidRPr="00674196">
        <w:rPr>
          <w:rFonts w:ascii="Palatino Linotype" w:hAnsi="Palatino Linotype" w:cs="Times New Roman"/>
          <w:sz w:val="24"/>
          <w:szCs w:val="24"/>
        </w:rPr>
        <w:t>Reference electrodes are usually described as non-polarisable electrodes as their potential usually does not differ when current is being passed; this constant potential allows stable measurements of the redox reaction taking place</w:t>
      </w:r>
      <w:r w:rsidRPr="005B1CCB">
        <w:rPr>
          <w:rFonts w:ascii="Palatino Linotype" w:hAnsi="Palatino Linotype" w:cs="Times New Roman"/>
          <w:sz w:val="24"/>
          <w:szCs w:val="24"/>
        </w:rPr>
        <w:t xml:space="preserve">. </w:t>
      </w:r>
      <w:r w:rsidRPr="005B1CCB">
        <w:rPr>
          <w:rFonts w:ascii="Palatino Linotype" w:hAnsi="Palatino Linotype"/>
          <w:sz w:val="24"/>
          <w:szCs w:val="24"/>
          <w:lang w:bidi="en-US"/>
        </w:rPr>
        <w:t xml:space="preserve">Some electrochemical biosensors have been employed in the determination of nucleic acids such as mutant DNA, specific microRNA, specific genes and methylated DNA in colorectal cancers </w:t>
      </w:r>
      <w:r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{"citationItems":[{"id":"ITEM-1","itemData":{"DOI":"10.3390/MI11040411","ISSN":"2072666X","abstract":"The accurate determination of specific tumor markers associated with cancer with non-invasive or minimally invasive procedures is the most promising approach to improve the long-term survival of cancer patients and fight against the high incidence and mortality of this disease. Quantification of biomarkers at different stages of the disease can lead to an appropriate and instantaneous therapeutic action. In this context, the determination of biomarkers by electrochemical biosensors is at the forefront of cancer diagnosis research because of their unique features such as their versatility, fast response, accurate quantification, and amenability for multiplexing and miniaturization. In this review, after briefly discussing the relevant aspects and current challenges in the determination of colorectal tumor markers, it will critically summarize the development of electrochemical biosensors to date to this aim, highlighting the enormous potential of these devices to be incorporated into the clinical practice. Finally, it will focus on the remaining challenges and opportunities to bring electrochemical biosensors to the point-of-care testing.","author":[{"dropping-particle":"","family":"Quinchia","given":"Jennifer","non-dropping-particle":"","parse-names":false,"suffix":""},{"dropping-particle":"","family":"Echeverri","given":"Danilo","non-dropping-particle":"","parse-names":false,"suffix":""},{"dropping-particle":"","family":"Cruz-Pacheco","given":"Andrés Felipe","non-dropping-particle":"","parse-names":false,"suffix":""},{"dropping-particle":"","family":"Maldonado","given":"María Elena","non-dropping-particle":"","parse-names":false,"suffix":""},{"dropping-particle":"","family":"Orozco","given":"Jahir A.","non-dropping-particle":"","parse-names":false,"suffix":""}],"container-title":"Micromachines","id":"ITEM-1","issue":"4","issued":{"date-parts":[["2020"]]},"page":"1-46","title":"Electrochemical biosensors for determination of colorectal tumor biomarkers","type":"article-journal","volume":"11"},"uris":["http://www.mendeley.com/documents/?uuid=ae33da15-78d5-4004-b13b-5fa560c1acc2"]}],"mendeley":{"formattedCitation":"[157]","plainTextFormattedCitation":"[157]","previouslyFormattedCitation":"[157]"},"properties":{"noteIndex":0},"schema":"https://github.com/citation-style-language/schema/raw/master/csl-citation.json"}</w:instrText>
      </w:r>
      <w:r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[157]</w:t>
      </w:r>
      <w:r w:rsidRPr="005B1CCB">
        <w:rPr>
          <w:rFonts w:ascii="Palatino Linotype" w:hAnsi="Palatino Linotype"/>
          <w:sz w:val="24"/>
          <w:szCs w:val="24"/>
          <w:lang w:bidi="en-US"/>
        </w:rPr>
        <w:fldChar w:fldCharType="end"/>
      </w:r>
      <w:r w:rsidRPr="005B1CCB">
        <w:rPr>
          <w:rFonts w:ascii="Palatino Linotype" w:hAnsi="Palatino Linotype"/>
          <w:sz w:val="24"/>
          <w:szCs w:val="24"/>
          <w:lang w:bidi="en-US"/>
        </w:rPr>
        <w:t>.</w:t>
      </w:r>
      <w:r w:rsidR="000313DD" w:rsidRPr="005B1CCB">
        <w:rPr>
          <w:rFonts w:ascii="Palatino Linotype" w:hAnsi="Palatino Linotype" w:cs="Times New Roman"/>
          <w:sz w:val="24"/>
          <w:szCs w:val="24"/>
        </w:rPr>
        <w:t xml:space="preserve"> </w:t>
      </w:r>
      <w:r w:rsidR="000313DD" w:rsidRPr="005B1CCB">
        <w:rPr>
          <w:rFonts w:ascii="Palatino Linotype" w:hAnsi="Palatino Linotype"/>
          <w:sz w:val="24"/>
          <w:szCs w:val="24"/>
          <w:lang w:bidi="en-US"/>
        </w:rPr>
        <w:t xml:space="preserve">The first electrochemical biosensor for colorectal cancer DNA detection was based on HRP-labelled probe and developed by Wang et al </w:t>
      </w:r>
      <w:r w:rsidR="000313D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10.1080/00032710701746873","ISSN":"0003-2719","author":[{"dropping-particle":"","family":"Wang","given":"Zhijie","non-dropping-particle":"","parse-names":false,"suffix":""},{"dropping-particle":"","family":"Yang","given":"Yunhui","non-dropping-particle":"","parse-names":false,"suffix":""},{"dropping-particle":"","family":"Leng","given":"Kailiang","non-dropping-particle":"","parse-names":false,"suffix":""},{"dropping-particle":"","family":"Li","given":"Jishan","non-dropping-particle":"","parse-names":false,"suffix":""},{"dropping-particle":"","family":"Zheng","given":"Fan","non-dropping-particle":"","parse-names":false,"suffix":""},{"dropping-particle":"","family":"Shen","given":"Guoli","non-dropping-particle":"","parse-names":false,"suffix":""},{"dropping-particle":"","family":"Yu","given":"Ruqin","non-dropping-particle":"","parse-names":false,"suffix":""}],"container-title":"Analytical Letters","id":"ITEM-1","issue":"1","issued":{"date-parts":[["2008","1","1"]]},"note":"doi: 10.1080/00032710701746873","page":"24-35","publisher":"Taylor &amp; Francis","title":"A Sequence‐Selective Electrochemical DNA Biosensor Based on HRP‐Labeled Probe for Colorectal Cancer DNA Detection","type":"article-journal","volume":"41"},"uris":["http://www.mendeley.com/documents/?uuid=aba0b310-0330-4d81-bb2f-c078aef30a24"]}],"mendeley":{"formattedCitation":"[158]","plainTextFormattedCitation":"[158]","previouslyFormattedCitation":"[158]"},"properties":{"noteIndex":0},"schema":"https://github.com/citation-style-language/schema/raw/master/csl-citation.json"}</w:instrText>
      </w:r>
      <w:r w:rsidR="000313D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[158]</w:t>
      </w:r>
      <w:r w:rsidR="000313DD" w:rsidRPr="005B1CCB">
        <w:rPr>
          <w:rFonts w:ascii="Palatino Linotype" w:hAnsi="Palatino Linotype"/>
          <w:sz w:val="24"/>
          <w:szCs w:val="24"/>
          <w:lang w:bidi="en-US"/>
        </w:rPr>
        <w:fldChar w:fldCharType="end"/>
      </w:r>
      <w:r w:rsidR="002F2C3F" w:rsidRPr="005B1CCB">
        <w:rPr>
          <w:rFonts w:ascii="Palatino Linotype" w:hAnsi="Palatino Linotype"/>
          <w:sz w:val="24"/>
          <w:szCs w:val="24"/>
          <w:lang w:bidi="en-US"/>
        </w:rPr>
        <w:t>.</w:t>
      </w:r>
    </w:p>
    <w:p w14:paraId="5F7BABE4" w14:textId="77777777" w:rsidR="00C41793" w:rsidRPr="005B1CCB" w:rsidRDefault="00C41793" w:rsidP="00CE63C5">
      <w:pPr>
        <w:spacing w:line="360" w:lineRule="auto"/>
        <w:jc w:val="both"/>
        <w:rPr>
          <w:rFonts w:ascii="Palatino Linotype" w:hAnsi="Palatino Linotype"/>
          <w:sz w:val="24"/>
          <w:szCs w:val="24"/>
          <w:lang w:bidi="en-US"/>
        </w:rPr>
      </w:pPr>
    </w:p>
    <w:p w14:paraId="0A391E23" w14:textId="77777777" w:rsidR="000313DD" w:rsidRPr="005B1CCB" w:rsidRDefault="000313DD" w:rsidP="000313DD">
      <w:pPr>
        <w:pStyle w:val="Heading3"/>
      </w:pPr>
      <w:bookmarkStart w:id="45" w:name="_Toc84528053"/>
      <w:r w:rsidRPr="005B1CCB">
        <w:t>DNA hybridisation technique</w:t>
      </w:r>
      <w:bookmarkEnd w:id="45"/>
    </w:p>
    <w:p w14:paraId="4C45CF80" w14:textId="0F6F2F83" w:rsidR="000313DD" w:rsidRPr="005B1CCB" w:rsidRDefault="000313DD" w:rsidP="000313DD">
      <w:pPr>
        <w:spacing w:before="240"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DNA hybridization events are the main principle used in the construction of DNA sensor devices which consists of ssDNA probe immobilized on a transducer surface in order to recognize the complementary DNA target and form the double helix structure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{"citationItems":[{"id":"ITEM-1","itemData":{"DOI":"10.1016/j.sbsr.2017.09.001","ISBN":"2214-1804","ISSN":"22141804","abstract":"In recent years, electrochemical deoxyribonucleic acid (DNA) sensor has recently emerged as promising alternative clinical diagnostic devices especially for infectious disease by exploiting DNA recognition events and converting them into an electrochemical signal. This is because the existing DNA diagnostic method possesses certain drawbacks such as time-consuming, expensive, laborious, low selectivity and sensitivity. DNA immobilization strategies and mechanism of electrochemical detection are two the most important aspects that should be considered before developing highly selective and sensitive electrochemical DNA sensor. Here, we focus on some recent strategies for DNA probes immobilization on the surface of electrochemical transducer such as adsorption, covalent bonding and Avidin/Streptavidin-Biotin interaction on the electrode surface for specific interaction with its complementary DNA target. A numerous approach for DNA hybridization detection based electrochemical technique that frequently used including direct DNA electrochemical detection and label based electrochemical (redox-active indicator, enzyme label and nanoparticles were also discussed in aiming to provide general guide for the design of electrochemical DNA sensor. We also discussed the challenges and suggestions to improve the application of electrochemical DNA sensor at point-care setting.","author":[{"dropping-particle":"","family":"Rashid","given":"Jahwarhar Izuan Abdul","non-dropping-particle":"","parse-names":false,"suffix":""},{"dropping-particle":"","family":"Yusof","given":"Nor Azah","non-dropping-particle":"","parse-names":false,"suffix":""}],"container-title":"Sensing and Bio-Sensing Research","id":"ITEM-1","issue":"September","issued":{"date-parts":[["2017"]]},"page":"19-31","publisher":"Elsevier","title":"The strategies of DNA immobilization and hybridization detection mechanism in the construction of electrochemical DNA sensor: A review","type":"article-journal","volume":"16"},"uris":["http://www.mendeley.com/documents/?uuid=4995354b-b1f8-4c06-b7bc-93fa4db04c79"]}],"mendeley":{"formattedCitation":"[129]","plainTextFormattedCitation":"[129]","previouslyFormattedCitation":"[129]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674196">
        <w:rPr>
          <w:rFonts w:ascii="Palatino Linotype" w:hAnsi="Palatino Linotype" w:cs="Times New Roman"/>
          <w:sz w:val="24"/>
          <w:szCs w:val="24"/>
        </w:rPr>
        <w:t>In DNA biosensing, a change in signal is obtained when recognition and hybridisation of two opposing strands of DNA occur as a result of their base pair complementarity</w:t>
      </w:r>
      <w:r w:rsidRPr="005B1CCB">
        <w:rPr>
          <w:rFonts w:ascii="Palatino Linotype" w:hAnsi="Palatino Linotype" w:cs="Times New Roman"/>
          <w:sz w:val="24"/>
          <w:szCs w:val="24"/>
        </w:rPr>
        <w:t xml:space="preserve">. </w:t>
      </w:r>
      <w:r w:rsidRPr="005B1CCB">
        <w:rPr>
          <w:rFonts w:ascii="Palatino Linotype" w:hAnsi="Palatino Linotype"/>
          <w:sz w:val="24"/>
          <w:szCs w:val="24"/>
        </w:rPr>
        <w:t xml:space="preserve">The base sequences of the probe and target must be complementary to each other, creating a ‘hybrid’ as illustrated in Figure </w:t>
      </w:r>
      <w:r w:rsidR="00596408" w:rsidRPr="005B1CCB">
        <w:rPr>
          <w:rFonts w:ascii="Palatino Linotype" w:hAnsi="Palatino Linotype"/>
          <w:sz w:val="24"/>
          <w:szCs w:val="24"/>
        </w:rPr>
        <w:t>5</w:t>
      </w:r>
      <w:r w:rsidRPr="005B1CCB">
        <w:rPr>
          <w:rFonts w:ascii="Palatino Linotype" w:hAnsi="Palatino Linotype"/>
          <w:sz w:val="24"/>
          <w:szCs w:val="24"/>
        </w:rPr>
        <w:t xml:space="preserve">. This hybrid can be revealed when appropriate labelling and detection systems are used. </w:t>
      </w:r>
      <w:r w:rsidRPr="005B1CCB">
        <w:rPr>
          <w:rFonts w:ascii="Palatino Linotype" w:hAnsi="Palatino Linotype" w:cs="Times New Roman"/>
          <w:sz w:val="24"/>
          <w:szCs w:val="24"/>
        </w:rPr>
        <w:t xml:space="preserve">A double stranded DNA sequence with tumour specific mutations can indicate the diagnosis of a specific cancer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{"citationItems":[{"id":"ITEM-1","itemData":{"author":[{"dropping-particle":"","family":"Schwarzenbach","given":"Heidi","non-dropping-particle":"","parse-names":false,"suffix":""},{"dropping-particle":"","family":"Hoon","given":"Dave S B","non-dropping-particle":"","parse-names":false,"suffix":""},{"dropping-particle":"","family":"Pantel","given":"Klaus","non-dropping-particle":"","parse-names":false,"suffix":""}],"container-title":"Nature Reviews Cancer","id":"ITEM-1","issued":{"date-parts":[["2011","5","12"]]},"page":"426","publisher":"Nature Publishing Group, a division of Macmillan Publishers Limited. All Rights Reserved.","title":"Cell-free nucleic acids as biomarkers in cancer patients","type":"article-journal","volume":"11"},"uris":["http://www.mendeley.com/documents/?uuid=ec91709b-7da4-4c0f-9a8d-e7ef189de742"]}],"mendeley":{"formattedCitation":"[159]","plainTextFormattedCitation":"[159]","previouslyFormattedCitation":"[159]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[159]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674196">
        <w:rPr>
          <w:rFonts w:ascii="Palatino Linotype" w:hAnsi="Palatino Linotype" w:cs="Times New Roman"/>
          <w:sz w:val="24"/>
          <w:szCs w:val="24"/>
        </w:rPr>
        <w:t>As the concentration of ctDNA increases when patients have advanced cancers, achieving high sensitivity for the DNA sensor is important for early detection of disease and developing tailored therapies.</w:t>
      </w:r>
      <w:r w:rsidRPr="005B1CCB">
        <w:rPr>
          <w:rFonts w:ascii="Palatino Linotype" w:hAnsi="Palatino Linotype" w:cs="Times New Roman"/>
          <w:sz w:val="24"/>
          <w:szCs w:val="24"/>
        </w:rPr>
        <w:t xml:space="preserve">    Factors to consider when designing a DNA hybridisation study include the probe design (a gene probe or an oligonucleotide probe may be desired), detection method (this can be label-free or include a label e.g. radioactive isotope or enzymatic), the target format (e.g. in solution or in-situ), and the hybridisation conditions</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{"citationItems":[{"id":"ITEM-1","itemData":{"DOI":"10.1007/978-1-60327-375-6_4","ISBN":"1603273700","ISSN":"1603273700","PMID":"1000173141","abstract":"A probe is a nucleic acid molecule (single-stranded DNA or RNA) with a strong affinity with a specific target (DNA or RNA sequence). Probe and target base sequences must be complementary to each other, but depending on conditions, they do not necessarily have to be exactly complementary. The hybrid (probe-target combination) can be revealed when appropriate labeling and detection systems are used. Gene probes are used in various blotting and in situ techniques for the detection of nucleic acid sequences. In medicine, they can help in the identification of microorganisms and the diagnosis of infectious, inherited, and other diseases","author":[{"dropping-particle":"","family":"Muro","given":"Marilena Aquino","non-dropping-particle":"de","parse-names":false,"suffix":""}],"container-title":"Molecular Biomethods Handbook","id":"ITEM-1","issued":{"date-parts":[["2008"]]},"page":"41-53","title":"Probe Design, Production, and Applications","type":"article-journal"},"uris":["http://www.mendeley.com/documents/?uuid=3b53f40e-f407-41c9-9c22-70c7b06cbb34"]}],"mendeley":{"formattedCitation":"[128]","plainTextFormattedCitation":"[128]","previouslyFormattedCitation":"[128]"},"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[128]</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p>
    <w:p w14:paraId="2D36307A" w14:textId="77777777" w:rsidR="000313DD" w:rsidRPr="005B1CCB" w:rsidRDefault="000313DD" w:rsidP="000313DD">
      <w:pPr>
        <w:keepNext/>
        <w:spacing w:before="240" w:line="360" w:lineRule="auto"/>
        <w:jc w:val="center"/>
      </w:pPr>
      <w:r w:rsidRPr="005B1CCB">
        <w:rPr>
          <w:noProof/>
          <w:lang w:eastAsia="en-GB"/>
        </w:rPr>
        <w:drawing>
          <wp:inline distT="0" distB="0" distL="0" distR="0" wp14:anchorId="4412D816" wp14:editId="21F89CEF">
            <wp:extent cx="5605670" cy="200743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8898" cy="2008588"/>
                    </a:xfrm>
                    <a:prstGeom prst="rect">
                      <a:avLst/>
                    </a:prstGeom>
                  </pic:spPr>
                </pic:pic>
              </a:graphicData>
            </a:graphic>
          </wp:inline>
        </w:drawing>
      </w:r>
    </w:p>
    <w:p w14:paraId="12EE7D08" w14:textId="0E4E4598" w:rsidR="000313DD" w:rsidRPr="005B1CCB" w:rsidRDefault="000313DD" w:rsidP="000313DD">
      <w:pPr>
        <w:pStyle w:val="Caption"/>
        <w:jc w:val="center"/>
        <w:rPr>
          <w:sz w:val="22"/>
          <w:szCs w:val="22"/>
        </w:rPr>
      </w:pPr>
      <w:bookmarkStart w:id="46" w:name="_Toc84519600"/>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w:t>
      </w:r>
      <w:r w:rsidRPr="005B1CCB">
        <w:rPr>
          <w:sz w:val="22"/>
          <w:szCs w:val="22"/>
        </w:rPr>
        <w:fldChar w:fldCharType="end"/>
      </w:r>
      <w:r w:rsidRPr="005B1CCB">
        <w:rPr>
          <w:sz w:val="22"/>
          <w:szCs w:val="22"/>
        </w:rPr>
        <w:t xml:space="preserve">: DNA probes confirming the presence of a suspected pathogen or mutation in patient samples by hybridising with a gene of interest </w:t>
      </w:r>
      <w:r w:rsidRPr="005B1CCB">
        <w:rPr>
          <w:sz w:val="22"/>
          <w:szCs w:val="22"/>
        </w:rPr>
        <w:fldChar w:fldCharType="begin" w:fldLock="1"/>
      </w:r>
      <w:r w:rsidR="000766C5">
        <w:rPr>
          <w:sz w:val="22"/>
          <w:szCs w:val="22"/>
        </w:rPr>
        <w:instrText>ADDIN CSL_CITATION {"citationItems":[{"id":"ITEM-1","itemData":{"URL":"https://courses.lumenlearning.com/microbiology/chapter/visualizing-and-characterizing-dna-rna-and-protein/","author":[{"dropping-particle":"","family":"OpenStax CNX","given":"","non-dropping-particle":"","parse-names":false,"suffix":""}],"container-title":"Nucleic acid probing","id":"ITEM-1","issued":{"date-parts":[["0"]]},"title":"OpenStax Microbiology","type":"webpage"},"uris":["http://www.mendeley.com/documents/?uuid=168c1772-85ff-4043-adf9-cb294d33b772"]}],"mendeley":{"formattedCitation":"[160]","plainTextFormattedCitation":"[160]","previouslyFormattedCitation":"[160]"},"properties":{"noteIndex":0},"schema":"https://github.com/citation-style-language/schema/raw/master/csl-citation.json"}</w:instrText>
      </w:r>
      <w:r w:rsidRPr="005B1CCB">
        <w:rPr>
          <w:sz w:val="22"/>
          <w:szCs w:val="22"/>
        </w:rPr>
        <w:fldChar w:fldCharType="separate"/>
      </w:r>
      <w:r w:rsidR="005F2946" w:rsidRPr="005F2946">
        <w:rPr>
          <w:i w:val="0"/>
          <w:noProof/>
          <w:sz w:val="22"/>
          <w:szCs w:val="22"/>
        </w:rPr>
        <w:t>[160]</w:t>
      </w:r>
      <w:bookmarkEnd w:id="46"/>
      <w:r w:rsidRPr="005B1CCB">
        <w:rPr>
          <w:sz w:val="22"/>
          <w:szCs w:val="22"/>
        </w:rPr>
        <w:fldChar w:fldCharType="end"/>
      </w:r>
    </w:p>
    <w:p w14:paraId="623F6509" w14:textId="77777777" w:rsidR="000313DD" w:rsidRPr="005B1CCB" w:rsidRDefault="000313DD" w:rsidP="000313DD">
      <w:pPr>
        <w:spacing w:before="240" w:line="360" w:lineRule="auto"/>
        <w:jc w:val="both"/>
        <w:rPr>
          <w:rFonts w:ascii="Palatino Linotype" w:hAnsi="Palatino Linotype" w:cs="Times New Roman"/>
          <w:sz w:val="24"/>
          <w:szCs w:val="24"/>
        </w:rPr>
      </w:pPr>
    </w:p>
    <w:p w14:paraId="3513EEE6" w14:textId="77777777" w:rsidR="00CE63C5" w:rsidRPr="005B1CCB" w:rsidRDefault="00CE63C5" w:rsidP="00CE63C5">
      <w:pPr>
        <w:pStyle w:val="Heading3"/>
      </w:pPr>
      <w:bookmarkStart w:id="47" w:name="_Toc84528054"/>
      <w:r w:rsidRPr="005B1CCB">
        <w:t xml:space="preserve">Electrochemical </w:t>
      </w:r>
      <w:r w:rsidR="002F2C3F" w:rsidRPr="005B1CCB">
        <w:t xml:space="preserve">DNA </w:t>
      </w:r>
      <w:r w:rsidRPr="005B1CCB">
        <w:t xml:space="preserve">detection </w:t>
      </w:r>
      <w:r w:rsidR="002F2C3F" w:rsidRPr="005B1CCB">
        <w:t xml:space="preserve">in </w:t>
      </w:r>
      <w:r w:rsidRPr="005B1CCB">
        <w:t>cancer</w:t>
      </w:r>
      <w:bookmarkEnd w:id="47"/>
    </w:p>
    <w:p w14:paraId="58C0C538" w14:textId="62FCDCC7" w:rsidR="00CE63C5" w:rsidRPr="005B1CCB" w:rsidRDefault="00CE63C5" w:rsidP="00CE63C5">
      <w:pPr>
        <w:spacing w:line="360" w:lineRule="auto"/>
        <w:jc w:val="both"/>
        <w:rPr>
          <w:rFonts w:ascii="Palatino Linotype" w:hAnsi="Palatino Linotype" w:cs="Times New Roman"/>
          <w:noProof/>
          <w:sz w:val="24"/>
          <w:szCs w:val="24"/>
        </w:rPr>
      </w:pPr>
      <w:r w:rsidRPr="005B1CCB">
        <w:rPr>
          <w:rFonts w:ascii="Palatino Linotype" w:hAnsi="Palatino Linotype" w:cs="Times New Roman"/>
          <w:sz w:val="24"/>
          <w:szCs w:val="24"/>
        </w:rPr>
        <w:t xml:space="preserve">   Electrochemical </w:t>
      </w:r>
      <w:r w:rsidR="002F2C3F" w:rsidRPr="005B1CCB">
        <w:rPr>
          <w:rFonts w:ascii="Palatino Linotype" w:hAnsi="Palatino Linotype" w:cs="Times New Roman"/>
          <w:sz w:val="24"/>
          <w:szCs w:val="24"/>
        </w:rPr>
        <w:t xml:space="preserve">DNA detection </w:t>
      </w:r>
      <w:r w:rsidRPr="005B1CCB">
        <w:rPr>
          <w:rFonts w:ascii="Palatino Linotype" w:hAnsi="Palatino Linotype" w:cs="Times New Roman"/>
          <w:sz w:val="24"/>
          <w:szCs w:val="24"/>
        </w:rPr>
        <w:t xml:space="preserve">methods are of special interest due to their speed and low cost. They take advantage of the fact that DNA will normally exist in its fully hybridised double helix form, so they allow a single stranded DNA to react with a target DNA to spontaneously form a double stranded hybrid that can produce an electrochemical response or change in the interfacial properties of the electrode system under test which can be detected using an electrochemical detection technique. </w:t>
      </w:r>
      <w:r w:rsidRPr="00674196">
        <w:rPr>
          <w:rFonts w:ascii="Palatino Linotype" w:hAnsi="Palatino Linotype" w:cs="Times New Roman"/>
          <w:sz w:val="24"/>
          <w:szCs w:val="24"/>
        </w:rPr>
        <w:t>DNA is highly negatively charged because of the phosphate groups running along the backbone of the molecule</w:t>
      </w:r>
      <w:r w:rsidRPr="005B1CCB">
        <w:rPr>
          <w:rFonts w:ascii="Palatino Linotype" w:hAnsi="Palatino Linotype" w:cs="Times New Roman"/>
          <w:sz w:val="24"/>
          <w:szCs w:val="24"/>
        </w:rPr>
        <w:t xml:space="preserve">. </w:t>
      </w:r>
      <w:r w:rsidRPr="00674196">
        <w:rPr>
          <w:rFonts w:ascii="Palatino Linotype" w:hAnsi="Palatino Linotype" w:cs="Times New Roman"/>
          <w:sz w:val="24"/>
          <w:szCs w:val="24"/>
        </w:rPr>
        <w:t>This electrochemical response is a signal that represents a physical-chemical quantity that is measured and which can be seen to change between the single stranded and double stranded versions of the DNA molecule</w:t>
      </w:r>
      <w:r w:rsidRPr="005B1CCB">
        <w:rPr>
          <w:rFonts w:ascii="Palatino Linotype" w:hAnsi="Palatino Linotype" w:cs="Times New Roman"/>
          <w:sz w:val="24"/>
          <w:szCs w:val="24"/>
        </w:rPr>
        <w:t xml:space="preserve">. DNA-based sequence information plays an important role in cancer diagnosis as somatic mutations show unevenness in genomic distribution that correlates with aspects of genome structure and function. Driver genes provide a blueprint of the malignant process, and electrochemistry offer target detection for specific therapies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{"citationItems":[{"id":"ITEM-1","itemData":{"DOI":"10.1016/j.talanta.2019.120251","ISSN":"00399140","abstract":"Cancer is one of the most widespread challenges and important diseases, which has the highest mortality rate. Lung cancer is the most common type of cancer, so that about 25% of all cancer deaths are related to the lung cancer. The lung cancer is classified as two different types with different treatment methodology: the small cell lung carcinoma and nonsmall cell lung carcinoma are two categories of the lung cancer. Since the lung cancer is often in the latent period in its early stages, therefore, early diagnosis of lung cancer has many challenges. Hence, there is a need for sensitive and reliable tools for preclinical diagnosis of lung cancer. Therefore, many detection methods have been employed for early detection of lung cancer. As lung cancer tumors growth in the body, the cancerous cells release numerous DNA, proteins, and metabolites as special biomarkers of the lung cancer. The levels of these biomarkers show the stages of the lung cancer. Therefore, detection of the biomarkers can be used for screening and clinical diagnosis of the lung cancer. There are numerous biomarkers for the lung cancer such as EGFR, CEA, CYFRA 21-1, ENO1, NSE, CA 19-9, CA 125 and VEGF. Nowadays, electrochemical methods are very attractive and useful in the lung cancer detections. So, in this paper, the recent advances and improvements (2010–2018) in the electrochemical detection of the lung cancer biomarkers have been reviewed.","author":[{"dropping-particle":"","family":"Khanmohammadi","given":"A.","non-dropping-particle":"","parse-names":false,"suffix":""},{"dropping-particle":"","family":"Aghaie","given":"Ali","non-dropping-particle":"","parse-names":false,"suffix":""},{"dropping-particle":"","family":"Vahedi","given":"Ensieh","non-dropping-particle":"","parse-names":false,"suffix":""},{"dropping-particle":"","family":"Qazvini","given":"Ali","non-dropping-particle":"","parse-names":false,"suffix":""},{"dropping-particle":"","family":"Ghanei","given":"Mostafa","non-dropping-particle":"","parse-names":false,"suffix":""},{"dropping-particle":"","family":"Afkhami","given":"A.","non-dropping-particle":"","parse-names":false,"suffix":""},{"dropping-particle":"","family":"Hajian","given":"Ali","non-dropping-particle":"","parse-names":false,"suffix":""},{"dropping-particle":"","family":"Bagheri","given":"H.","non-dropping-particle":"","parse-names":false,"suffix":""}],"container-title":"Talanta","id":"ITEM-1","issue":"July 2019","issued":{"date-parts":[["2020"]]},"page":"120251","publisher":"Elsevier B.V.","title":"Electrochemical biosensors for the detection of lung cancer biomarkers: A review","type":"article-journal","volume":"206"},"uris":["http://www.mendeley.com/documents/?uuid=54753c49-7c9e-451b-892c-ae55094f147a"]}],"mendeley":{"formattedCitation":"[153]","plainTextFormattedCitation":"[153]","previouslyFormattedCitation":"[153]"},"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[153]</w:t>
      </w:r>
      <w:r w:rsidRPr="005B1CCB">
        <w:rPr>
          <w:rFonts w:ascii="Palatino Linotype" w:hAnsi="Palatino Linotype" w:cs="Times New Roman"/>
          <w:sz w:val="24"/>
          <w:szCs w:val="24"/>
        </w:rPr>
        <w:fldChar w:fldCharType="end"/>
      </w:r>
      <w:r w:rsidRPr="005B1CCB">
        <w:rPr>
          <w:rFonts w:ascii="Palatino Linotype" w:hAnsi="Palatino Linotype" w:cs="Times New Roman"/>
          <w:noProof/>
          <w:sz w:val="24"/>
          <w:szCs w:val="24"/>
        </w:rPr>
        <w:t xml:space="preserve"> </w:t>
      </w:r>
      <w:r w:rsidRPr="005B1CCB">
        <w:rPr>
          <w:rFonts w:ascii="Palatino Linotype" w:hAnsi="Palatino Linotype" w:cs="Times New Roman"/>
          <w:noProof/>
          <w:sz w:val="24"/>
          <w:szCs w:val="24"/>
        </w:rPr>
        <w:fldChar w:fldCharType="begin" w:fldLock="1"/>
      </w:r>
      <w:r w:rsidR="000766C5">
        <w:rPr>
          <w:rFonts w:ascii="Palatino Linotype" w:hAnsi="Palatino Linotype" w:cs="Times New Roman"/>
          <w:noProof/>
          <w:sz w:val="24"/>
          <w:szCs w:val="24"/>
        </w:rPr>
        <w:instrText>ADDIN CSL_CITATION {"citationItems":[{"id":"ITEM-1","itemData":{"DOI":"10.1042/EBC20170053","ISSN":"1744-1358","abstract":"Genetics plays a role, to a greater or lesser extent, in all diseases. Variations in our DNA and differences in how that DNA functions (alone or in combinations), alongside the environment (which encompasses lifestyle), contribute to disease processes. This review explores the genetic basis of human disease, including single gene disorders, chromosomal imbalances, epigenetics, cancer and complex disorders, and considers how our understanding and technological advances can be applied to provision of appropriate diagnosis, management and therapy for patients.","author":[{"dropping-particle":"","family":"Jackson","given":"Maria","non-dropping-particle":"","parse-names":false,"suffix":""},{"dropping-particle":"","family":"Marks","given":"Leah","non-dropping-particle":"","parse-names":false,"suffix":""},{"dropping-particle":"","family":"May","given":"Gerhard H W","non-dropping-particle":"","parse-names":false,"suffix":""},{"dropping-particle":"","family":"Wilson","given":"Joanna B","non-dropping-particle":"","parse-names":false,"suffix":""}],"container-title":"Essays in biochemistry","id":"ITEM-1","issue":"5","issued":{"date-parts":[["2018","12","2"]]},"language":"eng","page":"643-723","publisher":"Portland Press Ltd.","title":"The genetic basis of disease","type":"article-journal","volume":"62"},"uris":["http://www.mendeley.com/documents/?uuid=fe348fb0-486a-42f9-bdd1-aeead28ca763"]}],"mendeley":{"formattedCitation":"[161]","plainTextFormattedCitation":"[161]","previouslyFormattedCitation":"[161]"},"properties":{"noteIndex":0},"schema":"https://github.com/citation-style-language/schema/raw/master/csl-citation.json"}</w:instrText>
      </w:r>
      <w:r w:rsidRPr="005B1CCB">
        <w:rPr>
          <w:rFonts w:ascii="Palatino Linotype" w:hAnsi="Palatino Linotype" w:cs="Times New Roman"/>
          <w:noProof/>
          <w:sz w:val="24"/>
          <w:szCs w:val="24"/>
        </w:rPr>
        <w:fldChar w:fldCharType="separate"/>
      </w:r>
      <w:r w:rsidR="005F2946" w:rsidRPr="005F2946">
        <w:rPr>
          <w:rFonts w:ascii="Palatino Linotype" w:hAnsi="Palatino Linotype" w:cs="Times New Roman"/>
          <w:noProof/>
          <w:sz w:val="24"/>
          <w:szCs w:val="24"/>
        </w:rPr>
        <w:t>[161]</w:t>
      </w:r>
      <w:r w:rsidRPr="005B1CCB">
        <w:rPr>
          <w:rFonts w:ascii="Palatino Linotype" w:hAnsi="Palatino Linotype" w:cs="Times New Roman"/>
          <w:noProof/>
          <w:sz w:val="24"/>
          <w:szCs w:val="24"/>
        </w:rPr>
        <w:fldChar w:fldCharType="end"/>
      </w:r>
      <w:r w:rsidRPr="005B1CCB">
        <w:rPr>
          <w:rFonts w:ascii="Palatino Linotype" w:hAnsi="Palatino Linotype" w:cs="Times New Roman"/>
          <w:noProof/>
          <w:sz w:val="24"/>
          <w:szCs w:val="24"/>
        </w:rPr>
        <w:t>.</w:t>
      </w:r>
    </w:p>
    <w:p w14:paraId="765AE31C" w14:textId="77777777" w:rsidR="00596408" w:rsidRPr="005B1CCB" w:rsidRDefault="00596408" w:rsidP="00CE63C5">
      <w:pPr>
        <w:spacing w:line="360" w:lineRule="auto"/>
        <w:jc w:val="both"/>
        <w:rPr>
          <w:rFonts w:ascii="Palatino Linotype" w:hAnsi="Palatino Linotype" w:cs="Times New Roman"/>
          <w:sz w:val="24"/>
          <w:szCs w:val="24"/>
        </w:rPr>
      </w:pPr>
    </w:p>
    <w:p w14:paraId="17C7AD59" w14:textId="77777777" w:rsidR="006F6B02" w:rsidRPr="005B1CCB" w:rsidRDefault="006F6B02" w:rsidP="006F6B02">
      <w:pPr>
        <w:pStyle w:val="Heading2"/>
      </w:pPr>
      <w:bookmarkStart w:id="48" w:name="_Toc84528055"/>
      <w:r w:rsidRPr="005B1CCB">
        <w:t>Carbon electrodes</w:t>
      </w:r>
      <w:bookmarkEnd w:id="48"/>
    </w:p>
    <w:p w14:paraId="6251F2B1" w14:textId="4233F621" w:rsidR="006F6B02" w:rsidRPr="005B1CCB" w:rsidRDefault="006F6B02" w:rsidP="006F6B02">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Carbon electrodes are chemically inert, particularly at negative potential ranges in all media making them highly suitable electrode sensors for electroanalytical chemistry and giving them an advantage over metal electrodes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{"citationItems":[{"id":"ITEM-1","itemData":{"DOI":"10.1021/acsami.5b09825","author":[{"dropping-particle":"","family":"Yang","given":"Nianjun","non-dropping-particle":"","parse-names":false,"suffix":""},{"dropping-particle":"","family":"Waldvogel","given":"Siegfried R","non-dropping-particle":"","parse-names":false,"suffix":""},{"dropping-particle":"","family":"Jiang","given":"Xin","non-dropping-particle":"","parse-names":false,"suffix":""}],"id":"ITEM-1","issued":{"date-parts":[["2016"]]},"title":"Electrochemistry of Carbon Dioxide on Carbon Electrodes","type":"article-journal"},"uris":["http://www.mendeley.com/documents/?uuid=826fab1d-b841-4009-aed1-bd6f38f0529b"]}],"mendeley":{"formattedCitation":"[162]","plainTextFormattedCitation":"[162]","previouslyFormattedCitation":"[162]"},"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[162]</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674196">
        <w:rPr>
          <w:rFonts w:ascii="Palatino Linotype" w:hAnsi="Palatino Linotype" w:cs="Times New Roman"/>
          <w:sz w:val="24"/>
          <w:szCs w:val="24"/>
          <w:lang w:val="en"/>
        </w:rPr>
        <w:t xml:space="preserve">Given the continued need for the miniaturization of advanced electronics, the area of </w:t>
      </w:r>
      <w:r w:rsidR="00251C3A" w:rsidRPr="00674196">
        <w:rPr>
          <w:rFonts w:ascii="Palatino Linotype" w:hAnsi="Palatino Linotype" w:cs="Times New Roman"/>
          <w:sz w:val="24"/>
          <w:szCs w:val="24"/>
          <w:lang w:val="en"/>
        </w:rPr>
        <w:t>screen-printing</w:t>
      </w:r>
      <w:r w:rsidRPr="00674196">
        <w:rPr>
          <w:rFonts w:ascii="Palatino Linotype" w:hAnsi="Palatino Linotype" w:cs="Times New Roman"/>
          <w:sz w:val="24"/>
          <w:szCs w:val="24"/>
          <w:lang w:val="en"/>
        </w:rPr>
        <w:t xml:space="preserve"> techniques has been adapted for electronic circuit fabrication. Screen printed electrodes (SPEs) are evolving as they are easy to use and can be produced on a large scale</w:t>
      </w:r>
      <w:r w:rsidRPr="005B1CCB">
        <w:rPr>
          <w:rFonts w:ascii="Palatino Linotype" w:hAnsi="Palatino Linotype" w:cs="Times New Roman"/>
          <w:sz w:val="24"/>
          <w:szCs w:val="24"/>
          <w:lang w:val="en"/>
        </w:rPr>
        <w:t xml:space="preserve">. SPEs are also very practical as they are disposable and low cost when manufactured in large volumes. The </w:t>
      </w:r>
      <w:r w:rsidRPr="00674196">
        <w:rPr>
          <w:rFonts w:ascii="Palatino Linotype" w:hAnsi="Palatino Linotype" w:cs="Times New Roman"/>
          <w:sz w:val="24"/>
          <w:szCs w:val="24"/>
          <w:lang w:val="en"/>
        </w:rPr>
        <w:t>screen printing inks commonly used to produce most screen printed electrodes includes a mixture of conductive materials and suitable solvents and, polymeric binders which can obstruct the electrochemically active surfaces of the electrodes, resulting in slower kinetics for heterogeneous reactions</w:t>
      </w:r>
      <w:r w:rsidRPr="005B1CCB">
        <w:rPr>
          <w:rFonts w:ascii="Palatino Linotype" w:hAnsi="Palatino Linotype" w:cs="Times New Roman"/>
          <w:sz w:val="24"/>
          <w:szCs w:val="24"/>
          <w:lang w:val="en"/>
        </w:rPr>
        <w:t xml:space="preserve"> </w:t>
      </w:r>
      <w:r w:rsidRPr="005B1CCB">
        <w:rPr>
          <w:rFonts w:ascii="Palatino Linotype" w:hAnsi="Palatino Linotype" w:cs="Times New Roman"/>
          <w:b/>
          <w:sz w:val="24"/>
          <w:szCs w:val="24"/>
          <w:lang w:val="en"/>
        </w:rPr>
        <w:fldChar w:fldCharType="begin" w:fldLock="1"/>
      </w:r>
      <w:r w:rsidR="000766C5">
        <w:rPr>
          <w:rFonts w:ascii="Palatino Linotype" w:hAnsi="Palatino Linotype" w:cs="Times New Roman"/>
          <w:sz w:val="24"/>
          <w:szCs w:val="24"/>
          <w:lang w:val="en"/>
        </w:rPr>
        <w:instrText>ADDIN CSL_CITATION {"citationItems":[{"id":"ITEM-1","itemData":{"DOI":"10.1016/j.sbsr.2016.05.006","ISSN":"2214-1804","author":[{"dropping-particle":"","family":"Lee","given":"Junqiao","non-dropping-particle":"","parse-names":false,"suffix":""},{"dropping-particle":"","family":"Arrigan","given":"Damien W M","non-dropping-particle":"","parse-names":false,"suffix":""},{"dropping-particle":"","family":"Silvester","given":"Debbie S","non-dropping-particle":"","parse-names":false,"suffix":""}],"container-title":"Sensing and Bio-Sensing Research","id":"ITEM-1","issued":{"date-parts":[["2016"]]},"page":"38-44","publisher":"The Authors","title":"Sensing and Bio-Sensing Research Mechanical polishing as an improved surface treatment for platinum screen-printed electrodes","type":"article-journal","volume":"9"},"uris":["http://www.mendeley.com/documents/?uuid=3693a0c2-f3a6-49e4-86bf-ed16a503d2e4"]}],"mendeley":{"formattedCitation":"[163]","plainTextFormattedCitation":"[163]","previouslyFormattedCitation":"[163]"},"properties":{"noteIndex":0},"schema":"https://github.com/citation-style-language/schema/raw/master/csl-citation.json"}</w:instrText>
      </w:r>
      <w:r w:rsidRPr="005B1CCB">
        <w:rPr>
          <w:rFonts w:ascii="Palatino Linotype" w:hAnsi="Palatino Linotype" w:cs="Times New Roman"/>
          <w:b/>
          <w:sz w:val="24"/>
          <w:szCs w:val="24"/>
          <w:lang w:val="en"/>
        </w:rPr>
        <w:fldChar w:fldCharType="separate"/>
      </w:r>
      <w:r w:rsidR="005F2946" w:rsidRPr="005F2946">
        <w:rPr>
          <w:rFonts w:ascii="Palatino Linotype" w:hAnsi="Palatino Linotype" w:cs="Times New Roman"/>
          <w:noProof/>
          <w:sz w:val="24"/>
          <w:szCs w:val="24"/>
          <w:lang w:val="en"/>
        </w:rPr>
        <w:t>[163]</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lang w:val="en"/>
        </w:rPr>
        <w:t xml:space="preserve">. Although, carbon with organic solvents, binding pastes and some additives that provide functional characteristics are contained in conductive inks found in </w:t>
      </w:r>
      <w:r w:rsidRPr="005B1CCB">
        <w:rPr>
          <w:rFonts w:ascii="Palatino Linotype" w:hAnsi="Palatino Linotype" w:cs="Times New Roman"/>
          <w:sz w:val="24"/>
          <w:szCs w:val="24"/>
        </w:rPr>
        <w:t>Screen Printed Carbon electrodes</w:t>
      </w:r>
      <w:r w:rsidRPr="005B1CCB">
        <w:rPr>
          <w:rFonts w:ascii="Palatino Linotype" w:hAnsi="Palatino Linotype" w:cs="Times New Roman"/>
          <w:sz w:val="24"/>
          <w:szCs w:val="24"/>
          <w:lang w:val="en"/>
        </w:rPr>
        <w:t xml:space="preserve"> (SPCEs), </w:t>
      </w:r>
      <w:r w:rsidRPr="00674196">
        <w:rPr>
          <w:rFonts w:ascii="Palatino Linotype" w:hAnsi="Palatino Linotype" w:cs="Times New Roman"/>
          <w:sz w:val="24"/>
          <w:szCs w:val="24"/>
          <w:lang w:val="en"/>
        </w:rPr>
        <w:t>they can be modified in order for their electrochemical properties to be improved, for example, through the inclusion of carbon nanomaterials such as ‘carbon nanotubes’ or graphene in the ink formulation</w:t>
      </w:r>
      <w:r w:rsidRPr="005B1CCB">
        <w:rPr>
          <w:rFonts w:ascii="Palatino Linotype" w:hAnsi="Palatino Linotype" w:cs="Times New Roman"/>
          <w:sz w:val="24"/>
          <w:szCs w:val="24"/>
          <w:lang w:val="en"/>
        </w:rPr>
        <w:t xml:space="preserve">. </w:t>
      </w:r>
      <w:r w:rsidRPr="005B1CCB">
        <w:rPr>
          <w:rFonts w:ascii="Palatino Linotype" w:hAnsi="Palatino Linotype" w:cs="Times New Roman"/>
          <w:sz w:val="24"/>
          <w:szCs w:val="24"/>
        </w:rPr>
        <w:t xml:space="preserve">Screen Printed Carbon electrodes (SPCEs) are homogenous, simple, sensitive, cost-effective (~ £2 each) and disposable making them preferable for rapid electrochemical analyses and suitable as electrodes for characterizing the processes employed. </w:t>
      </w:r>
      <w:r w:rsidRPr="005B1CCB">
        <w:rPr>
          <w:rFonts w:ascii="Palatino Linotype" w:hAnsi="Palatino Linotype" w:cs="Times New Roman"/>
          <w:sz w:val="24"/>
          <w:szCs w:val="24"/>
          <w:lang w:val="en"/>
        </w:rPr>
        <w:t xml:space="preserve"> </w:t>
      </w:r>
      <w:r w:rsidRPr="005B1CCB">
        <w:rPr>
          <w:rFonts w:ascii="Palatino Linotype" w:hAnsi="Palatino Linotype" w:cs="Times New Roman"/>
          <w:sz w:val="24"/>
          <w:szCs w:val="24"/>
        </w:rPr>
        <w:t xml:space="preserve"> </w:t>
      </w:r>
    </w:p>
    <w:p w14:paraId="7CD85573" w14:textId="77777777" w:rsidR="00596408" w:rsidRPr="005B1CCB" w:rsidRDefault="00596408" w:rsidP="006F6B02">
      <w:pPr>
        <w:spacing w:line="360" w:lineRule="auto"/>
        <w:jc w:val="both"/>
        <w:rPr>
          <w:rFonts w:ascii="Palatino Linotype" w:hAnsi="Palatino Linotype" w:cs="Times New Roman"/>
          <w:sz w:val="24"/>
          <w:szCs w:val="24"/>
        </w:rPr>
      </w:pPr>
    </w:p>
    <w:p w14:paraId="1253253A" w14:textId="77777777" w:rsidR="006F6B02" w:rsidRPr="005B1CCB" w:rsidRDefault="006F6B02" w:rsidP="006F6B02">
      <w:pPr>
        <w:pStyle w:val="Heading3"/>
      </w:pPr>
      <w:bookmarkStart w:id="49" w:name="_Toc84528056"/>
      <w:r w:rsidRPr="005B1CCB">
        <w:t>DNA probes immobilisation strategies</w:t>
      </w:r>
      <w:bookmarkEnd w:id="49"/>
      <w:r w:rsidRPr="005B1CCB">
        <w:t xml:space="preserve"> </w:t>
      </w:r>
    </w:p>
    <w:p w14:paraId="1AC7CCB5" w14:textId="77777777" w:rsidR="006F6B02" w:rsidRDefault="006F6B02" w:rsidP="006F6B02">
      <w:pPr>
        <w:spacing w:line="360" w:lineRule="auto"/>
        <w:jc w:val="both"/>
        <w:rPr>
          <w:rFonts w:ascii="Palatino Linotype" w:hAnsi="Palatino Linotype"/>
          <w:sz w:val="24"/>
          <w:szCs w:val="24"/>
        </w:rPr>
      </w:pPr>
      <w:r w:rsidRPr="005B1CCB">
        <w:rPr>
          <w:rFonts w:ascii="Palatino Linotype" w:hAnsi="Palatino Linotype"/>
          <w:sz w:val="24"/>
          <w:szCs w:val="24"/>
        </w:rPr>
        <w:t xml:space="preserve">   To produce a DNA functionalised surface for selective determination of DNA hybridisation, it is necessary to employ a method for immobilising the probe sequence. Such methods can vary in complexity and are summarised below:</w:t>
      </w:r>
    </w:p>
    <w:p w14:paraId="7E04FCCA" w14:textId="77777777" w:rsidR="00F15C33" w:rsidRPr="005B1CCB" w:rsidRDefault="00F15C33" w:rsidP="006F6B02">
      <w:pPr>
        <w:spacing w:line="360" w:lineRule="auto"/>
        <w:jc w:val="both"/>
        <w:rPr>
          <w:rFonts w:ascii="Palatino Linotype" w:hAnsi="Palatino Linotype"/>
          <w:sz w:val="24"/>
          <w:szCs w:val="24"/>
        </w:rPr>
      </w:pPr>
    </w:p>
    <w:p w14:paraId="2062C4B3" w14:textId="77777777" w:rsidR="006F6B02" w:rsidRPr="005B1CCB" w:rsidRDefault="006F6B02" w:rsidP="006F6B02">
      <w:pPr>
        <w:pStyle w:val="Heading4"/>
      </w:pPr>
      <w:r w:rsidRPr="005B1CCB">
        <w:t>Adsorption</w:t>
      </w:r>
    </w:p>
    <w:p w14:paraId="0820CF7D" w14:textId="5DFB1A9C" w:rsidR="006F6B02" w:rsidRPr="005B1CCB" w:rsidRDefault="006F6B02" w:rsidP="006F6B02">
      <w:pPr>
        <w:spacing w:line="360" w:lineRule="auto"/>
        <w:jc w:val="both"/>
        <w:rPr>
          <w:rFonts w:ascii="Palatino Linotype" w:hAnsi="Palatino Linotype"/>
          <w:sz w:val="24"/>
          <w:szCs w:val="24"/>
        </w:rPr>
      </w:pPr>
      <w:r w:rsidRPr="005B1CCB">
        <w:rPr>
          <w:rFonts w:ascii="Palatino Linotype" w:hAnsi="Palatino Linotype"/>
          <w:sz w:val="24"/>
          <w:szCs w:val="24"/>
        </w:rPr>
        <w:t xml:space="preserve">   Adsorption requires the immobilisation of DNA probes on the working electrode surface through </w:t>
      </w:r>
      <w:r w:rsidRPr="00674196">
        <w:rPr>
          <w:rFonts w:ascii="Palatino Linotype" w:hAnsi="Palatino Linotype"/>
          <w:sz w:val="24"/>
          <w:szCs w:val="24"/>
        </w:rPr>
        <w:t>electrostatic adsorption between a negatively charged phosphate group of DNA on positively charged film-modified electrodes</w:t>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{"citationItems":[{"id":"ITEM-1","itemData":{"DOI":"10.1016/j.sbsr.2017.09.001","ISBN":"2214-1804","ISSN":"22141804","abstract":"In recent years, electrochemical deoxyribonucleic acid (DNA) sensor has recently emerged as promising alternative clinical diagnostic devices especially for infectious disease by exploiting DNA recognition events and converting them into an electrochemical signal. This is because the existing DNA diagnostic method possesses certain drawbacks such as time-consuming, expensive, laborious, low selectivity and sensitivity. DNA immobilization strategies and mechanism of electrochemical detection are two the most important aspects that should be considered before developing highly selective and sensitive electrochemical DNA sensor. Here, we focus on some recent strategies for DNA probes immobilization on the surface of electrochemical transducer such as adsorption, covalent bonding and Avidin/Streptavidin-Biotin interaction on the electrode surface for specific interaction with its complementary DNA target. A numerous approach for DNA hybridization detection based electrochemical technique that frequently used including direct DNA electrochemical detection and label based electrochemical (redox-active indicator, enzyme label and nanoparticles were also discussed in aiming to provide general guide for the design of electrochemical DNA sensor. We also discussed the challenges and suggestions to improve the application of electrochemical DNA sensor at point-care setting.","author":[{"dropping-particle":"","family":"Rashid","given":"Jahwarhar Izuan Abdul","non-dropping-particle":"","parse-names":false,"suffix":""},{"dropping-particle":"","family":"Yusof","given":"Nor Azah","non-dropping-particle":"","parse-names":false,"suffix":""}],"container-title":"Sensing and Bio-Sensing Research","id":"ITEM-1","issue":"September","issued":{"date-parts":[["2017"]]},"page":"19-31","publisher":"Elsevier","title":"The strategies of DNA immobilization and hybridization detection mechanism in the construction of electrochemical DNA sensor: A review","type":"article-journal","volume":"16"},"uris":["http://www.mendeley.com/documents/?uuid=4995354b-b1f8-4c06-b7bc-93fa4db04c79"]}],"mendeley":{"formattedCitation":"[129]","plainTextFormattedCitation":"[129]","previouslyFormattedCitation":"[129]"},"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[129]</w:t>
      </w:r>
      <w:r w:rsidRPr="005B1CCB">
        <w:rPr>
          <w:rFonts w:ascii="Palatino Linotype" w:hAnsi="Palatino Linotype"/>
          <w:sz w:val="24"/>
          <w:szCs w:val="24"/>
        </w:rPr>
        <w:fldChar w:fldCharType="end"/>
      </w:r>
      <w:r w:rsidRPr="005B1CCB">
        <w:rPr>
          <w:rFonts w:ascii="Palatino Linotype" w:hAnsi="Palatino Linotype"/>
          <w:sz w:val="24"/>
          <w:szCs w:val="24"/>
        </w:rPr>
        <w:t xml:space="preserve">. Applying a positive electrochemical potential enhances and stabilizes the DNA probes so it does not require chemical reagents or DNA probe modification. </w:t>
      </w:r>
      <w:r w:rsidR="003E79D2" w:rsidRPr="00674196">
        <w:rPr>
          <w:rFonts w:ascii="Palatino Linotype" w:hAnsi="Palatino Linotype"/>
          <w:sz w:val="24"/>
          <w:szCs w:val="24"/>
        </w:rPr>
        <w:t>The abundance of bio molecules can significantly hinder the performance of a transducer as non-specific adsorption can both block specific signal and in turn reduce specificity</w:t>
      </w:r>
      <w:r w:rsidR="003E79D2" w:rsidRPr="005B1CCB">
        <w:rPr>
          <w:rFonts w:ascii="Palatino Linotype" w:hAnsi="Palatino Linotype"/>
          <w:sz w:val="24"/>
          <w:szCs w:val="24"/>
        </w:rPr>
        <w:t xml:space="preserve">. </w:t>
      </w:r>
      <w:r w:rsidRPr="005B1CCB">
        <w:rPr>
          <w:rFonts w:ascii="Palatino Linotype" w:hAnsi="Palatino Linotype"/>
          <w:sz w:val="24"/>
          <w:szCs w:val="24"/>
        </w:rPr>
        <w:t xml:space="preserve">Cationic polymeric films like polyaniline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10.1109/JSEN.2017.2787024","ISSN":"1530437X","author":[{"dropping-particle":"","family":"Shoaie","given":"Nahid","non-dropping-particle":"","parse-names":false,"suffix":""},{"dropping-particle":"","family":"Forouzandeh","given":"Mehdi","non-dropping-particle":"","parse-names":false,"suffix":""},{"dropping-particle":"","family":"Omidfar","given":"Kobra","non-dropping-particle":"","parse-names":false,"suffix":""}],"container-title":"IEEE Sensors Journal","id":"ITEM-1","issue":"5","issued":{"date-parts":[["2017"]]},"page":"1835-1843","title":"Highly sensitive electrochemical biosensor based on polyaniline and gold nanoparticles for DNA detection","type":"article-journal","volume":"18"},"uris":["http://www.mendeley.com/documents/?uuid=32e93621-7ec0-421d-82ed-2a2a75dd6edc"]}],"mendeley":{"formattedCitation":"[164]","plainTextFormattedCitation":"[164]","previouslyFormattedCitation":"[164]"},"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[164]</w:t>
      </w:r>
      <w:r w:rsidRPr="005B1CCB">
        <w:rPr>
          <w:rFonts w:ascii="Palatino Linotype" w:hAnsi="Palatino Linotype"/>
          <w:sz w:val="24"/>
          <w:szCs w:val="24"/>
        </w:rPr>
        <w:fldChar w:fldCharType="end"/>
      </w:r>
      <w:r w:rsidRPr="005B1CCB">
        <w:rPr>
          <w:rFonts w:ascii="Palatino Linotype" w:hAnsi="Palatino Linotype"/>
          <w:sz w:val="24"/>
          <w:szCs w:val="24"/>
        </w:rPr>
        <w:t xml:space="preserve">, chitosan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{"citationItems":[{"id":"ITEM-1","itemData":{"DOI":"10.7150/ntno.22419","ISSN":"22067418","abstract":"Circulating tumor DNA (ctDNA), which includes DNA mutations, epigenetic alterations and other forms of tumor-specific abnormalities, is a promising “real-time” biomarker for noninvasive cancer assessment. Tumor DNA is of great value in the process of cancer treatment, including diagnostic and prognostic information before, during treatment and at progression. Here we introduce a peptide nucleic acids probe-gold nanoparticles (PNA-AuNPs) and lead phosphate apoferritin (LPA)-based dual biomarker detection platform, which could be used in a DNA biosensor to quantify ctDNA by detection of tumor-specific mutations and methylation of PIK3CA gene. On the one hand, PNA probe and anti-5-Methylcytosine monoclonal antibody (anti-5-mC) were used to recognize the different parts of ctDNA, forming a sandwich-structure on a screen-printed electrode (SPE) surface. On the other hand, AuNPs and LPA were introduced to construct the biosensor for double signal amplification. Square-wave voltammetry (SWV) was used to monitor the electrochemical signal of lead ions released from apoferritin. The proposed DNA biosensor yielded a linear current response to ctDNA concentrations over a broad range of 50-10000 fM with a detection limit of 10 fM. It also successfully detected ctDNA collected from cancer patient serum. Therefore, we anticipate this new platform opens up an approach to detect and monitor diverse malignancies, facilitating personalized cancer therapy.","author":[{"dropping-particle":"","family":"Cai","given":"Chunyan","non-dropping-particle":"","parse-names":false,"suffix":""},{"dropping-particle":"","family":"Guo","given":"Zhenzhong","non-dropping-particle":"","parse-names":false,"suffix":""},{"dropping-particle":"","family":"Cao","given":"Yiping","non-dropping-particle":"","parse-names":false,"suffix":""},{"dropping-particle":"","family":"Zhang","given":"Weiying","non-dropping-particle":"","parse-names":false,"suffix":""},{"dropping-particle":"","family":"Chen","given":"Yong","non-dropping-particle":"","parse-names":false,"suffix":""}],"container-title":"Nanotheranostics","id":"ITEM-1","issue":"1","issued":{"date-parts":[["2018"]]},"page":"12-20","title":"A dual biomarker detection platform for quantitating circulating tumor dna (Ctdna)","type":"article-journal","volume":"2"},"uris":["http://www.mendeley.com/documents/?uuid=33ba8864-fdce-481b-b452-c557d1751d8f"]}],"mendeley":{"formattedCitation":"[165]","plainTextFormattedCitation":"[165]","previouslyFormattedCitation":"[165]"},"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[165]</w:t>
      </w:r>
      <w:r w:rsidRPr="005B1CCB">
        <w:rPr>
          <w:rFonts w:ascii="Palatino Linotype" w:hAnsi="Palatino Linotype"/>
          <w:sz w:val="24"/>
          <w:szCs w:val="24"/>
        </w:rPr>
        <w:fldChar w:fldCharType="end"/>
      </w:r>
      <w:r w:rsidRPr="005B1CCB">
        <w:rPr>
          <w:rFonts w:ascii="Palatino Linotype" w:hAnsi="Palatino Linotype"/>
          <w:sz w:val="24"/>
          <w:szCs w:val="24"/>
        </w:rPr>
        <w:t xml:space="preserve">, polyethyleneimine, polypyrrole, and poly-L-lysine have been reported as suitable DNA matrices for immobilisation through electrostatic adsorption. </w:t>
      </w:r>
    </w:p>
    <w:p w14:paraId="6DC49452" w14:textId="77777777" w:rsidR="00596408" w:rsidRPr="005B1CCB" w:rsidRDefault="00596408" w:rsidP="006F6B02">
      <w:pPr>
        <w:spacing w:line="360" w:lineRule="auto"/>
        <w:jc w:val="both"/>
        <w:rPr>
          <w:rFonts w:ascii="Palatino Linotype" w:hAnsi="Palatino Linotype"/>
          <w:sz w:val="24"/>
          <w:szCs w:val="24"/>
        </w:rPr>
      </w:pPr>
    </w:p>
    <w:p w14:paraId="297B0A8C" w14:textId="77777777" w:rsidR="006F6B02" w:rsidRPr="005B1CCB" w:rsidRDefault="006F6B02" w:rsidP="006F6B02">
      <w:pPr>
        <w:pStyle w:val="Heading4"/>
      </w:pPr>
      <w:r w:rsidRPr="005B1CCB">
        <w:t>Covalent bonding</w:t>
      </w:r>
    </w:p>
    <w:p w14:paraId="705060F7" w14:textId="010C18C7" w:rsidR="006F6B02" w:rsidRPr="005B1CCB" w:rsidRDefault="006F6B02" w:rsidP="006F6B02">
      <w:pPr>
        <w:spacing w:line="360" w:lineRule="auto"/>
        <w:jc w:val="both"/>
        <w:rPr>
          <w:rFonts w:ascii="Palatino Linotype" w:hAnsi="Palatino Linotype"/>
          <w:sz w:val="24"/>
          <w:szCs w:val="24"/>
        </w:rPr>
      </w:pPr>
      <w:r w:rsidRPr="005B1CCB">
        <w:rPr>
          <w:rFonts w:ascii="Palatino Linotype" w:hAnsi="Palatino Linotype"/>
          <w:sz w:val="24"/>
          <w:szCs w:val="24"/>
        </w:rPr>
        <w:t xml:space="preserve">   Covalent bonding technique provides a good vertical orientation as the end of the DNA probe is grafted on the electrode surface, resulting in an efficient DNA hybridisation. In this technique, </w:t>
      </w:r>
      <w:r w:rsidRPr="00674196">
        <w:rPr>
          <w:rFonts w:ascii="Palatino Linotype" w:hAnsi="Palatino Linotype"/>
          <w:sz w:val="24"/>
          <w:szCs w:val="24"/>
        </w:rPr>
        <w:t>the synthesized DNA probe is usually linked via amine groups or thiols at the 3’ or 5’ to bind covalently to the surface of the metal or specific functional group introduced to the surface of the electrode</w:t>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{"citationItems":[{"id":"ITEM-1","itemData":{"DOI":"10.1016/j.sbsr.2017.09.001","ISBN":"2214-1804","ISSN":"22141804","abstract":"In recent years, electrochemical deoxyribonucleic acid (DNA) sensor has recently emerged as promising alternative clinical diagnostic devices especially for infectious disease by exploiting DNA recognition events and converting them into an electrochemical signal. This is because the existing DNA diagnostic method possesses certain drawbacks such as time-consuming, expensive, laborious, low selectivity and sensitivity. DNA immobilization strategies and mechanism of electrochemical detection are two the most important aspects that should be considered before developing highly selective and sensitive electrochemical DNA sensor. Here, we focus on some recent strategies for DNA probes immobilization on the surface of electrochemical transducer such as adsorption, covalent bonding and Avidin/Streptavidin-Biotin interaction on the electrode surface for specific interaction with its complementary DNA target. A numerous approach for DNA hybridization detection based electrochemical technique that frequently used including direct DNA electrochemical detection and label based electrochemical (redox-active indicator, enzyme label and nanoparticles were also discussed in aiming to provide general guide for the design of electrochemical DNA sensor. We also discussed the challenges and suggestions to improve the application of electrochemical DNA sensor at point-care setting.","author":[{"dropping-particle":"","family":"Rashid","given":"Jahwarhar Izuan Abdul","non-dropping-particle":"","parse-names":false,"suffix":""},{"dropping-particle":"","family":"Yusof","given":"Nor Azah","non-dropping-particle":"","parse-names":false,"suffix":""}],"container-title":"Sensing and Bio-Sensing Research","id":"ITEM-1","issue":"September","issued":{"date-parts":[["2017"]]},"page":"19-31","publisher":"Elsevier","title":"The strategies of DNA immobilization and hybridization detection mechanism in the construction of electrochemical DNA sensor: A review","type":"article-journal","volume":"16"},"uris":["http://www.mendeley.com/documents/?uuid=52a433c3-5380-4329-99af-7d943f8d0fcf"]}],"mendeley":{"formattedCitation":"[129]","plainTextFormattedCitation":"[129]","previouslyFormattedCitation":"[129]"},"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[129]</w:t>
      </w:r>
      <w:r w:rsidRPr="005B1CCB">
        <w:rPr>
          <w:rFonts w:ascii="Palatino Linotype" w:hAnsi="Palatino Linotype"/>
          <w:sz w:val="24"/>
          <w:szCs w:val="24"/>
        </w:rPr>
        <w:fldChar w:fldCharType="end"/>
      </w:r>
      <w:r w:rsidRPr="005B1CCB">
        <w:rPr>
          <w:rFonts w:ascii="Palatino Linotype" w:hAnsi="Palatino Linotype"/>
          <w:sz w:val="24"/>
          <w:szCs w:val="24"/>
        </w:rPr>
        <w:t xml:space="preserve">. Two </w:t>
      </w:r>
      <w:r w:rsidRPr="00674196">
        <w:rPr>
          <w:rFonts w:ascii="Palatino Linotype" w:hAnsi="Palatino Linotype"/>
          <w:sz w:val="24"/>
          <w:szCs w:val="24"/>
        </w:rPr>
        <w:t>common attachment techniques in covalent bonding are covalent attachment and chemisorption</w:t>
      </w:r>
      <w:r w:rsidRPr="005B1CCB">
        <w:rPr>
          <w:rFonts w:ascii="Palatino Linotype" w:hAnsi="Palatino Linotype"/>
          <w:sz w:val="24"/>
          <w:szCs w:val="24"/>
        </w:rPr>
        <w:t xml:space="preserve">. The latter is commonly used when immobilising DNA probes between thiol-modified DNA probes and gold surfaces, resulting in the formation of a self-assembled monolayer (SAM)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{"citationItems":[{"id":"ITEM-1","itemData":{"DOI":"10.1002/elan.201200556","ISSN":"10400397","abstract":"The aim of this work is the preparation of DNA-sensing architectures based on gold nanoparticles (AuNPs) in conjunction with an enzyme-amplified detection to improve the analytical properties of genosensor. In order to assess the utility of study as DNA-sensing devices, a thiolated DNA capture probe sequence was immobilized on the gold nanoparticle modified surface. After labeling of the biotinylated hybrid with a streptavidin-alkaline phosphatase conjugate, the electrochemical detection of the enzymatic product was performed on the surface of a disposable electrode. Two different enzymatic substrates to detect the hybridization event were studied. In the first case, the enzyme catalyzed the hydrolysis of α-naphthyl phosphate; the product is electroactive and has been detected by means of differential pulse voltammetry (DPV). In the second one, the enzyme catalyzed the precipitation of an insoluble and insulating product on the sensing interface. In this case, the electrochemical transduction of the hybridization process was performed by electrochemical impedance spectroscopy (EIS). © 2013 WILEY-VCH Verlag GmbH &amp; Co. KGaA, Weinheim.","author":[{"dropping-particle":"","family":"Ilkhani","given":"Hoda","non-dropping-particle":"","parse-names":false,"suffix":""},{"dropping-particle":"","family":"Arvand","given":"Majid","non-dropping-particle":"","parse-names":false,"suffix":""},{"dropping-particle":"","family":"Ganjali","given":"Mohammad Reza","non-dropping-particle":"","parse-names":false,"suffix":""},{"dropping-particle":"","family":"Marrazza","given":"Giovanna","non-dropping-particle":"","parse-names":false,"suffix":""},{"dropping-particle":"","family":"Mascini","given":"Marco","non-dropping-particle":"","parse-names":false,"suffix":""}],"container-title":"Electroanalysis","id":"ITEM-1","issue":"2","issued":{"date-parts":[["2013"]]},"page":"507-514","title":"Nanostructured Screen Printed Graphite Electrode for the Development of a Novel Electrochemical Genosensor","type":"article-journal","volume":"25"},"uris":["http://www.mendeley.com/documents/?uuid=0431d927-a720-45da-98d1-8faefae85ba7"]}],"mendeley":{"formattedCitation":"[166]","plainTextFormattedCitation":"[166]","previouslyFormattedCitation":"[166]"},"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[166]</w:t>
      </w:r>
      <w:r w:rsidRPr="005B1CCB">
        <w:rPr>
          <w:rFonts w:ascii="Palatino Linotype" w:hAnsi="Palatino Linotype"/>
          <w:sz w:val="24"/>
          <w:szCs w:val="24"/>
        </w:rPr>
        <w:fldChar w:fldCharType="end"/>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{"citationItems":[{"id":"ITEM-1","itemData":{"DOI":"10.1007/s00604-014-1182-0","ISSN":"14365073","abstract":"We describe a supersandwich type of electrochemical DNA biosensor based on the use of a glassy carbon electrode (GCE) modified with reduced graphene oxide (rGO) sheets that are decorated with gold nanoparticles (Au NPs). Thiolated capture DNA (probe DNA) was covalently linked to the Au NPs on the surface of the modified GCE via formation of Au-S bonds. In presence of target DNA, its 3′ terminus hybridizes with capture probe and the 5′ terminus hybridizes with signal probe labeled with Methylene Blue (MB). On increasing the concentration of target DNA, hybridization between signal probe and target DNA results in the formation of three different DNA sequences that form a supersandwich structure. The signal intensity of MB improves distinctly with increasing concentrations of target DNA in the sample solution. The assembling process on the surface of the electrode was studied by scanning electron microscopy (SEM) and electrochemical impedance spectroscopy (EIS). Differential pulse voltammetry (DPV) was used to monitor the hybridization event by measuring the changes in the peak current for MB. Under optimal conditions, the peak currents in DPV for MB linearly increase with the logarithm of target DNA concentration in the range from 0.1 μM to1.0 fM, with a detection limit of 0.35 fM (at an signal/noise ratio of 3). This biosensor exhibits good selectivity, even over single-base mismatched target DNA. [Figure not available: see fulltext.] © 2014 Springer-Verlag Wien.","author":[{"dropping-particle":"","family":"Wang","given":"Jiao","non-dropping-particle":"","parse-names":false,"suffix":""},{"dropping-particle":"","family":"Shi","given":"Anqi","non-dropping-particle":"","parse-names":false,"suffix":""},{"dropping-particle":"","family":"Fang","given":"Xian","non-dropping-particle":"","parse-names":false,"suffix":""},{"dropping-particle":"","family":"Han","given":"Xiaowei","non-dropping-particle":"","parse-names":false,"suffix":""},{"dropping-particle":"","family":"Zhang","given":"Yuzhong","non-dropping-particle":"","parse-names":false,"suffix":""}],"container-title":"Microchimica Acta","id":"ITEM-1","issue":"9-10","issued":{"date-parts":[["2014"]]},"page":"935-940","title":"Ultrasensitive electrochemical supersandwich DNA biosensor using a glassy carbon electrode modified with gold particle-decorated sheets of graphene oxide","type":"article-journal","volume":"181"},"uris":["http://www.mendeley.com/documents/?uuid=86fbf6f2-c0f5-43c2-9e68-4fe316c3923e"]}],"mendeley":{"formattedCitation":"[167]","plainTextFormattedCitation":"[167]","previouslyFormattedCitation":"[167]"},"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[167]</w:t>
      </w:r>
      <w:r w:rsidRPr="005B1CCB">
        <w:rPr>
          <w:rFonts w:ascii="Palatino Linotype" w:hAnsi="Palatino Linotype"/>
          <w:sz w:val="24"/>
          <w:szCs w:val="24"/>
        </w:rPr>
        <w:fldChar w:fldCharType="end"/>
      </w:r>
      <w:r w:rsidRPr="005B1CCB">
        <w:rPr>
          <w:rFonts w:ascii="Palatino Linotype" w:hAnsi="Palatino Linotype"/>
          <w:sz w:val="24"/>
          <w:szCs w:val="24"/>
        </w:rPr>
        <w:t xml:space="preserve">. The </w:t>
      </w:r>
      <w:r w:rsidRPr="00674196">
        <w:rPr>
          <w:rFonts w:ascii="Palatino Linotype" w:hAnsi="Palatino Linotype"/>
          <w:sz w:val="24"/>
          <w:szCs w:val="24"/>
        </w:rPr>
        <w:t>chemisorption occurs due to a strong affinity between the gold surface and thiol group, forming a covalent bond of gold-sulphur. It is important to note that this affinity has been observed between DNA probes and gold nanoparticles surfaces and has shown to increase the surface area of the electrode to enhance the amount of DNA probe immobilised</w:t>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{"citationItems":[{"id":"ITEM-1","itemData":{"DOI":"https://doi.org/10.1016/j.jelechem.2015.09.032","ISSN":"1572-6657","abstract":"In this article we investigated the hybridization performance of thiol-modified probe DNA/mercaptohexanol (MCH) mixed self-assembled monolayers (SAMs) on nanoAu and rough Au surfaces with target DNA in 1M electrolytical solution. The nanoAu surfaces were prepared by electrodeposition in 2mM HAuCl4 and 0.1M Na2SO4 aqueous solution based on different deposition time (0.33min, 2min, 5min, 10min and 20min), deposition potential (−0.4V, −0.8V, −1.2V) and deposition methods (direct electrodeposition or firstly self-assembly of 1-dodecanethiol, then electrodeposition). Scanning electron microscopy (SEM) observed that size and density of gold nanoparticles formed were related to electrodeposition conditions. The rough Au surfaces were prepared by roughly hand-polishing and the gold roughness factors (Rf) were from 1 to 3. Chronocoulometry (CC) experiments showed that DNA hybridization density (HD) arrived at the biggest for 16.3×10−12molcm−2 when electrodeposition was performed at −1.2V for 10min and the concentration ratio of probe DNA and MCH (CDNA/CMCH) for mixed assembly was 1:1. DNA hybridization performance of probe DNA/MCH mixed SAMs on some nanoAu surfaces was much better than that on rough Au or planar Au surfaces and the biggest HD for DNA optimal hybridization increased by 85% and 51% respectively. For rough Au, DNA hybridization performance was almost independent of Rf. Based on our previous reported simple DNA hybridization model, the size fitting coefficient (dc/dt) for DNA optimal hybridization on nanoAu was calculated to be 0.71, smaller than that on rough Au (0.99) or planar Au (0.93). It meant that surface coverage of probe DNA in probe DNA/MCH mixed SAMs should be much bigger on nanoAu than that on rough Au or planar Au surface for DNA optimal hybridization. These results indicated that Au surface configuration played the important role on DNA hybridization. The intermolecular repulsion and steric hindrance for DNA hybridization might be reduced on nanoAu than those on rough Au or planar Au, which possibly led to the improvement of DNA hybridization performance. The conclusions provided the important reference for constructing electrochemical DNA sensor with the optimal performance.","author":[{"dropping-particle":"","family":"Zhang","given":"Lingling","non-dropping-particle":"","parse-names":false,"suffix":""},{"dropping-particle":"","family":"Li","given":"Zhiguo","non-dropping-particle":"","parse-names":false,"suffix":""},{"dropping-particle":"","family":"Zhou","given":"Xiaoping","non-dropping-particle":"","parse-names":false,"suffix":""},{"dropping-particle":"","family":"Yang","given":"Guizhen","non-dropping-particle":"","parse-names":false,"suffix":""},{"dropping-particle":"","family":"Yang","given":"Jianmao","non-dropping-particle":"","parse-names":false,"suffix":""},{"dropping-particle":"","family":"Wang","given":"Hongwu","non-dropping-particle":"","parse-names":false,"suffix":""},{"dropping-particle":"","family":"Wang","given":"Meizhen","non-dropping-particle":"","parse-names":false,"suffix":""},{"dropping-particle":"","family":"Liang","given":"Chanyin","non-dropping-particle":"","parse-names":false,"suffix":""},{"dropping-particle":"","family":"Wen","given":"Yanmin","non-dropping-particle":"","parse-names":false,"suffix":""},{"dropping-particle":"","family":"Lu","given":"Yuejie","non-dropping-particle":"","parse-names":false,"suffix":""}],"container-title":"Journal of Electroanalytical Chemistry","id":"ITEM-1","issued":{"date-parts":[["2015"]]},"page":"203-209","title":"Hybridization performance of DNA/mercaptohexanol mixed monolayers on electrodeposited nanoAu and rough Au surfaces","type":"article-journal","volume":"757"},"uris":["http://www.mendeley.com/documents/?uuid=d2cc4884-7aee-46d1-b78b-c4ff935dabb8"]}],"mendeley":{"formattedCitation":"[168]","plainTextFormattedCitation":"[168]","previouslyFormattedCitation":"[168]"},"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[168]</w:t>
      </w:r>
      <w:r w:rsidRPr="005B1CCB">
        <w:rPr>
          <w:rFonts w:ascii="Palatino Linotype" w:hAnsi="Palatino Linotype"/>
          <w:sz w:val="24"/>
          <w:szCs w:val="24"/>
        </w:rPr>
        <w:fldChar w:fldCharType="end"/>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{"citationItems":[{"id":"ITEM-1","itemData":{"DOI":"10.1016/j.ab.2013.08.028","ISSN":"10960309","PMID":"24012619","abstract":"We have developed a simple and renewable electrochemical biosensor based on carbon paste electrode (CPE) for the detection of DNA synthesis and hybridization. CPE was modified with gold nanoparticles (AuNPs), which are helpful for immobilization of thiolated bioreceptors. AuNPs were characterized by scanning electron microscopy (SEM). Self-assembled monolayers (SAMs) of thiolated single-stranded DNA (SH-ssDNA) of the amelogenin gene was formed on CPE. The immobilization of the probe and its hybridization with the target DNA was optimized using different experimental conditions. The modified electrode was characterized by electrochemical impedance spectroscopy (EIS) and cyclic voltammetry (CV). The electrochemical response of ssDNA hybridization and DNA synthesis was measured using differential pulse voltammetry (DPV) with methylene blue (MB) as an electroactive indicator. The new biosensor can distinguish between complementary and non-complementary strands of amelogenin ssDNA. Genomic DNA was extracted from blood and was detected based on changes in the MB reduction signal. These results demonstrated that the new biosensor could be used for sex determination. The proposed biosensor in this study could be used for detection and discrimination of polymerase chain reaction (PCR) products of amelogenin DNA. © 2013 Elsevier Inc. All rights reserved.","author":[{"dropping-particle":"","family":"Mazloum-Ardakani","given":"Mohammad","non-dropping-particle":"","parse-names":false,"suffix":""},{"dropping-particle":"","family":"Rajabzadeh","given":"Nooshin","non-dropping-particle":"","parse-names":false,"suffix":""},{"dropping-particle":"","family":"Benvidi","given":"Ali","non-dropping-particle":"","parse-names":false,"suffix":""},{"dropping-particle":"","family":"Heidari","given":"Mohammad Mehdi","non-dropping-particle":"","parse-names":false,"suffix":""}],"container-title":"Analytical Biochemistry","id":"ITEM-1","issue":"2","issued":{"date-parts":[["2013"]]},"page":"132-138","publisher":"Elsevier Inc.","title":"Sex determination based on amelogenin DNA by modified electrode with gold nanoparticle","type":"article-journal","volume":"443"},"uris":["http://www.mendeley.com/documents/?uuid=18f3b5ef-1e5f-405d-a803-0fe1c139f1f0"]}],"mendeley":{"formattedCitation":"[169]","plainTextFormattedCitation":"[169]","previouslyFormattedCitation":"[169]"},"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[169]</w:t>
      </w:r>
      <w:r w:rsidRPr="005B1CCB">
        <w:rPr>
          <w:rFonts w:ascii="Palatino Linotype" w:hAnsi="Palatino Linotype"/>
          <w:sz w:val="24"/>
          <w:szCs w:val="24"/>
        </w:rPr>
        <w:fldChar w:fldCharType="end"/>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{"citationItems":[{"id":"ITEM-1","itemData":{"DOI":"10.5185/amlett.2010.7144","ISSN":"09763961","abstract":"A disposable electrochemical biosensor for detection of DNA sequence related to Microcystis was described. After depositing gold nanoparticles (AuNPs) onto a screen-printed carbon electrode (SPCE) surface by electrodeposition, the DNA probe which is complementary to a specific gene sequence related to Microcystis was immobilized onto the AuNPs modified SPCE via a thiol linker at the 5' end. On the electrode surface the immobilized single-stranded DNA could undergo hybridization in the solution containing DNA specific-sequence of Microcystis. Using methylene blue as the indicator, DNA immobilization and hybridization were characterized by cyclic voltammetry and differential pulse voltammetry. Parameters, such as the deposition conditions of gold nanopariticle and the preconcentration time of MB, were optimized. In addition, the control experiments with non-complementary and single base mismatch sequences were investigated and results demonstrated the high selectivity of the biosensor. © 2010 VBRI press.","author":[{"dropping-particle":"","family":"Lan","given":"Minbo","non-dropping-particle":"","parse-names":false,"suffix":""},{"dropping-particle":"","family":"Chen","given":"Chen","non-dropping-particle":"","parse-names":false,"suffix":""},{"dropping-particle":"","family":"Zhou","given":"Qin","non-dropping-particle":"","parse-names":false,"suffix":""},{"dropping-particle":"","family":"Teng","given":"Yuanjie","non-dropping-particle":"","parse-names":false,"suffix":""},{"dropping-particle":"","family":"Zhao","given":"Hongli","non-dropping-particle":"","parse-names":false,"suffix":""},{"dropping-particle":"","family":"Niu","given":"Xiangheng","non-dropping-particle":"","parse-names":false,"suffix":""}],"container-title":"Advanced Materials Letters","id":"ITEM-1","issue":"3","issued":{"date-parts":[["2010"]]},"page":"217-224","title":"Voltammetric detection of microcystis genus specific-sequence with disposable screen-printed electrode modified with gold nanoparticles","type":"article-journal","volume":"1"},"uris":["http://www.mendeley.com/documents/?uuid=3117c551-1d5c-440c-a691-b5932e18f814"]}],"mendeley":{"formattedCitation":"[170]","plainTextFormattedCitation":"[170]","previouslyFormattedCitation":"[170]"},"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[170]</w:t>
      </w:r>
      <w:r w:rsidRPr="005B1CCB">
        <w:rPr>
          <w:rFonts w:ascii="Palatino Linotype" w:hAnsi="Palatino Linotype"/>
          <w:sz w:val="24"/>
          <w:szCs w:val="24"/>
        </w:rPr>
        <w:fldChar w:fldCharType="end"/>
      </w:r>
      <w:r w:rsidRPr="005B1CCB">
        <w:rPr>
          <w:rFonts w:ascii="Palatino Linotype" w:hAnsi="Palatino Linotype"/>
          <w:sz w:val="24"/>
          <w:szCs w:val="24"/>
        </w:rPr>
        <w:t>. In this strategy, any working electrode type can be used to deploy a DNA sensing layer on its surface.</w:t>
      </w:r>
    </w:p>
    <w:p w14:paraId="56A4E834" w14:textId="77777777" w:rsidR="00596408" w:rsidRPr="005B1CCB" w:rsidRDefault="00596408" w:rsidP="006F6B02">
      <w:pPr>
        <w:spacing w:line="360" w:lineRule="auto"/>
        <w:jc w:val="both"/>
        <w:rPr>
          <w:rFonts w:ascii="Palatino Linotype" w:hAnsi="Palatino Linotype"/>
          <w:sz w:val="24"/>
          <w:szCs w:val="24"/>
        </w:rPr>
      </w:pPr>
    </w:p>
    <w:p w14:paraId="0F6CF221" w14:textId="77777777" w:rsidR="006F6B02" w:rsidRPr="005B1CCB" w:rsidRDefault="006F6B02" w:rsidP="006F6B02">
      <w:pPr>
        <w:pStyle w:val="Heading4"/>
      </w:pPr>
      <w:r w:rsidRPr="005B1CCB">
        <w:t>SAM modified electrodes</w:t>
      </w:r>
    </w:p>
    <w:p w14:paraId="61918A4B" w14:textId="4ECCC4E4" w:rsidR="006F6B02" w:rsidRPr="005B1CCB" w:rsidRDefault="006F6B02" w:rsidP="006F6B02">
      <w:pPr>
        <w:spacing w:line="360" w:lineRule="auto"/>
        <w:jc w:val="both"/>
        <w:rPr>
          <w:rFonts w:ascii="Palatino Linotype" w:hAnsi="Palatino Linotype"/>
          <w:sz w:val="24"/>
          <w:szCs w:val="24"/>
        </w:rPr>
      </w:pPr>
      <w:r w:rsidRPr="005B1CCB">
        <w:rPr>
          <w:rFonts w:ascii="Palatino Linotype" w:hAnsi="Palatino Linotype"/>
          <w:sz w:val="24"/>
          <w:szCs w:val="24"/>
        </w:rPr>
        <w:t xml:space="preserve">    To achieve control over surface modification, self-assembled monolayers (SAMs) are formed on the surfaces of electrodes under the right conditions. SAM formation can end with high affinity for the surface, an alkyl chain aromatic ring that helps to pack the monolayer on the surface, and a distal moiety that defines the chemical functionality of the surface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{"citationItems":[{"id":"ITEM-1","itemData":{"DOI":"10.1039/c0cs00139b","ISSN":"14604744","abstract":"The modification of surfaces with self-assembled monolayers (SAMs) containing multiple different molecules, or containing molecules with multiple different functional components, or both, has become increasingly popular over the last two decades. This explosion of interest is primarily related to the ability to control the modification of interfaces with something approaching molecular level control and to the ability to characterise the molecular constructs by which the surface is modified. Over this time the level of sophistication of molecular constructs, and the level of knowledge related to how to fabricate molecular constructs on surfaces have advanced enormously. This critical review aims to guide researchers interested in modifying surfaces with a high degree of control to the use of organic layers. Highlighted are some of the issues to consider when working with SAMs, as well as some of the lessons learnt (169 references). © 2011 The Royal Society of Chemistry.","author":[{"dropping-particle":"","family":"Gooding","given":"J. Justin","non-dropping-particle":"","parse-names":false,"suffix":""},{"dropping-particle":"","family":"Ciampi","given":"Simone","non-dropping-particle":"","parse-names":false,"suffix":""}],"container-title":"Chemical Society Reviews","id":"ITEM-1","issue":"5","issued":{"date-parts":[["2011"]]},"page":"2704-2718","title":"The molecular level modification of surfaces: From self-assembled monolayers to complex molecular assemblies","type":"article-journal","volume":"40"},"uris":["http://www.mendeley.com/documents/?uuid=b42472b7-df58-44ba-86c9-b78a2a417583"]}],"mendeley":{"formattedCitation":"[171]","plainTextFormattedCitation":"[171]","previouslyFormattedCitation":"[171]"},"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[171]</w:t>
      </w:r>
      <w:r w:rsidRPr="005B1CCB">
        <w:rPr>
          <w:rFonts w:ascii="Palatino Linotype" w:hAnsi="Palatino Linotype"/>
          <w:sz w:val="24"/>
          <w:szCs w:val="24"/>
        </w:rPr>
        <w:fldChar w:fldCharType="end"/>
      </w:r>
      <w:r w:rsidRPr="005B1CCB">
        <w:rPr>
          <w:rFonts w:ascii="Palatino Linotype" w:hAnsi="Palatino Linotype"/>
          <w:sz w:val="24"/>
          <w:szCs w:val="24"/>
        </w:rPr>
        <w:t xml:space="preserve">. For DNA sensor effectiveness, a properly oriented probe monolayer is essential. Ideally, they should provide faster and uniform electron transfer to the electrode surface. Sensor preparation steps can influence effective monolayer assembly. Examples of monolayers that have been used include short-chain thiol molecules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microc.2017.03.011","author":[{"dropping-particle":"","family":"Ribovski","given":"Laís","non-dropping-particle":"","parse-names":false,"suffix":""},{"dropping-particle":"","family":"Zucolotto","given":"Valtencir","non-dropping-particle":"","parse-names":false,"suffix":""},{"dropping-particle":"","family":"Janegitz","given":"Bruno C","non-dropping-particle":"","parse-names":false,"suffix":""}],"id":"ITEM-1","issued":{"date-parts":[["2017"]]},"page":"37-42","title":"A label-free electrochemical DNA sensor to identify breast cancer susceptibility","type":"article-journal","volume":"133"},"uris":["http://www.mendeley.com/documents/?uuid=0fc814d4-49e9-4364-84db-b3183817997a"]}],"mendeley":{"formattedCitation":"[172]","plainTextFormattedCitation":"[172]","previouslyFormattedCitation":"[172]"},"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[172]</w:t>
      </w:r>
      <w:r w:rsidRPr="005B1CCB">
        <w:rPr>
          <w:rFonts w:ascii="Palatino Linotype" w:hAnsi="Palatino Linotype"/>
          <w:sz w:val="24"/>
          <w:szCs w:val="24"/>
        </w:rPr>
        <w:fldChar w:fldCharType="end"/>
      </w:r>
      <w:r w:rsidR="00596408" w:rsidRPr="005B1CCB">
        <w:rPr>
          <w:rFonts w:ascii="Palatino Linotype" w:hAnsi="Palatino Linotype"/>
          <w:sz w:val="24"/>
          <w:szCs w:val="24"/>
        </w:rPr>
        <w:t xml:space="preserve">. </w:t>
      </w:r>
    </w:p>
    <w:p w14:paraId="277342D4" w14:textId="77777777" w:rsidR="00596408" w:rsidRPr="005B1CCB" w:rsidRDefault="00596408" w:rsidP="006F6B02">
      <w:pPr>
        <w:spacing w:line="360" w:lineRule="auto"/>
        <w:jc w:val="both"/>
        <w:rPr>
          <w:rFonts w:ascii="Palatino Linotype" w:hAnsi="Palatino Linotype"/>
          <w:sz w:val="24"/>
          <w:szCs w:val="24"/>
        </w:rPr>
      </w:pPr>
    </w:p>
    <w:p w14:paraId="0BD781DB" w14:textId="77777777" w:rsidR="006F6B02" w:rsidRPr="005B1CCB" w:rsidRDefault="006F6B02" w:rsidP="006F6B02">
      <w:pPr>
        <w:pStyle w:val="Heading3"/>
      </w:pPr>
      <w:bookmarkStart w:id="50" w:name="_Toc84528057"/>
      <w:r w:rsidRPr="005B1CCB">
        <w:t>Modification - Carbon nanotube (CNT) modified carbon electrodes</w:t>
      </w:r>
      <w:bookmarkEnd w:id="50"/>
    </w:p>
    <w:p w14:paraId="659D62EE" w14:textId="4C70AB43" w:rsidR="006F6B02" w:rsidRPr="005B1CCB" w:rsidRDefault="006F6B02" w:rsidP="006F6B02">
      <w:pPr>
        <w:spacing w:line="360" w:lineRule="auto"/>
        <w:jc w:val="both"/>
        <w:rPr>
          <w:rFonts w:ascii="Palatino Linotype" w:hAnsi="Palatino Linotype"/>
          <w:sz w:val="24"/>
          <w:szCs w:val="24"/>
        </w:rPr>
      </w:pPr>
      <w:r w:rsidRPr="005B1CCB">
        <w:rPr>
          <w:rFonts w:ascii="Palatino Linotype" w:hAnsi="Palatino Linotype"/>
          <w:sz w:val="24"/>
          <w:szCs w:val="24"/>
        </w:rPr>
        <w:t xml:space="preserve">  Due to the special </w:t>
      </w:r>
      <w:r w:rsidRPr="0073475C">
        <w:rPr>
          <w:rFonts w:ascii="Palatino Linotype" w:hAnsi="Palatino Linotype"/>
          <w:sz w:val="24"/>
          <w:szCs w:val="24"/>
        </w:rPr>
        <w:t>one-dimensional structures of carbon nanotubes (CNT), combined with their excellent physical and chemical properties, they are widely used for improving the mechanical and electrical properties of electrode materials</w:t>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{"citationItems":[{"id":"ITEM-1","itemData":{"DOI":"10.1149/2162-8777/ab8929","ISSN":"2162-8777","abstract":"Carbon Nanotubes (CNT) are important fillers and reinforcing agents, frequently used in polymeric composites. CNT agglomerate and entangle with each other due to the presence of strong van der Waal forces between them. This agglomeration not only results in decreased product quality but also in lower conductance of composite than expected. Deagglomeration of CNT bundles is necessary for a better dispersion either through chemical functionalization (covalent or non-covalent) or by mechanical methods (stirring, calendering and ultrasonication). This review contains different methods for chemical surface modification of CNT, which not only decrease CNT-matrix interface resistance by providing a soft interface between filler and matrix but also increases CNT dispersion in different types of matrices.","author":[{"dropping-particle":"","family":"Atif","given":"Muhammad","non-dropping-particle":"","parse-names":false,"suffix":""},{"dropping-particle":"","family":"Afzaal","given":"Imran","non-dropping-particle":"","parse-names":false,"suffix":""},{"dropping-particle":"","family":"Naseer","given":"Hira","non-dropping-particle":"","parse-names":false,"suffix":""},{"dropping-particle":"","family":"Abrar","given":"Maria","non-dropping-particle":"","parse-names":false,"suffix":""},{"dropping-particle":"","family":"Bongiovanni","given":"Roberta","non-dropping-particle":"","parse-names":false,"suffix":""}],"container-title":"ECS Journal of Solid State Science and Technology","id":"ITEM-1","issue":"4","issued":{"date-parts":[["2020"]]},"page":"41009","publisher":"The Electrochemical Society","title":"Review—Surface Modification of Carbon Nanotubes: A Tool to Control Electrochemical Performance","type":"article-journal","volume":"9"},"uris":["http://www.mendeley.com/documents/?uuid=bd57c3a8-1fca-4650-93e6-b846b716c708"]}],"mendeley":{"formattedCitation":"[173]","plainTextFormattedCitation":"[173]","previouslyFormattedCitation":"[173]"},"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[173]</w:t>
      </w:r>
      <w:r w:rsidRPr="005B1CCB">
        <w:rPr>
          <w:rFonts w:ascii="Palatino Linotype" w:hAnsi="Palatino Linotype"/>
          <w:sz w:val="24"/>
          <w:szCs w:val="24"/>
        </w:rPr>
        <w:fldChar w:fldCharType="end"/>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{"citationItems":[{"id":"ITEM-1","itemData":{"DOI":"10.1039/C7RA07544H","abstract":"Antibiotic residues in milk are of great concern for health regulatory agencies, milk consumers, and dairy farmers due to their destructive effects, ranging from allergic reactions, antibiotic resistance and the ability to interfere with the production of fermented products (i.e. cheese and yogurt). Therefore, a reliable, fast, and simple method needs to be developed to monitor antibiotic residues in milk samples before distribution to consumers. In this study, the first sensitive electrochemical sensor is presented for the determination of thiamphenicol (TAP), a broad-spectrum antibiotic in bovine milk. In the fabrication process, a screen printed electrode (SPE) was modified with gold nanoparticles (AuNPs) and carbon nanotubes (CNTs) using ethylenediamine (en) as a cross linker. Cyclic voltammetry studies showed an adsorptive control process for the electro-oxidation of TAP at −0.1 V on the modified electrode of SPE/CNT/en/AuNPs. Differential pulse voltammetry (DPV) was applied for the quantitative determination of TAP under optimized conditions (0.1 M citrate buffer, pH 6.0, accumulation potential −0.7 V, and accumulation time 150 s). A DPV study for TAP shows a wide linear calibration range of 0.1–30 μM with the detection limit of 0.003 μM. Furthermore, the developed sensor displays high sensitivity, reproducibility, repeatability, and good stability for the detection of TAP. The proposed sensor was successfully applied for the determination of spiked TAP in bovine milk with satisfactory results.","author":[{"dropping-particle":"","family":"Muhammad","given":"Aliyu","non-dropping-particle":"","parse-names":false,"suffix":""},{"dropping-particle":"","family":"Hajian","given":"Reza","non-dropping-particle":"","parse-names":false,"suffix":""},{"dropping-particle":"","family":"Yusof","given":"Nor Azah","non-dropping-particle":"","parse-names":false,"suffix":""},{"dropping-particle":"","family":"Shams","given":"Nafiseh","non-dropping-particle":"","parse-names":false,"suffix":""},{"dropping-particle":"","family":"Abdullah","given":"Jaafar","non-dropping-particle":"","parse-names":false,"suffix":""},{"dropping-particle":"","family":"Woi","given":"Pei Meng","non-dropping-particle":"","parse-names":false,"suffix":""},{"dropping-particle":"","family":"Garmestani","given":"Hamid","non-dropping-particle":"","parse-names":false,"suffix":""}],"container-title":"RSC Advances","id":"ITEM-1","issue":"5","issued":{"date-parts":[["2018"]]},"page":"2714-2722","publisher":"The Royal Society of Chemistry","title":"A screen printed carbon electrode modified with carbon nanotubes and gold nanoparticles as a sensitive electrochemical sensor for determination of thiamphenicol residue in milk","type":"article-journal","volume":"8"},"uris":["http://www.mendeley.com/documents/?uuid=103e8253-4d3d-47c7-ad84-4a1273125d92"]}],"mendeley":{"formattedCitation":"[174]","plainTextFormattedCitation":"[174]","previouslyFormattedCitation":"[174]"},"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[174]</w:t>
      </w:r>
      <w:r w:rsidRPr="005B1CCB">
        <w:rPr>
          <w:rFonts w:ascii="Palatino Linotype" w:hAnsi="Palatino Linotype"/>
          <w:sz w:val="24"/>
          <w:szCs w:val="24"/>
        </w:rPr>
        <w:fldChar w:fldCharType="end"/>
      </w:r>
      <w:r w:rsidRPr="005B1CCB">
        <w:rPr>
          <w:rFonts w:ascii="Palatino Linotype" w:hAnsi="Palatino Linotype"/>
          <w:sz w:val="24"/>
          <w:szCs w:val="24"/>
        </w:rPr>
        <w:t>.</w:t>
      </w:r>
    </w:p>
    <w:p w14:paraId="61E94363" w14:textId="2158AB99" w:rsidR="006F6B02" w:rsidRPr="005B1CCB" w:rsidRDefault="006F6B02" w:rsidP="006F6B02">
      <w:pPr>
        <w:spacing w:line="360" w:lineRule="auto"/>
        <w:jc w:val="both"/>
        <w:rPr>
          <w:rFonts w:ascii="Palatino Linotype" w:hAnsi="Palatino Linotype"/>
          <w:sz w:val="24"/>
          <w:szCs w:val="24"/>
        </w:rPr>
      </w:pPr>
      <w:r w:rsidRPr="005B1CCB">
        <w:rPr>
          <w:rFonts w:ascii="Palatino Linotype" w:hAnsi="Palatino Linotype"/>
          <w:sz w:val="24"/>
          <w:szCs w:val="24"/>
        </w:rPr>
        <w:t xml:space="preserve">  CNT modification on metal electrodes provides the advantage of a larger surface area, a stronger binding capability, good selectivity, short response time,  and high mechanical strength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{"citationItems":[{"id":"ITEM-1","itemData":{"DOI":"https://doi.org/10.1016/j.carbon.2016.10.027","ISSN":"0008-6223","abstract":"Carbon nanotubes (CNTs) were chemically modified to achieve strong binding strength with the attached functional components as well as good dispersability and nanoparticle size-uniformity. An efficient multi-oxidation process was developed to create porous out layer with many nanoscale defects on the surface of CNTs for metallic nanoparticle close attachment and bond sufficient oxygen-containing groups, which assisted the dispersion of CNTs in the aqueous solution. The surface modified CNTs have advantages of strong binding capability, large surface area, high mechanical strength and good dispersability, which show great potential as building blocks for hybrid nanomaterials. Monodispersed silver nanoparticles with an average size of 3 nm were formed from inside the created nanoscale defects on the surface of CNTs without any obvious agglomerations. The fabricated hybrid exhibited much enhanced anti-bacterial performance compared to commercial silver nanoparticles due to the combined anti-bacterial effects of CNTs and silver nanoparticles. With these superior properties, the developed surface modification process could be widely used for improving the performances of many CNT based hybrid nanomaterials in diverse applications.","author":[{"dropping-particle":"","family":"Wang","given":"Nan","non-dropping-particle":"","parse-names":false,"suffix":""},{"dropping-particle":"","family":"Pandit","given":"Santosh","non-dropping-particle":"","parse-names":false,"suffix":""},{"dropping-particle":"","family":"Ye","given":"Lilei","non-dropping-particle":"","parse-names":false,"suffix":""},{"dropping-particle":"","family":"Edwards","given":"Michael","non-dropping-particle":"","parse-names":false,"suffix":""},{"dropping-particle":"","family":"Mokkapati","given":"V.R.S.S.","non-dropping-particle":"","parse-names":false,"suffix":""},{"dropping-particle":"","family":"Murugesan","given":"Murali","non-dropping-particle":"","parse-names":false,"suffix":""},{"dropping-particle":"","family":"Kuzmenko","given":"Volodymyr","non-dropping-particle":"","parse-names":false,"suffix":""},{"dropping-particle":"","family":"Zhao","given":"Changhong","non-dropping-particle":"","parse-names":false,"suffix":""},{"dropping-particle":"","family":"Westerlund","given":"Fredrik","non-dropping-particle":"","parse-names":false,"suffix":""},{"dropping-particle":"","family":"Mijakovic","given":"Ivan","non-dropping-particle":"","parse-names":false,"suffix":""},{"dropping-particle":"","family":"Liu","given":"Johan","non-dropping-particle":"","parse-names":false,"suffix":""}],"container-title":"Carbon","id":"ITEM-1","issued":{"date-parts":[["2017"]]},"page":"402-410","title":"Efficient surface modification of carbon nanotubes for fabricating high performance CNT based hybrid nanostructures","type":"article-journal","volume":"111"},"uris":["http://www.mendeley.com/documents/?uuid=e5f917e0-9023-420e-8248-69e50ed59afa"]}],"mendeley":{"formattedCitation":"[175]","plainTextFormattedCitation":"[175]","previouslyFormattedCitation":"[175]"},"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[175]</w:t>
      </w:r>
      <w:r w:rsidRPr="005B1CCB">
        <w:rPr>
          <w:rFonts w:ascii="Palatino Linotype" w:hAnsi="Palatino Linotype"/>
          <w:sz w:val="24"/>
          <w:szCs w:val="24"/>
        </w:rPr>
        <w:fldChar w:fldCharType="end"/>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10.1021/acsanm.0c01800","author":[{"dropping-particle":"","family":"Huang","given":"Xuewen","non-dropping-particle":"","parse-names":false,"suffix":""},{"dropping-particle":"","family":"Xu","given":"Sheng","non-dropping-particle":"","parse-names":false,"suffix":""},{"dropping-particle":"","family":"Zhao","given":"Wei","non-dropping-particle":"","parse-names":false,"suffix":""},{"dropping-particle":"","family":"Xu","given":"Mengyi","non-dropping-particle":"","parse-names":false,"suffix":""},{"dropping-particle":"","family":"Wei","given":"Wei","non-dropping-particle":"","parse-names":false,"suffix":""},{"dropping-particle":"","family":"Luo","given":"Jing","non-dropping-particle":"","parse-names":false,"suffix":""},{"dropping-particle":"","family":"Li","given":"Xiaojie","non-dropping-particle":"","parse-names":false,"suffix":""},{"dropping-particle":"","family":"Liu","given":"Xiaoya","non-dropping-particle":"","parse-names":false,"suffix":""}],"container-title":"ACS Applied Nano Materials","id":"ITEM-1","issue":"9","issued":{"date-parts":[["2020","9","25"]]},"note":"doi: 10.1021/acsanm.0c01800","page":"9158-9166","publisher":"American Chemical Society","title":"Screen-Printed Carbon Electrodes Modified with Polymeric Nanoparticle-Carbon Nanotube Composites for Enzymatic Biosensing","type":"article-journal","volume":"3"},"uris":["http://www.mendeley.com/documents/?uuid=95451f1a-c5af-48a3-a03d-63d793b71018"]}],"mendeley":{"formattedCitation":"[176]","plainTextFormattedCitation":"[176]","previouslyFormattedCitation":"[176]"},"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[176]</w:t>
      </w:r>
      <w:r w:rsidRPr="005B1CCB">
        <w:rPr>
          <w:rFonts w:ascii="Palatino Linotype" w:hAnsi="Palatino Linotype"/>
          <w:sz w:val="24"/>
          <w:szCs w:val="24"/>
        </w:rPr>
        <w:fldChar w:fldCharType="end"/>
      </w:r>
      <w:r w:rsidRPr="005B1CCB">
        <w:rPr>
          <w:rFonts w:ascii="Palatino Linotype" w:hAnsi="Palatino Linotype"/>
          <w:sz w:val="24"/>
          <w:szCs w:val="24"/>
        </w:rPr>
        <w:t xml:space="preserve">. In electrochemical analysis, CNT modification on SPCEs have been found to improve peak current responses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{"citationItems":[{"id":"ITEM-1","itemData":{"DOI":"10.1016/j.talanta.2018.08.065","ISSN":"00399140","abstract":"Screen-printed carbon electrode (SPCE) has been widely used in electrochemical (EC) field. Nevertheless, compared with some metal electrodes, SPCE is not sensitive to small amounts of reagent owing to its relatively low electron transfer rate. In this paper, the UV/ozone modification was proposed to treat SPCE to improve its electron transfer rate and EC performance. The changes of SPCE morphology and composition induced by UV/ozone modification were investigated in detail. The results show that the improved electron transfer rate can be mainly attributed to the increase of oxygen functional groups. To clarify the essential EC characterization, potentiodynamic polarization and electrochemical impedance spectroscopy of K3[Fe(CN)6] was studied. Furthermore, to demonstrate the improved EC effect, two typical samples: small-molecule K3[Fe(CN)6] and macro-molecule nicotinamide adenine dinucleotide (NADH), were measured by cyclic voltammetry. After UV/ozone modification, the oxidation potential and peak current responses to K3[Fe(CN)6] and NADH were obviously improved in both original and CNT-modified SPCEs. Whereas, the original SPCE is more suitable to measure macromolecule NADH rather than CNT-modified one as the oxidative products of NADH are more likely to adsorb on rough surface.","author":[{"dropping-particle":"","family":"Wang","given":"Jing","non-dropping-particle":"","parse-names":false,"suffix":""},{"dropping-particle":"","family":"Xu","given":"Zheng","non-dropping-particle":"","parse-names":false,"suffix":""},{"dropping-particle":"","family":"Zhang","given":"Mengqi","non-dropping-particle":"","parse-names":false,"suffix":""},{"dropping-particle":"","family":"Liu","given":"Junshan","non-dropping-particle":"","parse-names":false,"suffix":""},{"dropping-particle":"","family":"Zou","given":"Hongqun","non-dropping-particle":"","parse-names":false,"suffix":""},{"dropping-particle":"","family":"Wang","given":"Liding","non-dropping-particle":"","parse-names":false,"suffix":""}],"container-title":"Talanta","id":"ITEM-1","issue":"2","issued":{"date-parts":[["2019"]]},"page":"40-45","publisher":"Elsevier B.V.","title":"Improvement of electrochemical performance of screen-printed carbon electrodes by UV/ozone modification","type":"article-journal","volume":"192"},"uris":["http://www.mendeley.com/documents/?uuid=9cb9f022-b368-4b2f-b568-126606bed766"]}],"mendeley":{"formattedCitation":"[177]","plainTextFormattedCitation":"[177]","previouslyFormattedCitation":"[177]"},"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[177]</w:t>
      </w:r>
      <w:r w:rsidRPr="005B1CCB">
        <w:rPr>
          <w:rFonts w:ascii="Palatino Linotype" w:hAnsi="Palatino Linotype"/>
          <w:sz w:val="24"/>
          <w:szCs w:val="24"/>
        </w:rPr>
        <w:fldChar w:fldCharType="end"/>
      </w:r>
      <w:r w:rsidRPr="005B1CCB">
        <w:rPr>
          <w:rFonts w:ascii="Palatino Linotype" w:hAnsi="Palatino Linotype"/>
          <w:sz w:val="24"/>
          <w:szCs w:val="24"/>
        </w:rPr>
        <w:t xml:space="preserve">. </w:t>
      </w:r>
    </w:p>
    <w:p w14:paraId="4CCB21A1" w14:textId="77777777" w:rsidR="00596408" w:rsidRPr="005B1CCB" w:rsidRDefault="00596408" w:rsidP="006F6B02">
      <w:pPr>
        <w:spacing w:line="360" w:lineRule="auto"/>
        <w:jc w:val="both"/>
        <w:rPr>
          <w:rFonts w:ascii="Palatino Linotype" w:hAnsi="Palatino Linotype"/>
          <w:sz w:val="24"/>
          <w:szCs w:val="24"/>
        </w:rPr>
      </w:pPr>
    </w:p>
    <w:p w14:paraId="27D5F036" w14:textId="77777777" w:rsidR="000C5F05" w:rsidRPr="005B1CCB" w:rsidRDefault="000C5F05" w:rsidP="000C5F05">
      <w:pPr>
        <w:pStyle w:val="Heading2"/>
      </w:pPr>
      <w:bookmarkStart w:id="51" w:name="_Toc84528058"/>
      <w:r w:rsidRPr="005B1CCB">
        <w:t xml:space="preserve">Electrochemical </w:t>
      </w:r>
      <w:r w:rsidR="00FC52CE" w:rsidRPr="005B1CCB">
        <w:t xml:space="preserve">measurement </w:t>
      </w:r>
      <w:r w:rsidRPr="005B1CCB">
        <w:t>techniques</w:t>
      </w:r>
      <w:bookmarkEnd w:id="51"/>
    </w:p>
    <w:p w14:paraId="556D0F79" w14:textId="1DD88601" w:rsidR="000C5F05" w:rsidRPr="005B1CCB" w:rsidRDefault="000C5F05" w:rsidP="000C5F05">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To carry out electrochemical detection and particularly for sensitive measurement of DNA hybridisation at a biosensor surface, a number of electrochemical measurement techniques exist, all with their own advantages and disadvantages. Cyclic voltammetry (CV), Square wave voltammetry (SWV), and Differential pulse voltammetry (DPV) are common analytical techniques that supply information on electron transfer reaction kinetics of any combined chemical reaction and are </w:t>
      </w:r>
      <w:r w:rsidRPr="00101B10">
        <w:rPr>
          <w:rFonts w:ascii="Palatino Linotype" w:hAnsi="Palatino Linotype" w:cs="Times New Roman"/>
          <w:sz w:val="24"/>
          <w:szCs w:val="24"/>
        </w:rPr>
        <w:t>useful for characterising the reductive and oxidative properties of compounds in solution</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s.jchemed.7b00361","ISSN":"0021-9584","author":[{"dropping-particle":"","family":"Elgrishi","given":"Noemie","non-dropping-particle":"","parse-names":false,"suffix":""},{"dropping-particle":"","family":"Hammon","given":"Kelley","non-dropping-particle":"","parse-names":false,"suffix":""},{"dropping-particle":"","family":"McCarthy","given":"Brian","non-dropping-particle":"","parse-names":false,"suffix":""},{"dropping-particle":"","family":"Eisenhart","given":"Thomas","non-dropping-particle":"","parse-names":false,"suffix":""},{"dropping-particle":"","family":"Dempsey","given":"Jillian","non-dropping-particle":"","parse-names":false,"suffix":""}],"container-title":"Journal of Chemical Education","id":"ITEM-1","issued":{"date-parts":[["2017"]]},"page":"1-10","title":"A Practical Beginner's Guide to Cyclic Voltammetry","type":"article-journal"},"uris":["http://www.mendeley.com/documents/?uuid=c88fc604-1d60-481b-acc7-828678732b67"]}],"mendeley":{"formattedCitation":"[146]","plainTextFormattedCitation":"[146]","previouslyFormattedCitation":"[146]"},"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[146]</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The peak current obtained from the analysis is directly influenced by hybridisation between the target and the immobilised probe DNA strands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{"citationItems":[{"id":"ITEM-1","itemData":{"DOI":"10.1016/j.sbsr.2017.09.001","ISBN":"2214-1804","ISSN":"22141804","abstract":"In recent years, electrochemical deoxyribonucleic acid (DNA) sensor has recently emerged as promising alternative clinical diagnostic devices especially for infectious disease by exploiting DNA recognition events and converting them into an electrochemical signal. This is because the existing DNA diagnostic method possesses certain drawbacks such as time-consuming, expensive, laborious, low selectivity and sensitivity. DNA immobilization strategies and mechanism of electrochemical detection are two the most important aspects that should be considered before developing highly selective and sensitive electrochemical DNA sensor. Here, we focus on some recent strategies for DNA probes immobilization on the surface of electrochemical transducer such as adsorption, covalent bonding and Avidin/Streptavidin-Biotin interaction on the electrode surface for specific interaction with its complementary DNA target. A numerous approach for DNA hybridization detection based electrochemical technique that frequently used including direct DNA electrochemical detection and label based electrochemical (redox-active indicator, enzyme label and nanoparticles were also discussed in aiming to provide general guide for the design of electrochemical DNA sensor. We also discussed the challenges and suggestions to improve the application of electrochemical DNA sensor at point-care setting.","author":[{"dropping-particle":"","family":"Rashid","given":"Jahwarhar Izuan Abdul","non-dropping-particle":"","parse-names":false,"suffix":""},{"dropping-particle":"","family":"Yusof","given":"Nor Azah","non-dropping-particle":"","parse-names":false,"suffix":""}],"container-title":"Sensing and Bio-Sensing Research","id":"ITEM-1","issue":"September","issued":{"date-parts":[["2017"]]},"page":"19-31","publisher":"Elsevier","title":"The strategies of DNA immobilization and hybridization detection mechanism in the construction of electrochemical DNA sensor: A review","type":"article-journal","volume":"16"},"uris":["http://www.mendeley.com/documents/?uuid=52a433c3-5380-4329-99af-7d943f8d0fcf"]}],"mendeley":{"formattedCitation":"[129]","plainTextFormattedCitation":"[129]","previouslyFormattedCitation":"[129]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DPV, SWV and CV are typically used in electrochemical DNA sensing due to a simple method and inexpensive instrumentation.   For macroscale electrodes functionalised with biological molecules such as DNA or antibodies, the expectation is that voltammetric peak currents will reduce upon target hybridisation.   Electrochemical impedance spectroscopy (EIS) is widely used to study bio-recognition events indirectly at functionalised electrode surfaces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{"citationItems":[{"id":"ITEM-1","itemData":{"DOI":"10.1039/c3an01319g","ISBN":"2009141180","ISSN":"0003-2654","PMID":"24093127","abstract":"An MRSA assay requiring neither labeling nor amplification of target DNA has been developed. Sequence specific binding of fragments of bacterial genomic DNA is detected at femtomolar concentrations using electrochemical impedance spectroscopy (EIS). This has been achieved using systematic optimisation of probe chemistry (PNA self-assembled monolayer film on gold electrode), electrode film structure (the size and nature of the chemical spacer) and DNA fragmentation, as these are found to play an important role in assay performance. These sensitivity improvements allow the elimination of the PCR step and DNA labeling and facilitate the development of a simple and rapid point of care test for MRSA. Assay performance is then evaluated and specific direct detection of the MRSA diagnostic mecA gene from genomic DNA, extracted directly from bacteria without further treatment is demonstrated for bacteria spiked into saline (10(6) cells per mL) on gold macrodisc electrodes and into human wound fluid (10(4) cells per mL) on screen printed gold electrodes. The latter detection level is particularly relevant to clinical requirements and point of care testing where the general threshold for considering a wound to be infected is 10(5) cells per mL. By eliminating the PCR step typically employed in nucleic acid assays, using screen printed electrodes and achieving sequence specific discrimination under ambient conditions, the test is extremely simple to design and engineer. In combination with a time to result of a few minutes this means the assay is well placed for use in point of care testing.","author":[{"dropping-particle":"","family":"Corrigan","given":"D. K.","non-dropping-particle":"","parse-names":false,"suffix":""},{"dropping-particle":"","family":"Schulze","given":"H.","non-dropping-particle":"","parse-names":false,"suffix":""},{"dropping-particle":"","family":"Henihan","given":"G.","non-dropping-particle":"","parse-names":false,"suffix":""},{"dropping-particle":"","family":"Hardie","given":"A.","non-dropping-particle":"","parse-names":false,"suffix":""},{"dropping-particle":"","family":"Ciani","given":"I.","non-dropping-particle":"","parse-names":false,"suffix":""},{"dropping-particle":"","family":"Giraud","given":"G.","non-dropping-particle":"","parse-names":false,"suffix":""},{"dropping-particle":"","family":"Terry","given":"J. G.","non-dropping-particle":"","parse-names":false,"suffix":""},{"dropping-particle":"","family":"Walton","given":"A. J.","non-dropping-particle":"","parse-names":false,"suffix":""},{"dropping-particle":"","family":"Pethig","given":"R.","non-dropping-particle":"","parse-names":false,"suffix":""},{"dropping-particle":"","family":"Ghazal","given":"P.","non-dropping-particle":"","parse-names":false,"suffix":""},{"dropping-particle":"","family":"Crain","given":"J.","non-dropping-particle":"","parse-names":false,"suffix":""},{"dropping-particle":"","family":"Campbell","given":"C. J.","non-dropping-particle":"","parse-names":false,"suffix":""},{"dropping-particle":"","family":"Templeton","given":"K. E.","non-dropping-particle":"","parse-names":false,"suffix":""},{"dropping-particle":"","family":"Mount","given":"A. R.","non-dropping-particle":"","parse-names":false,"suffix":""},{"dropping-particle":"","family":"Bachmann","given":"T. T.","non-dropping-particle":"","parse-names":false,"suffix":""}],"container-title":"The Analyst","id":"ITEM-1","issued":{"date-parts":[["2013"]]},"title":"Development of a PCR-free electrochemical point of care test for clinical detection of methicillin resistant Staphylococcus aureus (MRSA)","type":"article-journal"},"uris":["http://www.mendeley.com/documents/?uuid=eb35bfed-ea4a-3043-8514-fd009c466d2f"]}],"mendeley":{"formattedCitation":"[178]","plainTextFormattedCitation":"[178]","previouslyFormattedCitation":"[178]"},"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[178]</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101B10">
        <w:rPr>
          <w:rFonts w:ascii="Palatino Linotype" w:hAnsi="Palatino Linotype" w:cs="Times New Roman"/>
          <w:sz w:val="24"/>
          <w:szCs w:val="24"/>
        </w:rPr>
        <w:t>In EIS, a sinusoidal voltage is applied to the sample by the use of a potentiostat and the current response obtained is used to measure biological binding on an electrode surface</w:t>
      </w:r>
      <w:r w:rsidRPr="005B1CCB">
        <w:rPr>
          <w:rFonts w:ascii="Palatino Linotype" w:hAnsi="Palatino Linotype" w:cs="Times New Roman"/>
          <w:sz w:val="24"/>
          <w:szCs w:val="24"/>
        </w:rPr>
        <w:t xml:space="preserve"> as it permits label free monitoring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microc.2017.03.011","author":[{"dropping-particle":"","family":"Ribovski","given":"Laís","non-dropping-particle":"","parse-names":false,"suffix":""},{"dropping-particle":"","family":"Zucolotto","given":"Valtencir","non-dropping-particle":"","parse-names":false,"suffix":""},{"dropping-particle":"","family":"Janegitz","given":"Bruno C","non-dropping-particle":"","parse-names":false,"suffix":""}],"id":"ITEM-1","issued":{"date-parts":[["2017"]]},"page":"37-42","title":"A label-free electrochemical DNA sensor to identify breast cancer susceptibility","type":"article-journal","volume":"133"},"uris":["http://www.mendeley.com/documents/?uuid=0fc814d4-49e9-4364-84db-b3183817997a"]}],"mendeley":{"formattedCitation":"[172]","plainTextFormattedCitation":"[172]","previouslyFormattedCitation":"[172]"},"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[172]</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101B10">
        <w:rPr>
          <w:rFonts w:ascii="Palatino Linotype" w:hAnsi="Palatino Linotype" w:cs="Times New Roman"/>
          <w:sz w:val="24"/>
          <w:szCs w:val="24"/>
        </w:rPr>
        <w:t>The data from the impedance measured over a wide range of frequencies is fitted to an equivalent circuit to obtain key circuit parameters which can shed light on DNA hybridisation on the electrode surface</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10.5194/jsss-6-303-2017","author":[{"dropping-particle":"","family":"Grossi","given":"Marco","non-dropping-particle":"","parse-names":false,"suffix":""},{"dropping-particle":"","family":"Riccò","given":"Bruno","non-dropping-particle":"","parse-names":false,"suffix":""}],"id":"ITEM-1","issue":"August","issued":{"date-parts":[["2017"]]},"title":"Electrical impedance spectroscopy ( EIS ) for biological analysis and food characterization : A review Electrical impedance spectroscopy ( EIS ) for biological analysis and food characterization : a review","type":"article-journal"},"uris":["http://www.mendeley.com/documents/?uuid=a9e04f78-5936-4e3e-af06-f8d29458af48"]}],"mendeley":{"formattedCitation":"[179]","plainTextFormattedCitation":"[179]","previouslyFormattedCitation":"[179]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[179]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In EIS, the frequency response of the system, is measured and relayed through an equivalent circuit fit to element parameters like charge transfer resistance (R</w:t>
      </w:r>
      <w:r w:rsidRPr="005B1CCB">
        <w:rPr>
          <w:rFonts w:ascii="Palatino Linotype" w:hAnsi="Palatino Linotype" w:cs="Times New Roman"/>
          <w:sz w:val="24"/>
          <w:szCs w:val="24"/>
          <w:vertAlign w:val="subscript"/>
        </w:rPr>
        <w:t>CT</w:t>
      </w:r>
      <w:r w:rsidRPr="005B1CCB">
        <w:rPr>
          <w:rFonts w:ascii="Palatino Linotype" w:hAnsi="Palatino Linotype" w:cs="Times New Roman"/>
          <w:sz w:val="24"/>
          <w:szCs w:val="24"/>
        </w:rPr>
        <w:t>), double layer capacitance (C</w:t>
      </w:r>
      <w:r w:rsidRPr="005B1CCB">
        <w:rPr>
          <w:rFonts w:ascii="Palatino Linotype" w:hAnsi="Palatino Linotype" w:cs="Times New Roman"/>
          <w:sz w:val="24"/>
          <w:szCs w:val="24"/>
          <w:vertAlign w:val="subscript"/>
        </w:rPr>
        <w:t>DL</w:t>
      </w:r>
      <w:r w:rsidRPr="005B1CCB">
        <w:rPr>
          <w:rFonts w:ascii="Palatino Linotype" w:hAnsi="Palatino Linotype" w:cs="Times New Roman"/>
          <w:sz w:val="24"/>
          <w:szCs w:val="24"/>
        </w:rPr>
        <w:t>) and solution resistance (R</w:t>
      </w:r>
      <w:r w:rsidRPr="005B1CCB">
        <w:rPr>
          <w:rFonts w:ascii="Palatino Linotype" w:hAnsi="Palatino Linotype" w:cs="Times New Roman"/>
          <w:sz w:val="24"/>
          <w:szCs w:val="24"/>
          <w:vertAlign w:val="subscript"/>
        </w:rPr>
        <w:t>S</w:t>
      </w:r>
      <w:r w:rsidRPr="005B1CCB">
        <w:rPr>
          <w:rFonts w:ascii="Palatino Linotype" w:hAnsi="Palatino Linotype" w:cs="Times New Roman"/>
          <w:sz w:val="24"/>
          <w:szCs w:val="24"/>
        </w:rPr>
        <w:t>). Upon hybridisation of target DNA there is an increase in R</w:t>
      </w:r>
      <w:r w:rsidRPr="005B1CCB">
        <w:rPr>
          <w:rFonts w:ascii="Palatino Linotype" w:hAnsi="Palatino Linotype" w:cs="Times New Roman"/>
          <w:sz w:val="24"/>
          <w:szCs w:val="24"/>
          <w:vertAlign w:val="subscript"/>
        </w:rPr>
        <w:t>CT</w:t>
      </w:r>
      <w:r w:rsidRPr="005B1CCB">
        <w:rPr>
          <w:rFonts w:ascii="Palatino Linotype" w:hAnsi="Palatino Linotype" w:cs="Times New Roman"/>
          <w:sz w:val="24"/>
          <w:szCs w:val="24"/>
        </w:rPr>
        <w:t xml:space="preserve"> when employing a negatively charged redox couple such as ferri-ferrocyanide. </w:t>
      </w:r>
      <w:r w:rsidRPr="00101B10">
        <w:rPr>
          <w:rFonts w:ascii="Palatino Linotype" w:hAnsi="Palatino Linotype" w:cs="Times New Roman"/>
          <w:sz w:val="24"/>
          <w:szCs w:val="24"/>
        </w:rPr>
        <w:t>Two processes are thought to play a role in this increase in RCT; the increased negative charge on the surface brought about by DNA hybridisation produces a repulsive barrier at the electrode surface, decreasing the concentrations of ferri</w:t>
      </w:r>
      <w:r w:rsidR="00596408" w:rsidRPr="00101B10">
        <w:rPr>
          <w:rFonts w:ascii="Palatino Linotype" w:hAnsi="Palatino Linotype" w:cs="Times New Roman"/>
          <w:sz w:val="24"/>
          <w:szCs w:val="24"/>
        </w:rPr>
        <w:t>-</w:t>
      </w:r>
      <w:r w:rsidRPr="00101B10">
        <w:rPr>
          <w:rFonts w:ascii="Palatino Linotype" w:hAnsi="Palatino Linotype" w:cs="Times New Roman"/>
          <w:sz w:val="24"/>
          <w:szCs w:val="24"/>
        </w:rPr>
        <w:t>ferrocyanide in the layer and secondly, the hybridisation of DNA causes layer expansion, thus decreasing the accessibility of the redox agent to the electrode surface</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{"citationItems":[{"id":"ITEM-1","itemData":{"DOI":"10.1039/c3an01319g","ISBN":"2009141180","ISSN":"0003-2654","PMID":"24093127","abstract":"An MRSA assay requiring neither labeling nor amplification of target DNA has been developed. Sequence specific binding of fragments of bacterial genomic DNA is detected at femtomolar concentrations using electrochemical impedance spectroscopy (EIS). This has been achieved using systematic optimisation of probe chemistry (PNA self-assembled monolayer film on gold electrode), electrode film structure (the size and nature of the chemical spacer) and DNA fragmentation, as these are found to play an important role in assay performance. These sensitivity improvements allow the elimination of the PCR step and DNA labeling and facilitate the development of a simple and rapid point of care test for MRSA. Assay performance is then evaluated and specific direct detection of the MRSA diagnostic mecA gene from genomic DNA, extracted directly from bacteria without further treatment is demonstrated for bacteria spiked into saline (10(6) cells per mL) on gold macrodisc electrodes and into human wound fluid (10(4) cells per mL) on screen printed gold electrodes. The latter detection level is particularly relevant to clinical requirements and point of care testing where the general threshold for considering a wound to be infected is 10(5) cells per mL. By eliminating the PCR step typically employed in nucleic acid assays, using screen printed electrodes and achieving sequence specific discrimination under ambient conditions, the test is extremely simple to design and engineer. In combination with a time to result of a few minutes this means the assay is well placed for use in point of care testing.","author":[{"dropping-particle":"","family":"Corrigan","given":"D. K.","non-dropping-particle":"","parse-names":false,"suffix":""},{"dropping-particle":"","family":"Schulze","given":"H.","non-dropping-particle":"","parse-names":false,"suffix":""},{"dropping-particle":"","family":"Henihan","given":"G.","non-dropping-particle":"","parse-names":false,"suffix":""},{"dropping-particle":"","family":"Hardie","given":"A.","non-dropping-particle":"","parse-names":false,"suffix":""},{"dropping-particle":"","family":"Ciani","given":"I.","non-dropping-particle":"","parse-names":false,"suffix":""},{"dropping-particle":"","family":"Giraud","given":"G.","non-dropping-particle":"","parse-names":false,"suffix":""},{"dropping-particle":"","family":"Terry","given":"J. G.","non-dropping-particle":"","parse-names":false,"suffix":""},{"dropping-particle":"","family":"Walton","given":"A. J.","non-dropping-particle":"","parse-names":false,"suffix":""},{"dropping-particle":"","family":"Pethig","given":"R.","non-dropping-particle":"","parse-names":false,"suffix":""},{"dropping-particle":"","family":"Ghazal","given":"P.","non-dropping-particle":"","parse-names":false,"suffix":""},{"dropping-particle":"","family":"Crain","given":"J.","non-dropping-particle":"","parse-names":false,"suffix":""},{"dropping-particle":"","family":"Campbell","given":"C. J.","non-dropping-particle":"","parse-names":false,"suffix":""},{"dropping-particle":"","family":"Templeton","given":"K. E.","non-dropping-particle":"","parse-names":false,"suffix":""},{"dropping-particle":"","family":"Mount","given":"A. R.","non-dropping-particle":"","parse-names":false,"suffix":""},{"dropping-particle":"","family":"Bachmann","given":"T. T.","non-dropping-particle":"","parse-names":false,"suffix":""}],"container-title":"The Analyst","id":"ITEM-1","issued":{"date-parts":[["2013"]]},"title":"Development of a PCR-free electrochemical point of care test for clinical detection of methicillin resistant Staphylococcus aureus (MRSA)","type":"article-journal"},"uris":["http://www.mendeley.com/documents/?uuid=eb35bfed-ea4a-3043-8514-fd009c466d2f"]}],"mendeley":{"formattedCitation":"[178]","plainTextFormattedCitation":"[178]","previouslyFormattedCitation":"[178]"},"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[178]</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p>
    <w:p w14:paraId="53F77637" w14:textId="4A339BC5" w:rsidR="000C5F05" w:rsidRPr="005B1CCB" w:rsidRDefault="000C5F05" w:rsidP="000C5F05">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0E3622">
        <w:rPr>
          <w:rFonts w:ascii="Palatino Linotype" w:hAnsi="Palatino Linotype" w:cs="Times New Roman"/>
          <w:sz w:val="24"/>
          <w:szCs w:val="24"/>
        </w:rPr>
        <w:t xml:space="preserve"> In addition,</w:t>
      </w:r>
      <w:r w:rsidRPr="005B1CCB">
        <w:rPr>
          <w:rFonts w:ascii="Palatino Linotype" w:hAnsi="Palatino Linotype" w:cs="Times New Roman"/>
          <w:sz w:val="24"/>
          <w:szCs w:val="24"/>
        </w:rPr>
        <w:t xml:space="preserve"> the presence of greater amounts of DNA at the electrode surface (brought about by target hybridisation) will lead to both electrostatic repulsion of the redox mediator and steric hindrance around the interface, causing a reduction in mass transport limited currents, manifesting in reduced peak heights in voltammetry and increased charge transfer-resistance in EIS.  </w:t>
      </w:r>
      <w:r w:rsidRPr="00101B10">
        <w:rPr>
          <w:rFonts w:ascii="Palatino Linotype" w:hAnsi="Palatino Linotype" w:cs="Times New Roman"/>
          <w:sz w:val="24"/>
          <w:szCs w:val="24"/>
        </w:rPr>
        <w:t>It has been observed that these effects can be reversed when micro or nanoscale electrodes are employed</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{"citationItems":[{"id":"ITEM-1","itemData":{"DOI":"10.1016/j.electacta.2016.10.140","ISSN":"00134686","abstract":"DNA detection is still undergoing major innovations in pursuit of low-cost and simple approaches for decentralized applications. Label-free sensing of DNA hybridization via impedance measurements is a popular strategy to fulfil the goals of cost-efficiency and simplicity. Several materials are often reported for electrode modification to improve the sensitivity of impedance-based sensors. Herein we evaluate the electronic properties of copper phthalocyanine tetrasulfonate (CuPcTs) in Layer-by-Layer (LbL) films for impedimetric sensing of DNA hybridization using silanized Fluorine-doped Tin Oxide (FTO) electrodes. 1 to 5 bilayers were prepared by alternate immersion of the substrate in CuPcTs and poly(allylamine hydrochloride) (PAH). DNA probe immobilization was carried out electrostatically onto the last PAH layer, followed by hybridization with the target sequence leading to the formation of a partial double stranded (pds) structure onto the films. Impedance decreased after hybridization proportionally with the concentration of the target sequence at picomolar levels. Not only are these findings useful as a potential biosensing strategy, but also leave an open question about the electronic and synergistic properties of DNA interacting with different materials and surfaces.","author":[{"dropping-particle":"","family":"Manzanares-Palenzuela","given":"C. L.","non-dropping-particle":"","parse-names":false,"suffix":""},{"dropping-particle":"","family":"Fernandes","given":"E. G.R.","non-dropping-particle":"","parse-names":false,"suffix":""},{"dropping-particle":"","family":"Lobo-Castañón","given":"M. J.","non-dropping-particle":"","parse-names":false,"suffix":""},{"dropping-particle":"","family":"López-Ruiz","given":"B.","non-dropping-particle":"","parse-names":false,"suffix":""},{"dropping-particle":"","family":"Zucolotto","given":"V.","non-dropping-particle":"","parse-names":false,"suffix":""}],"container-title":"Electrochimica Acta","id":"ITEM-1","issued":{"date-parts":[["2016"]]},"page":"86-95","publisher":"Elsevier Ltd","title":"Impedance sensing of DNA hybridization onto nanostructured phthalocyanine-modified electrodes","type":"article-journal","volume":"221"},"uris":["http://www.mendeley.com/documents/?uuid=e0166a10-b762-4857-9d5a-186c02a10f60","http://www.mendeley.com/documents/?uuid=a3468724-7aa7-4eb0-b816-2c5cdd7dbd9c"]},{"id":"ITEM-2","itemData":{"DOI":"10.1016/j.bios.2018.11.053","ISSN":"0956-5663","author":[{"dropping-particle":"","family":"Russell","given":"Christopher","non-dropping-particle":"","parse-names":false,"suffix":""},{"dropping-particle":"","family":"Ward","given":"Andrew C","non-dropping-particle":"","parse-names":false,"suffix":""},{"dropping-particle":"","family":"Vezza","given":"Vincent","non-dropping-particle":"","parse-names":false,"suffix":""},{"dropping-particle":"","family":"Hoskisson","given":"Paul","non-dropping-particle":"","parse-names":false,"suffix":""},{"dropping-particle":"","family":"Alcorn","given":"David","non-dropping-particle":"","parse-names":false,"suffix":""}],"container-title":"Biosensors and Bioelectronic","id":"ITEM-2","issue":"September 2018","issued":{"date-parts":[["2019"]]},"page":"806-814","publisher":"Elsevier B.V.","title":"Biosensors and Bioelectronics Development of a needle shaped microelectrode for electrochemical detection of the sepsis biomarker interleukin-6 ( IL-6 ) in real time","type":"article-journal","volume":"126"},"uris":["http://www.mendeley.com/documents/?uuid=77821bc7-6f68-4fb4-9558-49e3749283da","http://www.mendeley.com/documents/?uuid=fed87841-7a71-4c12-bd5e-eeff07362c8d"]}],"mendeley":{"formattedCitation":"[151], [180]","plainTextFormattedCitation":"[151], [180]","previouslyFormattedCitation":"[151], [180]"},"properties":{"noteIndex":0},"schema":"https://github.com/citation-style-language/schema/raw/master/csl-citation.json"}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[151], [180]</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p>
    <w:p w14:paraId="577EECFA" w14:textId="77777777" w:rsidR="00596408" w:rsidRPr="005B1CCB" w:rsidRDefault="00596408" w:rsidP="000C5F05">
      <w:pPr>
        <w:spacing w:line="360" w:lineRule="auto"/>
        <w:jc w:val="both"/>
        <w:rPr>
          <w:rFonts w:ascii="Palatino Linotype" w:hAnsi="Palatino Linotype" w:cs="Times New Roman"/>
          <w:sz w:val="24"/>
          <w:szCs w:val="24"/>
        </w:rPr>
      </w:pPr>
    </w:p>
    <w:p w14:paraId="3B561A39" w14:textId="77777777" w:rsidR="000C5F05" w:rsidRPr="005B1CCB" w:rsidRDefault="000C5F05" w:rsidP="000C5F05">
      <w:pPr>
        <w:pStyle w:val="Heading3"/>
      </w:pPr>
      <w:bookmarkStart w:id="52" w:name="_Toc84528059"/>
      <w:r w:rsidRPr="005B1CCB">
        <w:t>Reductive and oxidative reactions</w:t>
      </w:r>
      <w:bookmarkEnd w:id="52"/>
    </w:p>
    <w:p w14:paraId="7138C9A8" w14:textId="09687DEF" w:rsidR="000C5F05" w:rsidRPr="005B1CCB" w:rsidRDefault="000C5F05" w:rsidP="000C5F05">
      <w:pPr>
        <w:autoSpaceDE w:val="0"/>
        <w:autoSpaceDN w:val="0"/>
        <w:spacing w:after="0"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 xml:space="preserve">    </w:t>
      </w:r>
      <w:r w:rsidRPr="00101B10">
        <w:rPr>
          <w:rFonts w:ascii="Palatino Linotype" w:eastAsia="Times New Roman" w:hAnsi="Palatino Linotype" w:cs="Times New Roman"/>
          <w:sz w:val="24"/>
          <w:szCs w:val="24"/>
        </w:rPr>
        <w:t>Electrochemical reversibility refers to the electron transfer kinetics between an electrode and analyte</w:t>
      </w:r>
      <w:r w:rsidRPr="005B1CCB">
        <w:rPr>
          <w:rFonts w:ascii="Palatino Linotype" w:eastAsia="Times New Roman" w:hAnsi="Palatino Linotype" w:cs="Times New Roman"/>
          <w:sz w:val="24"/>
          <w:szCs w:val="24"/>
        </w:rPr>
        <w:t xml:space="preserve">. An oxidation-reduction </w:t>
      </w:r>
      <w:r w:rsidRPr="00101B10">
        <w:rPr>
          <w:rFonts w:ascii="Palatino Linotype" w:eastAsia="Times New Roman" w:hAnsi="Palatino Linotype" w:cs="Times New Roman"/>
          <w:sz w:val="24"/>
          <w:szCs w:val="24"/>
        </w:rPr>
        <w:t>(redox) reaction involves a transfer of electrons between two species</w:t>
      </w:r>
      <w:r w:rsidRPr="005B1CCB">
        <w:rPr>
          <w:rFonts w:ascii="Palatino Linotype" w:eastAsia="Times New Roman" w:hAnsi="Palatino Linotype" w:cs="Times New Roman"/>
          <w:sz w:val="24"/>
          <w:szCs w:val="24"/>
        </w:rPr>
        <w:t xml:space="preserve">. In this reaction, the oxidation number of an ion changes by gaining or losing an electron and the flow of electrons is often the oxidation or reduction of a metal complex </w:t>
      </w:r>
      <w:r w:rsidRPr="005B1CCB">
        <w:rPr>
          <w:rFonts w:ascii="Palatino Linotype" w:eastAsia="Times New Roman" w:hAnsi="Palatino Linotype" w:cs="Times New Roman"/>
          <w:sz w:val="24"/>
          <w:szCs w:val="24"/>
        </w:rPr>
        <w:fldChar w:fldCharType="begin" w:fldLock="1"/>
      </w:r>
      <w:r w:rsidR="000766C5">
        <w:rPr>
          <w:rFonts w:ascii="Palatino Linotype" w:eastAsia="Times New Roman" w:hAnsi="Palatino Linotype" w:cs="Times New Roman"/>
          <w:sz w:val="24"/>
          <w:szCs w:val="24"/>
        </w:rPr>
        <w:instrText>ADDIN CSL_CITATION {"citationItems":[{"id":"ITEM-1","itemData":{"DOI":"10.1021/acs.jchemed.7b00361","ISSN":"0021-9584","author":[{"dropping-particle":"","family":"Elgrishi","given":"Noemie","non-dropping-particle":"","parse-names":false,"suffix":""},{"dropping-particle":"","family":"Hammon","given":"Kelley","non-dropping-particle":"","parse-names":false,"suffix":""},{"dropping-particle":"","family":"McCarthy","given":"Brian","non-dropping-particle":"","parse-names":false,"suffix":""},{"dropping-particle":"","family":"Eisenhart","given":"Thomas","non-dropping-particle":"","parse-names":false,"suffix":""},{"dropping-particle":"","family":"Dempsey","given":"Jillian","non-dropping-particle":"","parse-names":false,"suffix":""}],"container-title":"Journal of Chemical Education","id":"ITEM-1","issued":{"date-parts":[["2017"]]},"page":"1-10","title":"A Practical Beginner's Guide to Cyclic Voltammetry","type":"article-journal"},"uris":["http://www.mendeley.com/documents/?uuid=c88fc604-1d60-481b-acc7-828678732b67"]}],"mendeley":{"formattedCitation":"[146]","plainTextFormattedCitation":"[146]","previouslyFormattedCitation":"[146]"},"properties":{"noteIndex":0},"schema":"https://github.com/citation-style-language/schema/raw/master/csl-citation.json"}</w:instrText>
      </w:r>
      <w:r w:rsidRPr="005B1CCB">
        <w:rPr>
          <w:rFonts w:ascii="Palatino Linotype" w:eastAsia="Times New Roman" w:hAnsi="Palatino Linotype" w:cs="Times New Roman"/>
          <w:sz w:val="24"/>
          <w:szCs w:val="24"/>
        </w:rPr>
        <w:fldChar w:fldCharType="separate"/>
      </w:r>
      <w:r w:rsidR="005F2946" w:rsidRPr="005F2946">
        <w:rPr>
          <w:rFonts w:ascii="Palatino Linotype" w:eastAsia="Times New Roman" w:hAnsi="Palatino Linotype" w:cs="Times New Roman"/>
          <w:noProof/>
          <w:sz w:val="24"/>
          <w:szCs w:val="24"/>
        </w:rPr>
        <w:t>[146]</w:t>
      </w:r>
      <w:r w:rsidRPr="005B1CCB">
        <w:rPr>
          <w:rFonts w:ascii="Palatino Linotype" w:eastAsia="Times New Roman" w:hAnsi="Palatino Linotype" w:cs="Times New Roman"/>
          <w:sz w:val="24"/>
          <w:szCs w:val="24"/>
        </w:rPr>
        <w:fldChar w:fldCharType="end"/>
      </w:r>
      <w:r w:rsidRPr="005B1CCB">
        <w:rPr>
          <w:rFonts w:ascii="Palatino Linotype" w:eastAsia="Times New Roman" w:hAnsi="Palatino Linotype" w:cs="Times New Roman"/>
          <w:sz w:val="24"/>
          <w:szCs w:val="24"/>
        </w:rPr>
        <w:t xml:space="preserve">. When there is a high resistance to electron transfer, reactions are slower and more negative potentials are required to observe reduction and oxidation reactions. </w:t>
      </w:r>
    </w:p>
    <w:p w14:paraId="2A9D20C7" w14:textId="77777777" w:rsidR="000C5F05" w:rsidRPr="005B1CCB" w:rsidRDefault="000C5F05" w:rsidP="000C5F05">
      <w:pPr>
        <w:autoSpaceDE w:val="0"/>
        <w:autoSpaceDN w:val="0"/>
        <w:spacing w:after="0" w:line="360" w:lineRule="auto"/>
        <w:jc w:val="both"/>
        <w:rPr>
          <w:rFonts w:ascii="Palatino Linotype" w:eastAsia="Times New Roman" w:hAnsi="Palatino Linotype" w:cs="Times New Roman"/>
          <w:sz w:val="24"/>
          <w:szCs w:val="24"/>
        </w:rPr>
      </w:pPr>
    </w:p>
    <w:p w14:paraId="68FF37C0" w14:textId="77777777" w:rsidR="000C5F05" w:rsidRPr="005B1CCB" w:rsidRDefault="000C5F05" w:rsidP="000C5F05">
      <w:pPr>
        <w:pStyle w:val="Heading3"/>
      </w:pPr>
      <w:bookmarkStart w:id="53" w:name="_Toc84528060"/>
      <w:r w:rsidRPr="005B1CCB">
        <w:t>Redox buffers and media</w:t>
      </w:r>
      <w:bookmarkEnd w:id="53"/>
    </w:p>
    <w:p w14:paraId="220AA934" w14:textId="77777777" w:rsidR="000C5F05" w:rsidRPr="005B1CCB" w:rsidRDefault="000C5F05" w:rsidP="000C5F05">
      <w:pPr>
        <w:autoSpaceDE w:val="0"/>
        <w:autoSpaceDN w:val="0"/>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Two commonly studied redox reaction mechanisms are the inner sphere and the outer sphere. A choice of characterisation buffer can be made based on these mechanisms. </w:t>
      </w:r>
    </w:p>
    <w:p w14:paraId="0E09EB50" w14:textId="5B75263C" w:rsidR="000C5F05" w:rsidRPr="005B1CCB" w:rsidRDefault="000C5F05" w:rsidP="000C5F05">
      <w:pPr>
        <w:autoSpaceDE w:val="0"/>
        <w:autoSpaceDN w:val="0"/>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596408" w:rsidRPr="005B1CCB">
        <w:rPr>
          <w:rFonts w:ascii="Palatino Linotype" w:hAnsi="Palatino Linotype" w:cs="Times New Roman"/>
          <w:sz w:val="24"/>
          <w:szCs w:val="24"/>
        </w:rPr>
        <w:t>Ferri-ferro</w:t>
      </w:r>
      <w:r w:rsidRPr="005B1CCB">
        <w:rPr>
          <w:rFonts w:ascii="Palatino Linotype" w:hAnsi="Palatino Linotype" w:cs="Times New Roman"/>
          <w:sz w:val="24"/>
          <w:szCs w:val="24"/>
        </w:rPr>
        <w:t>cyanide is negatively charged and therefore electrostatically repelled by DNA which is also negatively charged.  It is an inner sphere redox mediator.  This means that the ferri</w:t>
      </w:r>
      <w:r w:rsidR="00596408" w:rsidRPr="005B1CCB">
        <w:rPr>
          <w:rFonts w:ascii="Palatino Linotype" w:hAnsi="Palatino Linotype" w:cs="Times New Roman"/>
          <w:sz w:val="24"/>
          <w:szCs w:val="24"/>
        </w:rPr>
        <w:t>-</w:t>
      </w:r>
      <w:r w:rsidRPr="005B1CCB">
        <w:rPr>
          <w:rFonts w:ascii="Palatino Linotype" w:hAnsi="Palatino Linotype" w:cs="Times New Roman"/>
          <w:sz w:val="24"/>
          <w:szCs w:val="24"/>
        </w:rPr>
        <w:t>ferro molecules must attach to the surface or form an intermediate during electron transfer.  The cyanide ion is a large ion which attaches well to gold.  Therefore, ferri</w:t>
      </w:r>
      <w:r w:rsidR="00596408" w:rsidRPr="005B1CCB">
        <w:rPr>
          <w:rFonts w:ascii="Palatino Linotype" w:hAnsi="Palatino Linotype" w:cs="Times New Roman"/>
          <w:sz w:val="24"/>
          <w:szCs w:val="24"/>
        </w:rPr>
        <w:t>-</w:t>
      </w:r>
      <w:r w:rsidRPr="005B1CCB">
        <w:rPr>
          <w:rFonts w:ascii="Palatino Linotype" w:hAnsi="Palatino Linotype" w:cs="Times New Roman"/>
          <w:sz w:val="24"/>
          <w:szCs w:val="24"/>
        </w:rPr>
        <w:t xml:space="preserve">ferro cyanide electrochemistry behaves normally on gold electrodes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{"citationItems":[{"id":"ITEM-1","itemData":{"DOI":"10.1039/C6RA05609A","abstract":"In this paper, gold and glassy carbon (GC) electrodes were electrochemically grafted with anthraquinone (AQ) groups derived from Fast Red AL salt via electrochemical reduction of AQ diazonium cations. For the first time, the electrografting was performed by combining the cyclic voltammetry (CV) or potential step method with the rotating disc electrode (RDE) technique in order to prepare thick films of AQ on Au and GC electrodes. For comparison purposes, a CV or potential step method without the RDE was also used. The attachment of thick AQ films to the Au electrode surface was confirmed by X-ray photoelectron spectroscopy and atomic force microscopy. The highest surface concentration value (ΓAQ) of AQ on the Au and GC electrodes (ca. 2.1 × 10−8 and 1.8 × 10−8 mol cm−2, respectively) was obtained by employing the combination of CV and RDE methods during the electrografting procedure. The oxygen reduction reaction results revealed that the electrochemical behaviour of AQ-modified Au electrodes does not depend on the ΓAQ value similar to the GC electrodes modified with thick AQ films. However, some differences were observed when the blocking effect of thick AQ films on Au and GC electrodes towards the ferri/ferrocyanide redox probe was studied.","author":[{"dropping-particle":"","family":"Mooste","given":"M","non-dropping-particle":"","parse-names":false,"suffix":""},{"dropping-particle":"","family":"Kibena-Põldsepp","given":"E","non-dropping-particle":"","parse-names":false,"suffix":""},{"dropping-particle":"","family":"Marandi","given":"M","non-dropping-particle":"","parse-names":false,"suffix":""},{"dropping-particle":"","family":"Matisen","given":"L","non-dropping-particle":"","parse-names":false,"suffix":""},{"dropping-particle":"","family":"Sammelselg","given":"V","non-dropping-particle":"","parse-names":false,"suffix":""},{"dropping-particle":"","family":"Tammeveski","given":"K","non-dropping-particle":"","parse-names":false,"suffix":""}],"container-title":"RSC Advances","id":"ITEM-1","issue":"47","issued":{"date-parts":[["2016"]]},"page":"40982-40990","publisher":"The Royal Society of Chemistry","title":"Electrochemical properties of gold and glassy carbon electrodes electrografted with an anthraquinone diazonium compound using the rotating disc electrode method","type":"article-journal","volume":"6"},"uris":["http://www.mendeley.com/documents/?uuid=8a2830cc-5514-41ae-9dbe-817f4513de07"]}],"mendeley":{"formattedCitation":"[181]","plainTextFormattedCitation":"[181]","previouslyFormattedCitation":"[181]"},"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[181]</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as seen in Figure 6.  For carbon this is less the case and the surface needs to be very active in order for the intermediate to form.  This means ferri</w:t>
      </w:r>
      <w:r w:rsidR="00596408" w:rsidRPr="005B1CCB">
        <w:rPr>
          <w:rFonts w:ascii="Palatino Linotype" w:hAnsi="Palatino Linotype" w:cs="Times New Roman"/>
          <w:sz w:val="24"/>
          <w:szCs w:val="24"/>
        </w:rPr>
        <w:t>-</w:t>
      </w:r>
      <w:r w:rsidRPr="005B1CCB">
        <w:rPr>
          <w:rFonts w:ascii="Palatino Linotype" w:hAnsi="Palatino Linotype" w:cs="Times New Roman"/>
          <w:sz w:val="24"/>
          <w:szCs w:val="24"/>
        </w:rPr>
        <w:t xml:space="preserve">ferro cyanide electrochemistry can appear suppressed on carbon devices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{"citationItems":[{"id":"ITEM-1","itemData":{"DOI":"10.3390/bios11020042","ISSN":"2079-6374","abstract":"Circulating tumour DNA (ctDNA) is widely used in liquid biopsies due to having a presence in the blood that is typically in proportion to the stage of the cancer and because it may present a quick and practical method of capturing tumour heterogeneity. This paper outlines a simple electrochemical technique adapted towards point-of-care cancer detection and treatment monitoring from biofluids using a label-free detection strategy. The mutations used for analysis were the KRAS G12D and G13D mutations, which are both important in the initiation, progression and drug resistance of many human cancers, leading to a high mortality rate. A low-cost DNA sensor was developed to specifically investigate these common circulating tumour markers. Initially, we report on some developments made in carbon surface pre-treatment and the electrochemical detection scheme which ensure the most sensitive measurement technique is employed. Following pre-treatment of the sensor to ensure homogeneity, DNA probes developed specifically for detection of the KRAS G12D and G13D mutations were immobilized onto low-cost screen printed carbon electrodes using diazonium chemistry and 1-ethyl-3-(3-dimethylaminopropyl) carbodiimide hydrochloride/N-hydroxysuccinimide coupling. Prior to electrochemical detection, the sensor was functionalised with target DNA amplified by standard and specialist PCR methodologies (6.3% increase). Assay development steps and DNA detection experiments were performed using standard voltammetry techniques. Sensitivity (as low as 0.58 ng/μL) and specificity (&gt;300%) was achieved by detecting mutant KRAS G13D PCR amplicons against a background of wild-type KRAS DNA from the representative cancer sample and our findings give rise to the basis of a simple and very low-cost system for measuring ctDNA biomarkers in patient samples. The current time to receive results from the system was 3.5 h with appreciable scope for optimisation, thus far comparing favourably to the UK National Health Service biopsy service where patients can wait for weeks for biopsy results.","author":[{"dropping-particle":"","family":"Attoye","given":"Bukola","non-dropping-particle":"","parse-names":false,"suffix":""},{"dropping-particle":"","family":"Baker","given":"Matthew J.","non-dropping-particle":"","parse-names":false,"suffix":""},{"dropping-particle":"","family":"Thomson","given":"Fiona","non-dropping-particle":"","parse-names":false,"suffix":""},{"dropping-particle":"","family":"Pou","given":"Chantevy","non-dropping-particle":"","parse-names":false,"suffix":""},{"dropping-particle":"","family":"Corrigan","given":"Damion K.","non-dropping-particle":"","parse-names":false,"suffix":""}],"container-title":"Biosensors","id":"ITEM-1","issue":"2","issued":{"date-parts":[["2021"]]},"page":"42","title":"Optimisation of an Electrochemical DNA Sensor for Measuring KRAS G12D and G13D Point Mutations in Different Tumour Types","type":"article-journal","volume":"11"},"uris":["http://www.mendeley.com/documents/?uuid=940e1da5-3316-4f11-a80c-c945a5c1cb95"]}],"mendeley":{"formattedCitation":"[182]","plainTextFormattedCitation":"[182]","previouslyFormattedCitation":"[182]"},"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[182]</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Past studies that have employed the use of ferri-ferro cyanide as a redox mediator usually worked with concentrations between 1</w:t>
      </w:r>
      <w:r w:rsidR="00596408"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and 10 mM as it doesn’t appear there is a general consensus on what concentration provides the best sensing performance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{"citationItems":[{"id":"ITEM-1","itemData":{"DOI":"10.1016/j.snr.2020.100008","ISSN":"26660539","abstract":"This paper describes improved sensitivity when using biosensors based on microfabricated microelectrodes to detect DNA, with the goal of progressing towards a low cost and mass manufacturable assay for antibiotic resistance in tuberculosis (TB). The microelectrodes gave an improvement in sensitivity compared to polycrystalline macroelectrodes. In addition, experimental parameters such as redox mediator concentration and experimental technique were investigated and optimised. It was found that lower concentrations of redox mediator gave higher signal changes when measuring hybridisation events and, at these lower concentrations, square wave voltammetry was more sensitive and consistent than differential pulse voltammetry. Together, this paper presents a quantifiable comparison of macroelectrode and microelectrode DNA biosensors. The final assay demonstrates enhanced sensitivity through reduction of sensor size, reduction of redox mediator concentration and judicious choice of detection technique, therefore maintaining manufacturability for incorporation into point of care tests and lab-on-a-chip devices.","author":[{"dropping-particle":"","family":"Blair","given":"Ewen O.","non-dropping-particle":"","parse-names":false,"suffix":""},{"dropping-particle":"","family":"Hannah","given":"Stuart","non-dropping-particle":"","parse-names":false,"suffix":""},{"dropping-particle":"","family":"Vezza","given":"Vincent","non-dropping-particle":"","parse-names":false,"suffix":""},{"dropping-particle":"","family":"Avcı","given":"Hüseyin","non-dropping-particle":"","parse-names":false,"suffix":""},{"dropping-particle":"","family":"Kocagoz","given":"Tanil","non-dropping-particle":"","parse-names":false,"suffix":""},{"dropping-particle":"","family":"Hoskisson","given":"Paul A.","non-dropping-particle":"","parse-names":false,"suffix":""},{"dropping-particle":"","family":"Güzel","given":"Fatma D.","non-dropping-particle":"","parse-names":false,"suffix":""},{"dropping-particle":"","family":"Corrigan","given":"Damion K.","non-dropping-particle":"","parse-names":false,"suffix":""}],"container-title":"Sensors and Actuators Reports","id":"ITEM-1","issue":"1","issued":{"date-parts":[["2020"]]},"page":"100008","title":"Biologically modified microelectrode sensors provide enhanced sensitivity for detection of nucleic acid sequences from Mycobacterium tuberculosis","type":"article-journal","volume":"2"},"uris":["http://www.mendeley.com/documents/?uuid=70dc1e5a-ddef-4874-80f5-be90681d7871"]}],"mendeley":{"formattedCitation":"[183]","plainTextFormattedCitation":"[183]","previouslyFormattedCitation":"[183]"},"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[183]</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p>
    <w:p w14:paraId="2D95111D" w14:textId="77777777" w:rsidR="000C5F05" w:rsidRPr="005B1CCB" w:rsidRDefault="000C5F05" w:rsidP="000C5F05">
      <w:pPr>
        <w:keepNext/>
        <w:autoSpaceDE w:val="0"/>
        <w:autoSpaceDN w:val="0"/>
        <w:spacing w:line="360" w:lineRule="auto"/>
        <w:jc w:val="center"/>
      </w:pPr>
      <w:r w:rsidRPr="005B1CCB">
        <w:rPr>
          <w:rFonts w:ascii="Palatino Linotype" w:hAnsi="Palatino Linotype" w:cs="Times New Roman"/>
          <w:noProof/>
          <w:sz w:val="24"/>
          <w:szCs w:val="24"/>
          <w:lang w:eastAsia="en-GB"/>
        </w:rPr>
        <w:drawing>
          <wp:inline distT="0" distB="0" distL="0" distR="0" wp14:anchorId="59A9479A" wp14:editId="4E2CC36C">
            <wp:extent cx="3389243" cy="2434590"/>
            <wp:effectExtent l="0" t="0" r="1905" b="3810"/>
            <wp:docPr id="10" name="Picture 10" descr="C:\Users\cdt\Pictures\redox mediator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t\Pictures\redox mediator_L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8151" cy="2469722"/>
                    </a:xfrm>
                    <a:prstGeom prst="rect">
                      <a:avLst/>
                    </a:prstGeom>
                    <a:noFill/>
                    <a:ln>
                      <a:noFill/>
                    </a:ln>
                  </pic:spPr>
                </pic:pic>
              </a:graphicData>
            </a:graphic>
          </wp:inline>
        </w:drawing>
      </w:r>
    </w:p>
    <w:p w14:paraId="4ABE5017" w14:textId="77777777" w:rsidR="000C5F05" w:rsidRPr="00835C77" w:rsidRDefault="000C5F05" w:rsidP="00835C77">
      <w:pPr>
        <w:pStyle w:val="Caption"/>
        <w:jc w:val="center"/>
        <w:rPr>
          <w:rFonts w:ascii="Palatino Linotype" w:hAnsi="Palatino Linotype" w:cs="Times New Roman"/>
          <w:sz w:val="22"/>
          <w:szCs w:val="22"/>
        </w:rPr>
      </w:pPr>
      <w:bookmarkStart w:id="54" w:name="_Toc84519601"/>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w:t>
      </w:r>
      <w:r w:rsidRPr="005B1CCB">
        <w:rPr>
          <w:sz w:val="22"/>
          <w:szCs w:val="22"/>
        </w:rPr>
        <w:fldChar w:fldCharType="end"/>
      </w:r>
      <w:r w:rsidRPr="005B1CCB">
        <w:rPr>
          <w:sz w:val="22"/>
          <w:szCs w:val="22"/>
        </w:rPr>
        <w:t>: Redox reaction mechanism in DNA sensing</w:t>
      </w:r>
      <w:bookmarkEnd w:id="54"/>
    </w:p>
    <w:p w14:paraId="021351EF" w14:textId="330730E3" w:rsidR="000C5F05" w:rsidRPr="005B1CCB" w:rsidRDefault="000C5F05" w:rsidP="000C5F05">
      <w:pPr>
        <w:autoSpaceDE w:val="0"/>
        <w:autoSpaceDN w:val="0"/>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Ruthenium hexamine trichloride on the other hand is a fast outer-sphere redox mediator that is insensitive to most surface defects and thus ideal for characterising carbon electrodes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{"citationItems":[{"id":"ITEM-1","itemData":{"DOI":"10.1021/cr068076m","ISBN":"0009-2665","ISSN":"00092665","PMID":"18557655","abstract":"Since the historical application by Sir Humphrey Davy of graphite electrodes for electrochemical production of alkali metals, carbon materials have been widely used in both analytical and industrial electrochemistry. The often-cited advantages of carbon electrodes include low cost, wide potential window, relatively inert electrochemistry, and electrocatalytic activity for a variety of redox reactions. Of particular relevance to the current review are oxidations and reductions of organic and biological molecules in both aqueous and nonaqueous media, for which the electrochemi- cal properties of carbon electrodes are often superior to those of noble metals. In addition, the well-known applications of carbon electrodes to metals production, energy storage in batteries and supercapacitors, and catalyst supports has resulted in a rich literature on both carbon materials and their interactions with electrolytes and redox systems. Of general interest are several reviews and monographs on carbon electrode materials, notably the “classical” carbon materials based on graphite, glassy carbon, and carbon black","author":[{"dropping-particle":"","family":"R.L. McCreery","given":"","non-dropping-particle":"","parse-names":false,"suffix":""}],"container-title":"Chemical Reviews","id":"ITEM-1","issue":"7","issued":{"date-parts":[["2008"]]},"page":"2646-2687","title":"Advanced carbon electrode materials for molecular electrochemistry","type":"article-journal","volume":"108"},"uris":["http://www.mendeley.com/documents/?uuid=a2574a44-1310-4afd-b332-f86809cc14af"]}],"mendeley":{"formattedCitation":"[184]","plainTextFormattedCitation":"[184]","previouslyFormattedCitation":"[184]"},"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[184]</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Ruthenium redox reactions have been known to become trapped in organic layers, thus electrostatically associating with the DNA strands on the probe modified electrode surface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{"citationItems":[{"id":"ITEM-1","itemData":{"DOI":"10.3390/bios11020042","ISSN":"2079-6374","abstract":"Circulating tumour DNA (ctDNA) is widely used in liquid biopsies due to having a presence in the blood that is typically in proportion to the stage of the cancer and because it may present a quick and practical method of capturing tumour heterogeneity. This paper outlines a simple electrochemical technique adapted towards point-of-care cancer detection and treatment monitoring from biofluids using a label-free detection strategy. The mutations used for analysis were the KRAS G12D and G13D mutations, which are both important in the initiation, progression and drug resistance of many human cancers, leading to a high mortality rate. A low-cost DNA sensor was developed to specifically investigate these common circulating tumour markers. Initially, we report on some developments made in carbon surface pre-treatment and the electrochemical detection scheme which ensure the most sensitive measurement technique is employed. Following pre-treatment of the sensor to ensure homogeneity, DNA probes developed specifically for detection of the KRAS G12D and G13D mutations were immobilized onto low-cost screen printed carbon electrodes using diazonium chemistry and 1-ethyl-3-(3-dimethylaminopropyl) carbodiimide hydrochloride/N-hydroxysuccinimide coupling. Prior to electrochemical detection, the sensor was functionalised with target DNA amplified by standard and specialist PCR methodologies (6.3% increase). Assay development steps and DNA detection experiments were performed using standard voltammetry techniques. Sensitivity (as low as 0.58 ng/μL) and specificity (&gt;300%) was achieved by detecting mutant KRAS G13D PCR amplicons against a background of wild-type KRAS DNA from the representative cancer sample and our findings give rise to the basis of a simple and very low-cost system for measuring ctDNA biomarkers in patient samples. The current time to receive results from the system was 3.5 h with appreciable scope for optimisation, thus far comparing favourably to the UK National Health Service biopsy service where patients can wait for weeks for biopsy results.","author":[{"dropping-particle":"","family":"Attoye","given":"Bukola","non-dropping-particle":"","parse-names":false,"suffix":""},{"dropping-particle":"","family":"Baker","given":"Matthew J.","non-dropping-particle":"","parse-names":false,"suffix":""},{"dropping-particle":"","family":"Thomson","given":"Fiona","non-dropping-particle":"","parse-names":false,"suffix":""},{"dropping-particle":"","family":"Pou","given":"Chantevy","non-dropping-particle":"","parse-names":false,"suffix":""},{"dropping-particle":"","family":"Corrigan","given":"Damion K.","non-dropping-particle":"","parse-names":false,"suffix":""}],"container-title":"Biosensors","id":"ITEM-1","issue":"2","issued":{"date-parts":[["2021"]]},"page":"42","title":"Optimisation of an Electrochemical DNA Sensor for Measuring KRAS G12D and G13D Point Mutations in Different Tumour Types","type":"article-journal","volume":"11"},"uris":["http://www.mendeley.com/documents/?uuid=940e1da5-3316-4f11-a80c-c945a5c1cb95"]}],"mendeley":{"formattedCitation":"[182]","plainTextFormattedCitation":"[182]","previouslyFormattedCitation":"[182]"},"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[182]</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Also ruthenium hexamine trichloride is only affected by changes in the electroactive area, while the redox couple ferri-ferrocyanide is useful for determining the existence of functional groups due to its inner sphere sensitivity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{"citationItems":[{"id":"ITEM-1","itemData":{"DOI":"10.1149/2.0561608jes","ISSN":"0013-4651","abstract":"The sensitivity of amperometric sensors is typically set by the rate diffusion of the analyte to the electrode surface, so determining diffusion coefficients in various electrolyte solutions is of fundamental interest. It has been theoretically shown and verified that diffusion coefficients of electrochemically generated analytes can be determined using electrochemical time of flight (ETOF), a method that uses an electrochemical array in which one electrode generates a Red/Ox species, and measures the analyte diffusion times to collecting electrodes of differing distances from a stationary generator. ETOF has the potential to greatly simplify the determination of diffusion coefficients as the analyte concentration, the electroactive area, the solution viscosity, and the electron transfer kinetics can remain unknown. Here we demonstrate an alternative data treatment for ETOF in which the electrochemical flight time is measured for a series of different Red/Ox species of known diffusion coefficients at a single distance. We show this a valid application of a method that has existed for almost 30 years, by determining diffusion coefficients for ruthenium (II) hexamine, and diffusion coefficients in solutions of increased viscosity.","author":[{"dropping-particle":"","family":"Moldenhauer","given":"Jonathan","non-dropping-particle":"","parse-names":false,"suffix":""},{"dropping-particle":"","family":"Meier","given":"Madeline","non-dropping-particle":"","parse-names":false,"suffix":""},{"dropping-particle":"","family":"Paul","given":"David W.","non-dropping-particle":"","parse-names":false,"suffix":""}],"container-title":"Journal of The Electrochemical Society","id":"ITEM-1","issue":"8","issued":{"date-parts":[["2016"]]},"page":"H672-H678","title":"Rapid and Direct Determination of Diffusion Coefficients Using Microelectrode Arrays","type":"article-journal","volume":"163"},"uris":["http://www.mendeley.com/documents/?uuid=96b69757-0685-4a70-9c39-4c9a0975edbc"]}],"mendeley":{"formattedCitation":"[185]","plainTextFormattedCitation":"[185]","previouslyFormattedCitation":"[185]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[185]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p>
    <w:p w14:paraId="3A3AED8E" w14:textId="77777777" w:rsidR="000C5F05" w:rsidRPr="005B1CCB" w:rsidRDefault="000C5F05" w:rsidP="000C5F05">
      <w:pPr>
        <w:autoSpaceDE w:val="0"/>
        <w:autoSpaceDN w:val="0"/>
        <w:spacing w:line="360" w:lineRule="auto"/>
        <w:jc w:val="both"/>
        <w:rPr>
          <w:rFonts w:ascii="Times New Roman" w:eastAsia="Times New Roman" w:hAnsi="Times New Roman" w:cs="Times New Roman"/>
          <w:color w:val="000000"/>
          <w:sz w:val="24"/>
          <w:szCs w:val="20"/>
          <w:lang w:eastAsia="de-DE"/>
        </w:rPr>
      </w:pPr>
    </w:p>
    <w:p w14:paraId="01B82F1E" w14:textId="77777777" w:rsidR="000C5F05" w:rsidRPr="005B1CCB" w:rsidRDefault="000C5F05" w:rsidP="000C5F05">
      <w:pPr>
        <w:pStyle w:val="Heading3"/>
        <w:rPr>
          <w:lang w:val="en-US"/>
        </w:rPr>
      </w:pPr>
      <w:bookmarkStart w:id="55" w:name="_Toc84528061"/>
      <w:r w:rsidRPr="005B1CCB">
        <w:rPr>
          <w:lang w:val="en-US"/>
        </w:rPr>
        <w:t>Scan rate and Diffusion coefficients in Screen printed carbon electrodes (SPCE)</w:t>
      </w:r>
      <w:bookmarkEnd w:id="55"/>
    </w:p>
    <w:p w14:paraId="11F443CE" w14:textId="1E3E6A9D" w:rsidR="000C5F05" w:rsidRPr="005B1CCB" w:rsidRDefault="000C5F05" w:rsidP="000C5F05">
      <w:pPr>
        <w:autoSpaceDE w:val="0"/>
        <w:autoSpaceDN w:val="0"/>
        <w:spacing w:after="0" w:line="360" w:lineRule="auto"/>
        <w:jc w:val="both"/>
        <w:rPr>
          <w:rFonts w:ascii="Palatino Linotype" w:eastAsia="Times New Roman" w:hAnsi="Palatino Linotype" w:cs="Times New Roman"/>
          <w:sz w:val="24"/>
          <w:szCs w:val="24"/>
          <w:lang w:val="en-US"/>
        </w:rPr>
      </w:pPr>
      <w:r w:rsidRPr="005B1CCB">
        <w:rPr>
          <w:rFonts w:ascii="Palatino Linotype" w:eastAsia="Times New Roman" w:hAnsi="Palatino Linotype" w:cs="Times New Roman"/>
          <w:sz w:val="24"/>
          <w:szCs w:val="24"/>
        </w:rPr>
        <w:t xml:space="preserve">   The porous surface layer found in common screen-printed macro-electrodes such as Dropsens stimulates a film-like diffusion that is more desirable than infinite diffusion </w:t>
      </w:r>
      <w:r w:rsidRPr="005B1CCB">
        <w:rPr>
          <w:rFonts w:ascii="Palatino Linotype" w:eastAsia="Times New Roman" w:hAnsi="Palatino Linotype" w:cs="Times New Roman"/>
          <w:sz w:val="24"/>
          <w:szCs w:val="24"/>
        </w:rPr>
        <w:fldChar w:fldCharType="begin" w:fldLock="1"/>
      </w:r>
      <w:r w:rsidR="000766C5">
        <w:rPr>
          <w:rFonts w:ascii="Palatino Linotype" w:eastAsia="Times New Roman" w:hAnsi="Palatino Linotype" w:cs="Times New Roman"/>
          <w:sz w:val="24"/>
          <w:szCs w:val="24"/>
        </w:rPr>
        <w:instrText>ADDIN CSL_CITATION {"citationItems":[{"id":"ITEM-1","itemData":{"DOI":"10.3390/s131013659","ISBN":"1424-8220","abstract":"This contribution contains a survey of basic literature dealing with arrays of microelectrodes with overlapping diffusion layers as prospective tools in contemporary electrochemistry. Photolithographic thin layer technology allows the fabrication of sensors of micrometric dimensions separated with a very small gap. This fact allows the diffusion layers of single microelectrodes to overlap as members of the array. Various basic types of microelectrode arrays with interacting diffusion layers are described and their analytical abilities are accented. Theoretical approaches to diffusion layer overlapping and the consequences of close constitution effects such as collection efficiency and redox cycling are discussed. Examples of basis applications in electroanalytical chemistry such as amperometric detectors in HPLC and substitutional stripping voltammetry are also given.","author":[{"dropping-particle":"","family":"Tomčík","given":"Peter","non-dropping-particle":"","parse-names":false,"suffix":""}],"container-title":"Sensors ","id":"ITEM-1","issue":"10","issued":{"date-parts":[["2013"]]},"title":"Microelectrode Arrays with Overlapped Diffusion Layers as Electroanalytical Detectors: Theory and Basic Applications","type":"article","volume":"13"},"uris":["http://www.mendeley.com/documents/?uuid=99750318-887c-4c34-975d-3988e2ec8e1f"]}],"mendeley":{"formattedCitation":"[186]","plainTextFormattedCitation":"[186]","previouslyFormattedCitation":"[186]"},"properties":{"noteIndex":0},"schema":"https://github.com/citation-style-language/schema/raw/master/csl-citation.json"}</w:instrText>
      </w:r>
      <w:r w:rsidRPr="005B1CCB">
        <w:rPr>
          <w:rFonts w:ascii="Palatino Linotype" w:eastAsia="Times New Roman" w:hAnsi="Palatino Linotype" w:cs="Times New Roman"/>
          <w:sz w:val="24"/>
          <w:szCs w:val="24"/>
        </w:rPr>
        <w:fldChar w:fldCharType="separate"/>
      </w:r>
      <w:r w:rsidR="005F2946" w:rsidRPr="005F2946">
        <w:rPr>
          <w:rFonts w:ascii="Palatino Linotype" w:eastAsia="Times New Roman" w:hAnsi="Palatino Linotype" w:cs="Times New Roman"/>
          <w:noProof/>
          <w:sz w:val="24"/>
          <w:szCs w:val="24"/>
        </w:rPr>
        <w:t>[186]</w:t>
      </w:r>
      <w:r w:rsidRPr="005B1CCB">
        <w:rPr>
          <w:rFonts w:ascii="Palatino Linotype" w:eastAsia="Times New Roman" w:hAnsi="Palatino Linotype" w:cs="Times New Roman"/>
          <w:sz w:val="24"/>
          <w:szCs w:val="24"/>
        </w:rPr>
        <w:fldChar w:fldCharType="end"/>
      </w:r>
      <w:r w:rsidRPr="005B1CCB">
        <w:rPr>
          <w:rFonts w:ascii="Palatino Linotype" w:eastAsia="Times New Roman" w:hAnsi="Palatino Linotype" w:cs="Times New Roman"/>
          <w:sz w:val="24"/>
          <w:szCs w:val="24"/>
        </w:rPr>
        <w:t xml:space="preserve"> and cost-effective for rapid electrochemical analysis.  </w:t>
      </w:r>
      <w:r w:rsidRPr="00101B10">
        <w:rPr>
          <w:rFonts w:ascii="Palatino Linotype" w:eastAsia="Times New Roman" w:hAnsi="Palatino Linotype" w:cs="Times New Roman"/>
          <w:sz w:val="24"/>
          <w:szCs w:val="24"/>
        </w:rPr>
        <w:t>The scan rate controls how rapidly the applied potential is scanned</w:t>
      </w:r>
      <w:r w:rsidRPr="005B1CCB">
        <w:rPr>
          <w:rFonts w:ascii="Palatino Linotype" w:eastAsia="Times New Roman" w:hAnsi="Palatino Linotype" w:cs="Times New Roman"/>
          <w:sz w:val="24"/>
          <w:szCs w:val="24"/>
        </w:rPr>
        <w:t xml:space="preserve">. </w:t>
      </w:r>
      <w:r w:rsidRPr="00101B10">
        <w:rPr>
          <w:rFonts w:ascii="Palatino Linotype" w:eastAsia="Times New Roman" w:hAnsi="Palatino Linotype" w:cs="Times New Roman"/>
          <w:sz w:val="24"/>
          <w:szCs w:val="24"/>
        </w:rPr>
        <w:t>Faster rates lead to a decrease in the diffusion layer size, and as a result, higher currents are observed</w:t>
      </w:r>
      <w:r w:rsidRPr="005B1CCB">
        <w:rPr>
          <w:rFonts w:ascii="Palatino Linotype" w:eastAsia="Times New Roman" w:hAnsi="Palatino Linotype" w:cs="Times New Roman"/>
          <w:sz w:val="24"/>
          <w:szCs w:val="24"/>
        </w:rPr>
        <w:t xml:space="preserve">. For electrochemically reversible electron transfer processes involving freely diffusing redox species, the Randles-Sevcik equation is used to describe how the peak current increases linearly with the square root of the scan rate </w:t>
      </w:r>
      <w:r w:rsidRPr="005B1CCB">
        <w:rPr>
          <w:rFonts w:ascii="Palatino Linotype" w:eastAsia="Times New Roman" w:hAnsi="Palatino Linotype" w:cs="Times New Roman"/>
          <w:sz w:val="24"/>
          <w:szCs w:val="24"/>
        </w:rPr>
        <w:fldChar w:fldCharType="begin" w:fldLock="1"/>
      </w:r>
      <w:r w:rsidR="000766C5">
        <w:rPr>
          <w:rFonts w:ascii="Palatino Linotype" w:eastAsia="Times New Roman" w:hAnsi="Palatino Linotype" w:cs="Times New Roman"/>
          <w:sz w:val="24"/>
          <w:szCs w:val="24"/>
        </w:rPr>
        <w:instrText>ADDIN CSL_CITATION {"citationItems":[{"id":"ITEM-1","itemData":{"DOI":"10.1021/acs.jchemed.7b00361","ISSN":"0021-9584","author":[{"dropping-particle":"","family":"Elgrishi","given":"Noemie","non-dropping-particle":"","parse-names":false,"suffix":""},{"dropping-particle":"","family":"Hammon","given":"Kelley","non-dropping-particle":"","parse-names":false,"suffix":""},{"dropping-particle":"","family":"McCarthy","given":"Brian","non-dropping-particle":"","parse-names":false,"suffix":""},{"dropping-particle":"","family":"Eisenhart","given":"Thomas","non-dropping-particle":"","parse-names":false,"suffix":""},{"dropping-particle":"","family":"Dempsey","given":"Jillian","non-dropping-particle":"","parse-names":false,"suffix":""}],"container-title":"Journal of Chemical Education","id":"ITEM-1","issued":{"date-parts":[["2017"]]},"page":"1-10","title":"A Practical Beginner's Guide to Cyclic Voltammetry","type":"article-journal"},"uris":["http://www.mendeley.com/documents/?uuid=c88fc604-1d60-481b-acc7-828678732b67"]}],"mendeley":{"formattedCitation":"[146]","plainTextFormattedCitation":"[146]","previouslyFormattedCitation":"[146]"},"properties":{"noteIndex":0},"schema":"https://github.com/citation-style-language/schema/raw/master/csl-citation.json"}</w:instrText>
      </w:r>
      <w:r w:rsidRPr="005B1CCB">
        <w:rPr>
          <w:rFonts w:ascii="Palatino Linotype" w:eastAsia="Times New Roman" w:hAnsi="Palatino Linotype" w:cs="Times New Roman"/>
          <w:sz w:val="24"/>
          <w:szCs w:val="24"/>
        </w:rPr>
        <w:fldChar w:fldCharType="separate"/>
      </w:r>
      <w:r w:rsidR="005F2946" w:rsidRPr="005F2946">
        <w:rPr>
          <w:rFonts w:ascii="Palatino Linotype" w:eastAsia="Times New Roman" w:hAnsi="Palatino Linotype" w:cs="Times New Roman"/>
          <w:noProof/>
          <w:sz w:val="24"/>
          <w:szCs w:val="24"/>
        </w:rPr>
        <w:t>[146]</w:t>
      </w:r>
      <w:r w:rsidRPr="005B1CCB">
        <w:rPr>
          <w:rFonts w:ascii="Palatino Linotype" w:eastAsia="Times New Roman" w:hAnsi="Palatino Linotype" w:cs="Times New Roman"/>
          <w:sz w:val="24"/>
          <w:szCs w:val="24"/>
        </w:rPr>
        <w:fldChar w:fldCharType="end"/>
      </w:r>
      <w:r w:rsidRPr="005B1CCB">
        <w:rPr>
          <w:rFonts w:ascii="Palatino Linotype" w:eastAsia="Times New Roman" w:hAnsi="Palatino Linotype" w:cs="Times New Roman"/>
          <w:sz w:val="24"/>
          <w:szCs w:val="24"/>
        </w:rPr>
        <w:t xml:space="preserve">. </w:t>
      </w:r>
      <w:r w:rsidRPr="005B1CCB">
        <w:rPr>
          <w:rFonts w:ascii="Palatino Linotype" w:eastAsia="Times New Roman" w:hAnsi="Palatino Linotype" w:cs="Times New Roman"/>
          <w:sz w:val="24"/>
          <w:szCs w:val="24"/>
          <w:lang w:val="en-US"/>
        </w:rPr>
        <w:t>The relationship between the current (</w:t>
      </w:r>
      <w:r w:rsidRPr="005B1CCB">
        <w:rPr>
          <w:rFonts w:ascii="Palatino Linotype" w:eastAsia="Times New Roman" w:hAnsi="Palatino Linotype" w:cs="Times New Roman"/>
          <w:i/>
          <w:sz w:val="24"/>
          <w:szCs w:val="24"/>
          <w:lang w:val="en-US"/>
        </w:rPr>
        <w:t>I</w:t>
      </w:r>
      <w:r w:rsidRPr="005B1CCB">
        <w:rPr>
          <w:rFonts w:ascii="Palatino Linotype" w:eastAsia="Times New Roman" w:hAnsi="Palatino Linotype" w:cs="Times New Roman"/>
          <w:i/>
          <w:sz w:val="24"/>
          <w:szCs w:val="24"/>
          <w:vertAlign w:val="subscript"/>
          <w:lang w:val="en-US"/>
        </w:rPr>
        <w:t>p</w:t>
      </w:r>
      <w:r w:rsidRPr="005B1CCB">
        <w:rPr>
          <w:rFonts w:ascii="Palatino Linotype" w:eastAsia="Times New Roman" w:hAnsi="Palatino Linotype" w:cs="Times New Roman"/>
          <w:sz w:val="24"/>
          <w:szCs w:val="24"/>
          <w:lang w:val="en-US"/>
        </w:rPr>
        <w:t>), and voltage used in cyclic voltammetry measurements is given by the Randles-Sevcik equation which give indications as to whether an analyte is freely diffusing in solution and what the diffusion coefficients are.</w:t>
      </w:r>
    </w:p>
    <w:p w14:paraId="62D9E843" w14:textId="77777777" w:rsidR="000C5F05" w:rsidRPr="005B1CCB" w:rsidRDefault="00DD4134" w:rsidP="000C5F05">
      <w:pPr>
        <w:autoSpaceDE w:val="0"/>
        <w:autoSpaceDN w:val="0"/>
        <w:spacing w:after="0" w:line="360" w:lineRule="auto"/>
        <w:rPr>
          <w:rFonts w:ascii="Palatino Linotype" w:eastAsiaTheme="minorEastAsia" w:hAnsi="Palatino Linotype" w:cs="Times New Roman"/>
          <w:sz w:val="24"/>
          <w:szCs w:val="24"/>
          <w:lang w:val="en-US"/>
        </w:rPr>
      </w:pPr>
      <m:oMathPara>
        <m:oMath>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I</m:t>
              </m:r>
            </m:e>
            <m:sub>
              <m:r>
                <w:rPr>
                  <w:rFonts w:ascii="Cambria Math" w:eastAsia="Times New Roman" w:hAnsi="Cambria Math" w:cs="Times New Roman"/>
                  <w:sz w:val="24"/>
                  <w:szCs w:val="24"/>
                  <w:lang w:val="en-US"/>
                </w:rPr>
                <m:t>p</m:t>
              </m:r>
            </m:sub>
          </m:sSub>
          <m:r>
            <w:rPr>
              <w:rFonts w:ascii="Cambria Math" w:eastAsiaTheme="minorEastAsia" w:hAnsi="Cambria Math" w:cs="Times New Roman"/>
              <w:sz w:val="24"/>
              <w:szCs w:val="24"/>
              <w:lang w:val="en-US"/>
            </w:rPr>
            <m:t xml:space="preserve">=268.6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10</m:t>
              </m:r>
            </m:e>
            <m:sup>
              <m:r>
                <w:rPr>
                  <w:rFonts w:ascii="Cambria Math" w:eastAsiaTheme="minorEastAsia" w:hAnsi="Cambria Math" w:cs="Times New Roman"/>
                  <w:sz w:val="24"/>
                  <w:szCs w:val="24"/>
                  <w:lang w:val="en-US"/>
                </w:rPr>
                <m:t>3</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n</m:t>
              </m:r>
            </m:e>
            <m:sup>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3</m:t>
                  </m:r>
                </m:num>
                <m:den>
                  <m:r>
                    <w:rPr>
                      <w:rFonts w:ascii="Cambria Math" w:eastAsiaTheme="minorEastAsia" w:hAnsi="Cambria Math" w:cs="Times New Roman"/>
                      <w:sz w:val="24"/>
                      <w:szCs w:val="24"/>
                      <w:lang w:val="en-US"/>
                    </w:rPr>
                    <m:t>2</m:t>
                  </m:r>
                </m:den>
              </m:f>
            </m:sup>
          </m:sSup>
          <m:r>
            <w:rPr>
              <w:rFonts w:ascii="Cambria Math" w:eastAsiaTheme="minorEastAsia" w:hAnsi="Cambria Math" w:cs="Times New Roman"/>
              <w:sz w:val="24"/>
              <w:szCs w:val="24"/>
              <w:lang w:val="en-US"/>
            </w:rPr>
            <m:t xml:space="preserve"> ×A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D</m:t>
              </m:r>
            </m:e>
            <m:sup>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 xml:space="preserve">2 </m:t>
                  </m:r>
                </m:den>
              </m:f>
              <m:r>
                <w:rPr>
                  <w:rFonts w:ascii="Cambria Math" w:eastAsiaTheme="minorEastAsia" w:hAnsi="Cambria Math" w:cs="Times New Roman"/>
                  <w:sz w:val="24"/>
                  <w:szCs w:val="24"/>
                  <w:lang w:val="en-US"/>
                </w:rPr>
                <m:t xml:space="preserve"> </m:t>
              </m:r>
            </m:sup>
          </m:sSup>
          <m:r>
            <w:rPr>
              <w:rFonts w:ascii="Cambria Math" w:eastAsiaTheme="minorEastAsia" w:hAnsi="Cambria Math" w:cs="Times New Roman"/>
              <w:sz w:val="24"/>
              <w:szCs w:val="24"/>
              <w:lang w:val="en-US"/>
            </w:rPr>
            <m:t xml:space="preserve">×C × </m:t>
          </m:r>
          <m:sSup>
            <m:sSupPr>
              <m:ctrlPr>
                <w:rPr>
                  <w:rFonts w:ascii="Cambria Math" w:eastAsiaTheme="minorEastAsia" w:hAnsi="Cambria Math" w:cs="Times New Roman"/>
                  <w:i/>
                  <w:sz w:val="24"/>
                  <w:szCs w:val="24"/>
                  <w:lang w:val="en-US"/>
                </w:rPr>
              </m:ctrlPr>
            </m:sSupPr>
            <m:e>
              <m:r>
                <w:rPr>
                  <w:rFonts w:ascii="Cambria Math" w:eastAsia="Times New Roman" w:hAnsi="Cambria Math" w:cs="Times New Roman"/>
                  <w:sz w:val="24"/>
                  <w:szCs w:val="24"/>
                  <w:lang w:val="en-US"/>
                </w:rPr>
                <m:t>ϑ</m:t>
              </m:r>
            </m:e>
            <m:sup>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2</m:t>
                  </m:r>
                </m:den>
              </m:f>
            </m:sup>
          </m:sSup>
        </m:oMath>
      </m:oMathPara>
    </w:p>
    <w:p w14:paraId="5CB04C8C" w14:textId="77777777" w:rsidR="000C5F05" w:rsidRPr="005B1CCB" w:rsidRDefault="000C5F05" w:rsidP="000C5F05">
      <w:pPr>
        <w:autoSpaceDE w:val="0"/>
        <w:autoSpaceDN w:val="0"/>
        <w:spacing w:after="0" w:line="360" w:lineRule="auto"/>
        <w:ind w:left="404"/>
        <w:rPr>
          <w:rFonts w:ascii="Palatino Linotype" w:eastAsiaTheme="minorEastAsia" w:hAnsi="Palatino Linotype" w:cs="Times New Roman"/>
          <w:sz w:val="24"/>
          <w:szCs w:val="24"/>
          <w:lang w:val="en-US"/>
        </w:rPr>
      </w:pPr>
      <w:r w:rsidRPr="005B1CCB">
        <w:rPr>
          <w:rFonts w:ascii="Palatino Linotype" w:eastAsiaTheme="minorEastAsia" w:hAnsi="Palatino Linotype" w:cs="Times New Roman"/>
          <w:sz w:val="24"/>
          <w:szCs w:val="24"/>
          <w:lang w:val="en-US"/>
        </w:rPr>
        <w:t>Where;</w:t>
      </w:r>
    </w:p>
    <w:p w14:paraId="72757A83" w14:textId="77777777" w:rsidR="000C5F05" w:rsidRPr="005B1CCB" w:rsidRDefault="000C5F05" w:rsidP="000C5F05">
      <w:pPr>
        <w:autoSpaceDE w:val="0"/>
        <w:autoSpaceDN w:val="0"/>
        <w:spacing w:after="0" w:line="360" w:lineRule="auto"/>
        <w:rPr>
          <w:rFonts w:ascii="Palatino Linotype" w:eastAsiaTheme="minorEastAsia" w:hAnsi="Palatino Linotype" w:cs="Times New Roman"/>
          <w:sz w:val="24"/>
          <w:szCs w:val="24"/>
          <w:lang w:val="en-US"/>
        </w:rPr>
      </w:pPr>
      <m:oMath>
        <m:r>
          <w:rPr>
            <w:rFonts w:ascii="Cambria Math" w:eastAsiaTheme="minorEastAsia" w:hAnsi="Cambria Math" w:cs="Times New Roman"/>
            <w:sz w:val="24"/>
            <w:szCs w:val="24"/>
            <w:lang w:val="en-US"/>
          </w:rPr>
          <m:t>n</m:t>
        </m:r>
      </m:oMath>
      <w:r w:rsidRPr="005B1CCB">
        <w:rPr>
          <w:rFonts w:ascii="Palatino Linotype" w:eastAsiaTheme="minorEastAsia" w:hAnsi="Palatino Linotype" w:cs="Times New Roman"/>
          <w:sz w:val="24"/>
          <w:szCs w:val="24"/>
          <w:lang w:val="en-US"/>
        </w:rPr>
        <w:t xml:space="preserve"> </w:t>
      </w:r>
      <m:oMath>
        <m:r>
          <w:rPr>
            <w:rFonts w:ascii="Cambria Math" w:eastAsiaTheme="minorEastAsia" w:hAnsi="Cambria Math" w:cs="Times New Roman"/>
            <w:sz w:val="24"/>
            <w:szCs w:val="24"/>
            <w:lang w:val="en-US"/>
          </w:rPr>
          <m:t xml:space="preserve">= </m:t>
        </m:r>
      </m:oMath>
      <w:r w:rsidRPr="005B1CCB">
        <w:rPr>
          <w:rFonts w:ascii="Palatino Linotype" w:eastAsiaTheme="minorEastAsia" w:hAnsi="Palatino Linotype" w:cs="Times New Roman"/>
          <w:sz w:val="24"/>
          <w:szCs w:val="24"/>
          <w:lang w:val="en-US"/>
        </w:rPr>
        <w:t xml:space="preserve">number of electrons = </w:t>
      </w:r>
      <m:oMath>
        <m:r>
          <w:rPr>
            <w:rFonts w:ascii="Cambria Math" w:eastAsiaTheme="minorEastAsia" w:hAnsi="Cambria Math" w:cs="Times New Roman"/>
            <w:sz w:val="24"/>
            <w:szCs w:val="24"/>
            <w:lang w:val="en-US"/>
          </w:rPr>
          <m:t>1</m:t>
        </m:r>
      </m:oMath>
      <w:r w:rsidRPr="005B1CCB">
        <w:rPr>
          <w:rFonts w:ascii="Palatino Linotype" w:eastAsiaTheme="minorEastAsia" w:hAnsi="Palatino Linotype" w:cs="Times New Roman"/>
          <w:sz w:val="24"/>
          <w:szCs w:val="24"/>
          <w:lang w:val="en-US"/>
        </w:rPr>
        <w:t xml:space="preserve">, </w:t>
      </w:r>
      <m:oMath>
        <m:r>
          <w:rPr>
            <w:rFonts w:ascii="Cambria Math" w:eastAsiaTheme="minorEastAsia" w:hAnsi="Cambria Math" w:cs="Times New Roman"/>
            <w:sz w:val="24"/>
            <w:szCs w:val="24"/>
            <w:lang w:val="en-US"/>
          </w:rPr>
          <m:t xml:space="preserve">A= </m:t>
        </m:r>
      </m:oMath>
      <w:r w:rsidRPr="005B1CCB">
        <w:rPr>
          <w:rFonts w:ascii="Palatino Linotype" w:eastAsiaTheme="minorEastAsia" w:hAnsi="Palatino Linotype" w:cs="Times New Roman"/>
          <w:sz w:val="24"/>
          <w:szCs w:val="24"/>
          <w:lang w:val="en-US"/>
        </w:rPr>
        <w:t xml:space="preserve">area of electrode = </w:t>
      </w:r>
      <m:oMath>
        <m:r>
          <w:rPr>
            <w:rFonts w:ascii="Cambria Math" w:eastAsiaTheme="minorEastAsia" w:hAnsi="Cambria Math" w:cs="Times New Roman"/>
            <w:sz w:val="24"/>
            <w:szCs w:val="24"/>
            <w:lang w:val="en-US"/>
          </w:rPr>
          <m:t>π*(</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1.6</m:t>
            </m:r>
          </m:num>
          <m:den>
            <m:r>
              <w:rPr>
                <w:rFonts w:ascii="Cambria Math" w:eastAsiaTheme="minorEastAsia" w:hAnsi="Cambria Math" w:cs="Times New Roman"/>
                <w:sz w:val="24"/>
                <w:szCs w:val="24"/>
                <w:lang w:val="en-US"/>
              </w:rPr>
              <m:t>2</m:t>
            </m:r>
          </m:den>
        </m:f>
        <m:r>
          <w:rPr>
            <w:rFonts w:ascii="Cambria Math" w:eastAsiaTheme="minorEastAsia" w:hAnsi="Cambria Math" w:cs="Times New Roman"/>
            <w:sz w:val="24"/>
            <w:szCs w:val="24"/>
            <w:lang w:val="en-US"/>
          </w:rPr>
          <m:t>)^2 mm</m:t>
        </m:r>
      </m:oMath>
      <w:r w:rsidRPr="005B1CCB">
        <w:rPr>
          <w:rFonts w:ascii="Palatino Linotype" w:eastAsiaTheme="minorEastAsia" w:hAnsi="Palatino Linotype" w:cs="Times New Roman"/>
          <w:sz w:val="24"/>
          <w:szCs w:val="24"/>
          <w:lang w:val="en-US"/>
        </w:rPr>
        <w:t xml:space="preserve">, </w:t>
      </w:r>
      <m:oMath>
        <m:r>
          <w:rPr>
            <w:rFonts w:ascii="Cambria Math" w:eastAsiaTheme="minorEastAsia" w:hAnsi="Cambria Math" w:cs="Times New Roman"/>
            <w:sz w:val="24"/>
            <w:szCs w:val="24"/>
            <w:lang w:val="en-US"/>
          </w:rPr>
          <m:t xml:space="preserve">D= </m:t>
        </m:r>
      </m:oMath>
      <w:r w:rsidRPr="005B1CCB">
        <w:rPr>
          <w:rFonts w:ascii="Palatino Linotype" w:eastAsiaTheme="minorEastAsia" w:hAnsi="Palatino Linotype" w:cs="Times New Roman"/>
          <w:sz w:val="24"/>
          <w:szCs w:val="24"/>
          <w:lang w:val="en-US"/>
        </w:rPr>
        <w:t xml:space="preserve">diffusion coefficient, </w:t>
      </w:r>
      <m:oMath>
        <m:r>
          <w:rPr>
            <w:rFonts w:ascii="Cambria Math" w:eastAsiaTheme="minorEastAsia" w:hAnsi="Cambria Math" w:cs="Times New Roman"/>
            <w:sz w:val="24"/>
            <w:szCs w:val="24"/>
            <w:lang w:val="en-US"/>
          </w:rPr>
          <m:t xml:space="preserve">C= </m:t>
        </m:r>
      </m:oMath>
      <w:r w:rsidRPr="005B1CCB">
        <w:rPr>
          <w:rFonts w:ascii="Palatino Linotype" w:eastAsiaTheme="minorEastAsia" w:hAnsi="Palatino Linotype" w:cs="Times New Roman"/>
          <w:sz w:val="24"/>
          <w:szCs w:val="24"/>
          <w:lang w:val="en-US"/>
        </w:rPr>
        <w:t xml:space="preserve">concentration of the characterisation buffer = </w:t>
      </w:r>
      <m:oMath>
        <m:r>
          <w:rPr>
            <w:rFonts w:ascii="Cambria Math" w:eastAsiaTheme="minorEastAsia" w:hAnsi="Cambria Math" w:cs="Times New Roman"/>
            <w:sz w:val="24"/>
            <w:szCs w:val="24"/>
            <w:lang w:val="en-US"/>
          </w:rPr>
          <m:t xml:space="preserve">5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10</m:t>
            </m:r>
          </m:e>
          <m:sup>
            <m:r>
              <w:rPr>
                <w:rFonts w:ascii="Cambria Math" w:eastAsiaTheme="minorEastAsia" w:hAnsi="Cambria Math" w:cs="Times New Roman"/>
                <w:sz w:val="24"/>
                <w:szCs w:val="24"/>
                <w:lang w:val="en-US"/>
              </w:rPr>
              <m:t>-6</m:t>
            </m:r>
          </m:sup>
        </m:sSup>
      </m:oMath>
      <w:r w:rsidRPr="005B1CCB">
        <w:rPr>
          <w:rFonts w:ascii="Palatino Linotype" w:eastAsiaTheme="minorEastAsia" w:hAnsi="Palatino Linotype" w:cs="Times New Roman"/>
          <w:sz w:val="24"/>
          <w:szCs w:val="24"/>
          <w:lang w:val="en-US"/>
        </w:rPr>
        <w:t xml:space="preserve"> molar</w:t>
      </w:r>
    </w:p>
    <w:p w14:paraId="1FE9E3C3" w14:textId="77777777" w:rsidR="000C5F05" w:rsidRPr="005B1CCB" w:rsidRDefault="000C5F05" w:rsidP="000C5F05">
      <w:pPr>
        <w:autoSpaceDE w:val="0"/>
        <w:autoSpaceDN w:val="0"/>
        <w:spacing w:after="0" w:line="360" w:lineRule="auto"/>
        <w:rPr>
          <w:rFonts w:ascii="Palatino Linotype" w:eastAsiaTheme="minorEastAsia" w:hAnsi="Palatino Linotype" w:cs="Times New Roman"/>
          <w:sz w:val="24"/>
          <w:szCs w:val="24"/>
          <w:lang w:val="en-US"/>
        </w:rPr>
      </w:pPr>
      <m:oMath>
        <m:r>
          <w:rPr>
            <w:rFonts w:ascii="Cambria Math" w:eastAsiaTheme="minorEastAsia" w:hAnsi="Cambria Math" w:cs="Times New Roman"/>
            <w:sz w:val="24"/>
            <w:szCs w:val="24"/>
            <w:lang w:val="en-US"/>
          </w:rPr>
          <m:t xml:space="preserve">C= </m:t>
        </m:r>
      </m:oMath>
      <w:r w:rsidRPr="005B1CCB">
        <w:rPr>
          <w:rFonts w:ascii="Palatino Linotype" w:eastAsiaTheme="minorEastAsia" w:hAnsi="Palatino Linotype" w:cs="Times New Roman"/>
          <w:sz w:val="24"/>
          <w:szCs w:val="24"/>
          <w:lang w:val="en-US"/>
        </w:rPr>
        <w:t xml:space="preserve">concentration of the EIS buffer = </w:t>
      </w:r>
      <m:oMath>
        <m:r>
          <w:rPr>
            <w:rFonts w:ascii="Cambria Math" w:eastAsiaTheme="minorEastAsia" w:hAnsi="Cambria Math" w:cs="Times New Roman"/>
            <w:sz w:val="24"/>
            <w:szCs w:val="24"/>
            <w:lang w:val="en-US"/>
          </w:rPr>
          <m:t xml:space="preserve">1×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10</m:t>
            </m:r>
          </m:e>
          <m:sup>
            <m:r>
              <w:rPr>
                <w:rFonts w:ascii="Cambria Math" w:eastAsiaTheme="minorEastAsia" w:hAnsi="Cambria Math" w:cs="Times New Roman"/>
                <w:sz w:val="24"/>
                <w:szCs w:val="24"/>
                <w:lang w:val="en-US"/>
              </w:rPr>
              <m:t>-6</m:t>
            </m:r>
          </m:sup>
        </m:sSup>
      </m:oMath>
      <w:r w:rsidRPr="005B1CCB">
        <w:rPr>
          <w:rFonts w:ascii="Palatino Linotype" w:eastAsiaTheme="minorEastAsia" w:hAnsi="Palatino Linotype" w:cs="Times New Roman"/>
          <w:sz w:val="24"/>
          <w:szCs w:val="24"/>
          <w:lang w:val="en-US"/>
        </w:rPr>
        <w:t xml:space="preserve"> molar, </w:t>
      </w:r>
      <m:oMath>
        <m:sSup>
          <m:sSupPr>
            <m:ctrlPr>
              <w:rPr>
                <w:rFonts w:ascii="Cambria Math" w:eastAsiaTheme="minorEastAsia" w:hAnsi="Cambria Math" w:cs="Times New Roman"/>
                <w:i/>
                <w:sz w:val="24"/>
                <w:szCs w:val="24"/>
                <w:lang w:val="en-US"/>
              </w:rPr>
            </m:ctrlPr>
          </m:sSupPr>
          <m:e>
            <m:r>
              <w:rPr>
                <w:rFonts w:ascii="Cambria Math" w:eastAsia="Times New Roman" w:hAnsi="Cambria Math" w:cs="Times New Roman"/>
                <w:sz w:val="24"/>
                <w:szCs w:val="24"/>
                <w:lang w:val="en-US"/>
              </w:rPr>
              <m:t>ϑ</m:t>
            </m:r>
          </m:e>
          <m:sup>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2</m:t>
                </m:r>
              </m:den>
            </m:f>
          </m:sup>
        </m:sSup>
        <m:r>
          <w:rPr>
            <w:rFonts w:ascii="Cambria Math" w:eastAsiaTheme="minorEastAsia" w:hAnsi="Cambria Math" w:cs="Times New Roman"/>
            <w:sz w:val="24"/>
            <w:szCs w:val="24"/>
            <w:lang w:val="en-US"/>
          </w:rPr>
          <m:t xml:space="preserve"> =</m:t>
        </m:r>
      </m:oMath>
      <w:r w:rsidRPr="005B1CCB">
        <w:rPr>
          <w:rFonts w:ascii="Palatino Linotype" w:eastAsiaTheme="minorEastAsia" w:hAnsi="Palatino Linotype" w:cs="Times New Roman"/>
          <w:sz w:val="24"/>
          <w:szCs w:val="24"/>
          <w:lang w:val="en-US"/>
        </w:rPr>
        <w:t xml:space="preserve"> square root of the sweep rate, sweep rate given; </w:t>
      </w:r>
      <m:oMath>
        <m:r>
          <w:rPr>
            <w:rFonts w:ascii="Cambria Math" w:eastAsiaTheme="minorEastAsia" w:hAnsi="Cambria Math" w:cs="Times New Roman"/>
            <w:sz w:val="24"/>
            <w:szCs w:val="24"/>
            <w:lang w:val="en-US"/>
          </w:rPr>
          <m:t>0.01, 0.025, 0.05, 0.1</m:t>
        </m:r>
      </m:oMath>
      <w:r w:rsidRPr="005B1CCB">
        <w:rPr>
          <w:rFonts w:ascii="Palatino Linotype" w:eastAsiaTheme="minorEastAsia" w:hAnsi="Palatino Linotype" w:cs="Times New Roman"/>
          <w:sz w:val="24"/>
          <w:szCs w:val="24"/>
          <w:lang w:val="en-US"/>
        </w:rPr>
        <w:t xml:space="preserve"> V/s</w:t>
      </w:r>
    </w:p>
    <w:p w14:paraId="6AD3602B" w14:textId="77777777" w:rsidR="000C5F05" w:rsidRPr="005B1CCB" w:rsidRDefault="000C5F05" w:rsidP="000C5F05">
      <w:pPr>
        <w:autoSpaceDE w:val="0"/>
        <w:autoSpaceDN w:val="0"/>
        <w:spacing w:after="0" w:line="360" w:lineRule="auto"/>
        <w:ind w:left="720"/>
        <w:rPr>
          <w:rFonts w:ascii="Palatino Linotype" w:eastAsiaTheme="minorEastAsia" w:hAnsi="Palatino Linotype" w:cs="Times New Roman"/>
          <w:sz w:val="24"/>
          <w:szCs w:val="24"/>
          <w:lang w:val="en-US"/>
        </w:rPr>
      </w:pPr>
      <m:oMathPara>
        <m:oMathParaPr>
          <m:jc m:val="center"/>
        </m:oMathParaPr>
        <m:oMath>
          <m:r>
            <w:rPr>
              <w:rFonts w:ascii="Cambria Math" w:eastAsiaTheme="minorEastAsia" w:hAnsi="Cambria Math" w:cs="Times New Roman"/>
              <w:sz w:val="24"/>
              <w:szCs w:val="24"/>
              <w:lang w:val="en-US"/>
            </w:rPr>
            <m:t>D=√(</m:t>
          </m:r>
          <m:f>
            <m:fPr>
              <m:ctrlPr>
                <w:rPr>
                  <w:rFonts w:ascii="Cambria Math" w:eastAsiaTheme="minorEastAsia" w:hAnsi="Cambria Math" w:cs="Times New Roman"/>
                  <w:i/>
                  <w:sz w:val="24"/>
                  <w:szCs w:val="24"/>
                  <w:lang w:val="en-US"/>
                </w:rPr>
              </m:ctrlPr>
            </m:fPr>
            <m:num>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I</m:t>
                  </m:r>
                </m:e>
                <m:sub>
                  <m:r>
                    <w:rPr>
                      <w:rFonts w:ascii="Cambria Math" w:eastAsiaTheme="minorEastAsia" w:hAnsi="Cambria Math" w:cs="Times New Roman"/>
                      <w:sz w:val="24"/>
                      <w:szCs w:val="24"/>
                      <w:lang w:val="en-US"/>
                    </w:rPr>
                    <m:t>p</m:t>
                  </m:r>
                </m:sub>
              </m:sSub>
            </m:num>
            <m:den>
              <m:r>
                <w:rPr>
                  <w:rFonts w:ascii="Cambria Math" w:eastAsiaTheme="minorEastAsia" w:hAnsi="Cambria Math" w:cs="Times New Roman"/>
                  <w:sz w:val="24"/>
                  <w:szCs w:val="24"/>
                  <w:lang w:val="en-US"/>
                </w:rPr>
                <m:t xml:space="preserve">268.6 × </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10</m:t>
                  </m:r>
                </m:e>
                <m:sup>
                  <m:r>
                    <w:rPr>
                      <w:rFonts w:ascii="Cambria Math" w:eastAsiaTheme="minorEastAsia" w:hAnsi="Cambria Math" w:cs="Times New Roman"/>
                      <w:sz w:val="24"/>
                      <w:szCs w:val="24"/>
                      <w:lang w:val="en-US"/>
                    </w:rPr>
                    <m:t>3</m:t>
                  </m:r>
                </m:sup>
              </m:s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n</m:t>
                  </m:r>
                </m:e>
                <m:sup>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3</m:t>
                      </m:r>
                    </m:num>
                    <m:den>
                      <m:r>
                        <w:rPr>
                          <w:rFonts w:ascii="Cambria Math" w:eastAsiaTheme="minorEastAsia" w:hAnsi="Cambria Math" w:cs="Times New Roman"/>
                          <w:sz w:val="24"/>
                          <w:szCs w:val="24"/>
                          <w:lang w:val="en-US"/>
                        </w:rPr>
                        <m:t>2</m:t>
                      </m:r>
                    </m:den>
                  </m:f>
                </m:sup>
              </m:sSup>
              <m:r>
                <w:rPr>
                  <w:rFonts w:ascii="Cambria Math" w:eastAsiaTheme="minorEastAsia" w:hAnsi="Cambria Math" w:cs="Times New Roman"/>
                  <w:sz w:val="24"/>
                  <w:szCs w:val="24"/>
                  <w:lang w:val="en-US"/>
                </w:rPr>
                <m:t xml:space="preserve"> ×A ×C × </m:t>
              </m:r>
              <m:sSup>
                <m:sSupPr>
                  <m:ctrlPr>
                    <w:rPr>
                      <w:rFonts w:ascii="Cambria Math" w:eastAsiaTheme="minorEastAsia" w:hAnsi="Cambria Math" w:cs="Times New Roman"/>
                      <w:i/>
                      <w:sz w:val="24"/>
                      <w:szCs w:val="24"/>
                      <w:lang w:val="en-US"/>
                    </w:rPr>
                  </m:ctrlPr>
                </m:sSupPr>
                <m:e>
                  <m:r>
                    <w:rPr>
                      <w:rFonts w:ascii="Cambria Math" w:eastAsia="Times New Roman" w:hAnsi="Cambria Math" w:cs="Times New Roman"/>
                      <w:sz w:val="24"/>
                      <w:szCs w:val="24"/>
                      <w:lang w:val="en-US"/>
                    </w:rPr>
                    <m:t>ϑ</m:t>
                  </m:r>
                </m:e>
                <m:sup>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2</m:t>
                      </m:r>
                    </m:den>
                  </m:f>
                </m:sup>
              </m:sSup>
            </m:den>
          </m:f>
          <m:r>
            <w:rPr>
              <w:rFonts w:ascii="Cambria Math" w:eastAsiaTheme="minorEastAsia" w:hAnsi="Cambria Math" w:cs="Times New Roman"/>
              <w:sz w:val="24"/>
              <w:szCs w:val="24"/>
              <w:lang w:val="en-US"/>
            </w:rPr>
            <m:t>)</m:t>
          </m:r>
        </m:oMath>
      </m:oMathPara>
    </w:p>
    <w:p w14:paraId="4A1D3187" w14:textId="77777777" w:rsidR="000C5F05" w:rsidRPr="005B1CCB" w:rsidRDefault="000C5F05" w:rsidP="000C5F05">
      <w:pPr>
        <w:spacing w:line="360" w:lineRule="auto"/>
        <w:rPr>
          <w:rFonts w:ascii="Palatino Linotype" w:hAnsi="Palatino Linotype" w:cs="Times New Roman"/>
        </w:rPr>
      </w:pPr>
    </w:p>
    <w:p w14:paraId="2B5B781B" w14:textId="77777777" w:rsidR="00380E2B" w:rsidRPr="005B1CCB" w:rsidRDefault="00380E2B" w:rsidP="000C5F05">
      <w:pPr>
        <w:spacing w:line="360" w:lineRule="auto"/>
        <w:rPr>
          <w:rFonts w:ascii="Palatino Linotype" w:hAnsi="Palatino Linotype" w:cs="Times New Roman"/>
        </w:rPr>
      </w:pPr>
    </w:p>
    <w:p w14:paraId="551A3F18" w14:textId="77777777" w:rsidR="00BE0B3B" w:rsidRPr="005B1CCB" w:rsidRDefault="00BE0B3B" w:rsidP="00BE0B3B">
      <w:pPr>
        <w:pStyle w:val="Heading2"/>
      </w:pPr>
      <w:bookmarkStart w:id="56" w:name="_Toc84528062"/>
      <w:r w:rsidRPr="005B1CCB">
        <w:t>Project aim</w:t>
      </w:r>
      <w:bookmarkEnd w:id="56"/>
    </w:p>
    <w:p w14:paraId="6AF36EF5" w14:textId="425B36CD" w:rsidR="00BE0B3B" w:rsidRPr="005B1CCB" w:rsidRDefault="00BE0B3B" w:rsidP="00BE0B3B">
      <w:pPr>
        <w:spacing w:line="360" w:lineRule="auto"/>
        <w:jc w:val="both"/>
        <w:rPr>
          <w:rFonts w:ascii="Palatino Linotype" w:hAnsi="Palatino Linotype"/>
          <w:snapToGrid w:val="0"/>
          <w:sz w:val="24"/>
          <w:szCs w:val="24"/>
        </w:rPr>
      </w:pPr>
      <w:r w:rsidRPr="005B1CCB">
        <w:rPr>
          <w:rFonts w:ascii="Palatino Linotype" w:hAnsi="Palatino Linotype"/>
          <w:snapToGrid w:val="0"/>
          <w:sz w:val="24"/>
          <w:szCs w:val="24"/>
        </w:rPr>
        <w:t xml:space="preserve">   Developing techniques to measure ctDNA will assist with </w:t>
      </w:r>
      <w:r>
        <w:rPr>
          <w:rFonts w:ascii="Palatino Linotype" w:hAnsi="Palatino Linotype"/>
          <w:snapToGrid w:val="0"/>
          <w:sz w:val="24"/>
          <w:szCs w:val="24"/>
        </w:rPr>
        <w:t>less</w:t>
      </w:r>
      <w:r w:rsidRPr="005B1CCB">
        <w:rPr>
          <w:rFonts w:ascii="Palatino Linotype" w:hAnsi="Palatino Linotype"/>
          <w:snapToGrid w:val="0"/>
          <w:sz w:val="24"/>
          <w:szCs w:val="24"/>
        </w:rPr>
        <w:t>-invasive diagnosis and prognostic monitoring of patients and will lead to earlier diagnosis, identification of optimal treatments, effective monitoring of tumour response and overall better outcomes for patients whilst reducing the need to perform biopsies.</w:t>
      </w:r>
      <w:r w:rsidRPr="005B1CCB">
        <w:t xml:space="preserve"> </w:t>
      </w:r>
      <w:r w:rsidRPr="005B1CCB">
        <w:rPr>
          <w:rFonts w:ascii="Palatino Linotype" w:hAnsi="Palatino Linotype"/>
          <w:snapToGrid w:val="0"/>
          <w:sz w:val="24"/>
          <w:szCs w:val="24"/>
        </w:rPr>
        <w:t xml:space="preserve">This study will focus on the measurement and analysis of ctDNA as this is more abundant in peripheral blood than CTCs.  Due to the small fraction of ctDNA masked in huge background levels of wild-type </w:t>
      </w:r>
      <w:r w:rsidR="00F6783B">
        <w:rPr>
          <w:rFonts w:ascii="Palatino Linotype" w:hAnsi="Palatino Linotype"/>
          <w:snapToGrid w:val="0"/>
          <w:sz w:val="24"/>
          <w:szCs w:val="24"/>
        </w:rPr>
        <w:t>cf</w:t>
      </w:r>
      <w:r w:rsidRPr="005B1CCB">
        <w:rPr>
          <w:rFonts w:ascii="Palatino Linotype" w:hAnsi="Palatino Linotype"/>
          <w:snapToGrid w:val="0"/>
          <w:sz w:val="24"/>
          <w:szCs w:val="24"/>
        </w:rPr>
        <w:t xml:space="preserve">DNA, highly sensitive amplification techniques such as polymerase chain reaction (PCR) will need to be employed to achieve discrimination.   </w:t>
      </w:r>
    </w:p>
    <w:p w14:paraId="17F494C8" w14:textId="55470443" w:rsidR="00BE0B3B" w:rsidRPr="005B1CCB" w:rsidRDefault="00BE0B3B" w:rsidP="00BE0B3B">
      <w:pPr>
        <w:spacing w:line="360" w:lineRule="auto"/>
        <w:jc w:val="both"/>
        <w:rPr>
          <w:rFonts w:ascii="Palatino Linotype" w:hAnsi="Palatino Linotype"/>
          <w:snapToGrid w:val="0"/>
          <w:sz w:val="24"/>
          <w:szCs w:val="24"/>
        </w:rPr>
      </w:pPr>
      <w:r w:rsidRPr="005B1CCB">
        <w:rPr>
          <w:rFonts w:ascii="Palatino Linotype" w:hAnsi="Palatino Linotype"/>
          <w:snapToGrid w:val="0"/>
          <w:sz w:val="24"/>
          <w:szCs w:val="24"/>
        </w:rPr>
        <w:t xml:space="preserve">   Electrochemical DNA (eDNA) biosensors represent an exciting candidate technology for the accurate and rapid diagnosis of numerous medical conditions with fM/aM sensitivities reported in the literature.  Alongside reaching the necessary analytical sensitivity, one issue which has slowed the progress of eDNA sensor development is biofouling of the electrode surface whereby proteins and non-specific DNA present in human blood adhere to the sensor surface and confound the true analytical signal.  This </w:t>
      </w:r>
      <w:r w:rsidR="00251C3A" w:rsidRPr="005B1CCB">
        <w:rPr>
          <w:rFonts w:ascii="Palatino Linotype" w:hAnsi="Palatino Linotype"/>
          <w:snapToGrid w:val="0"/>
          <w:sz w:val="24"/>
          <w:szCs w:val="24"/>
        </w:rPr>
        <w:t xml:space="preserve">project </w:t>
      </w:r>
      <w:r w:rsidR="00251C3A">
        <w:rPr>
          <w:rFonts w:ascii="Palatino Linotype" w:hAnsi="Palatino Linotype"/>
          <w:snapToGrid w:val="0"/>
          <w:sz w:val="24"/>
          <w:szCs w:val="24"/>
        </w:rPr>
        <w:t>developed</w:t>
      </w:r>
      <w:r w:rsidRPr="005B1CCB">
        <w:rPr>
          <w:rFonts w:ascii="Palatino Linotype" w:hAnsi="Palatino Linotype"/>
          <w:snapToGrid w:val="0"/>
          <w:sz w:val="24"/>
          <w:szCs w:val="24"/>
        </w:rPr>
        <w:t xml:space="preserve"> a</w:t>
      </w:r>
      <w:r w:rsidR="00F23828">
        <w:rPr>
          <w:rFonts w:ascii="Palatino Linotype" w:hAnsi="Palatino Linotype"/>
          <w:snapToGrid w:val="0"/>
          <w:sz w:val="24"/>
          <w:szCs w:val="24"/>
        </w:rPr>
        <w:t xml:space="preserve"> practical, repeatable and reproducible</w:t>
      </w:r>
      <w:r w:rsidRPr="005B1CCB">
        <w:rPr>
          <w:rFonts w:ascii="Palatino Linotype" w:hAnsi="Palatino Linotype"/>
          <w:snapToGrid w:val="0"/>
          <w:sz w:val="24"/>
          <w:szCs w:val="24"/>
        </w:rPr>
        <w:t xml:space="preserve"> electrochemical sensor for ctDNA, utilising a surface chemistry and electrode material specifically designed to improve target binding and reduce non-specific binding of interfering proteins and nucleic acids for electrochemical measurements in complex sample types such as blood, plasma and serum.</w:t>
      </w:r>
    </w:p>
    <w:p w14:paraId="5B6A9808" w14:textId="77777777" w:rsidR="00FA3B1C" w:rsidRPr="005B1CCB" w:rsidRDefault="00FA3B1C" w:rsidP="00BE0B3B">
      <w:pPr>
        <w:spacing w:line="360" w:lineRule="auto"/>
        <w:jc w:val="both"/>
        <w:rPr>
          <w:rFonts w:ascii="Palatino Linotype" w:hAnsi="Palatino Linotype"/>
          <w:snapToGrid w:val="0"/>
          <w:sz w:val="24"/>
          <w:szCs w:val="24"/>
        </w:rPr>
      </w:pPr>
    </w:p>
    <w:p w14:paraId="365A795C" w14:textId="77777777" w:rsidR="00BE0B3B" w:rsidRPr="005B1CCB" w:rsidRDefault="00BE0B3B" w:rsidP="00BE0B3B">
      <w:pPr>
        <w:pStyle w:val="Heading2"/>
      </w:pPr>
      <w:bookmarkStart w:id="57" w:name="_Toc84528063"/>
      <w:r w:rsidRPr="005B1CCB">
        <w:t>Project objectives</w:t>
      </w:r>
      <w:bookmarkEnd w:id="57"/>
    </w:p>
    <w:p w14:paraId="47EE97E3"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Characterisation of different sensor chips</w:t>
      </w:r>
    </w:p>
    <w:p w14:paraId="2745B4A9"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Development of sensor detection platform</w:t>
      </w:r>
    </w:p>
    <w:p w14:paraId="38307F07"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Sequence selection, genetic probe design and assay development</w:t>
      </w:r>
    </w:p>
    <w:p w14:paraId="3785FBE5"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Development of an integrated DNA amplification reaction</w:t>
      </w:r>
    </w:p>
    <w:p w14:paraId="2A1D5D8E"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Design of optimal amplification primers</w:t>
      </w:r>
    </w:p>
    <w:p w14:paraId="439AD080"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ctDNA detection in synthetic, representative clinical and real clinical samples</w:t>
      </w:r>
    </w:p>
    <w:p w14:paraId="253D9605"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Selectivity and sensitivity monitoring</w:t>
      </w:r>
    </w:p>
    <w:p w14:paraId="46B0F749"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Sensor optimisation</w:t>
      </w:r>
    </w:p>
    <w:p w14:paraId="0E0B9193" w14:textId="77777777" w:rsidR="00BE0B3B" w:rsidRPr="005B1CCB" w:rsidRDefault="00BE0B3B" w:rsidP="00BE0B3B">
      <w:pPr>
        <w:pStyle w:val="ListParagraph"/>
        <w:numPr>
          <w:ilvl w:val="0"/>
          <w:numId w:val="15"/>
        </w:numPr>
        <w:spacing w:line="360" w:lineRule="auto"/>
        <w:rPr>
          <w:rFonts w:ascii="Palatino Linotype" w:hAnsi="Palatino Linotype"/>
          <w:sz w:val="24"/>
          <w:szCs w:val="24"/>
        </w:rPr>
      </w:pPr>
      <w:r w:rsidRPr="005B1CCB">
        <w:rPr>
          <w:rFonts w:ascii="Palatino Linotype" w:hAnsi="Palatino Linotype"/>
          <w:sz w:val="24"/>
          <w:szCs w:val="24"/>
        </w:rPr>
        <w:t xml:space="preserve">Clinical validation and actualisation  </w:t>
      </w:r>
    </w:p>
    <w:p w14:paraId="6CDC7703" w14:textId="77777777" w:rsidR="00BE0B3B" w:rsidRPr="005B1CCB" w:rsidRDefault="00BE0B3B" w:rsidP="00BE0B3B">
      <w:pPr>
        <w:pStyle w:val="ListParagraph"/>
        <w:spacing w:line="360" w:lineRule="auto"/>
        <w:rPr>
          <w:rFonts w:ascii="Palatino Linotype" w:hAnsi="Palatino Linotype"/>
          <w:sz w:val="24"/>
          <w:szCs w:val="24"/>
        </w:rPr>
      </w:pPr>
    </w:p>
    <w:p w14:paraId="3629BE85" w14:textId="77777777" w:rsidR="00BE0B3B" w:rsidRPr="005B1CCB" w:rsidRDefault="00BE0B3B" w:rsidP="00BE0B3B">
      <w:pPr>
        <w:pStyle w:val="Heading2"/>
      </w:pPr>
      <w:bookmarkStart w:id="58" w:name="_Toc84528064"/>
      <w:r w:rsidRPr="005B1CCB">
        <w:t>Project justification</w:t>
      </w:r>
      <w:bookmarkEnd w:id="58"/>
    </w:p>
    <w:p w14:paraId="7A7ECA55" w14:textId="77777777" w:rsidR="00BE0B3B" w:rsidRPr="005B1CCB" w:rsidRDefault="00BE0B3B" w:rsidP="00BE0B3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The necessity for quickly and easily obtaining biomarker samples that will serve as a less-invasive alternative to surgical biopsies has led to the term ‘liquid biopsy’.  Although some of the current ctDNA detection techniques are sensitive and relatively inexpensive, they can only screen for known variants, their input and speed are somewhat limited and they are restricted in use to centralised lab by highly skilled workers. The precision of highly sensitive bio-molecular detection has resulted in a desire termed ’point of care diagnostics’ that permits patients and health care providers to collect actionable medical information conveniently, quickly and in a distributed manner, i.e. throughout the entire care pathway rather than just by centralised labs. Point of care diagnostics are ideal for</w:t>
      </w:r>
    </w:p>
    <w:p w14:paraId="6D250CCC" w14:textId="77777777" w:rsidR="00BE0B3B" w:rsidRPr="005B1CCB" w:rsidRDefault="00BE0B3B" w:rsidP="00BE0B3B">
      <w:pPr>
        <w:pStyle w:val="ListParagraph"/>
        <w:numPr>
          <w:ilvl w:val="0"/>
          <w:numId w:val="7"/>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Emergency medicine (critical care)</w:t>
      </w:r>
    </w:p>
    <w:p w14:paraId="4168D9EE" w14:textId="77777777" w:rsidR="00BE0B3B" w:rsidRPr="005B1CCB" w:rsidRDefault="00BE0B3B" w:rsidP="00BE0B3B">
      <w:pPr>
        <w:pStyle w:val="ListParagraph"/>
        <w:numPr>
          <w:ilvl w:val="0"/>
          <w:numId w:val="7"/>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Surgery</w:t>
      </w:r>
    </w:p>
    <w:p w14:paraId="6E7D67FC" w14:textId="77777777" w:rsidR="00BE0B3B" w:rsidRPr="005B1CCB" w:rsidRDefault="00BE0B3B" w:rsidP="00BE0B3B">
      <w:pPr>
        <w:pStyle w:val="ListParagraph"/>
        <w:numPr>
          <w:ilvl w:val="0"/>
          <w:numId w:val="7"/>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Primary care</w:t>
      </w:r>
    </w:p>
    <w:p w14:paraId="5C0B174C" w14:textId="19C4A549" w:rsidR="00BE0B3B" w:rsidRDefault="00BE0B3B" w:rsidP="00BE0B3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Early cancer detection is crucial for survival rates in many cancers and most existing image and biopsy diagnostics only work when the tumour is visible while existing therapies work better when used earlier in disease course. This project </w:t>
      </w:r>
      <w:r w:rsidR="00293210">
        <w:rPr>
          <w:rFonts w:ascii="Palatino Linotype" w:hAnsi="Palatino Linotype" w:cs="Times New Roman"/>
          <w:sz w:val="24"/>
          <w:szCs w:val="24"/>
        </w:rPr>
        <w:t>aimed</w:t>
      </w:r>
      <w:r w:rsidRPr="005B1CCB">
        <w:rPr>
          <w:rFonts w:ascii="Palatino Linotype" w:hAnsi="Palatino Linotype" w:cs="Times New Roman"/>
          <w:sz w:val="24"/>
          <w:szCs w:val="24"/>
        </w:rPr>
        <w:t xml:space="preserve"> to develop a point of care device that will successfully screen for key cancers from clinical samples to enable early diagnosis and efficient treatment monitoring. </w:t>
      </w:r>
    </w:p>
    <w:p w14:paraId="5A51DACC" w14:textId="77777777" w:rsidR="00FA3B1C" w:rsidRPr="005B1CCB" w:rsidRDefault="00FA3B1C" w:rsidP="00BE0B3B">
      <w:pPr>
        <w:spacing w:line="360" w:lineRule="auto"/>
        <w:jc w:val="both"/>
        <w:rPr>
          <w:rFonts w:ascii="Palatino Linotype" w:hAnsi="Palatino Linotype" w:cs="Times New Roman"/>
          <w:sz w:val="24"/>
          <w:szCs w:val="24"/>
        </w:rPr>
      </w:pPr>
    </w:p>
    <w:p w14:paraId="5D071A55" w14:textId="6AFA2F01" w:rsidR="002F410F" w:rsidRDefault="002F410F" w:rsidP="002F410F">
      <w:pPr>
        <w:tabs>
          <w:tab w:val="left" w:pos="5954"/>
        </w:tabs>
        <w:spacing w:line="360" w:lineRule="auto"/>
        <w:rPr>
          <w:rFonts w:ascii="Palatino Linotype" w:hAnsi="Palatino Linotype" w:cs="Times New Roman"/>
        </w:rPr>
      </w:pPr>
    </w:p>
    <w:p w14:paraId="1AEA1F58" w14:textId="22C12EB0" w:rsidR="00FA3B1C" w:rsidRDefault="00FA3B1C" w:rsidP="002F410F">
      <w:pPr>
        <w:tabs>
          <w:tab w:val="left" w:pos="5954"/>
        </w:tabs>
        <w:spacing w:line="360" w:lineRule="auto"/>
        <w:rPr>
          <w:rFonts w:ascii="Palatino Linotype" w:hAnsi="Palatino Linotype" w:cs="Times New Roman"/>
        </w:rPr>
      </w:pPr>
    </w:p>
    <w:p w14:paraId="6828E6DC" w14:textId="46D91A5C" w:rsidR="00FA3B1C" w:rsidRDefault="00FA3B1C" w:rsidP="002F410F">
      <w:pPr>
        <w:tabs>
          <w:tab w:val="left" w:pos="5954"/>
        </w:tabs>
        <w:spacing w:line="360" w:lineRule="auto"/>
        <w:rPr>
          <w:rFonts w:ascii="Palatino Linotype" w:hAnsi="Palatino Linotype" w:cs="Times New Roman"/>
        </w:rPr>
      </w:pPr>
    </w:p>
    <w:p w14:paraId="11D50441" w14:textId="6580DFE1" w:rsidR="00FA3B1C" w:rsidRDefault="00FA3B1C" w:rsidP="002F410F">
      <w:pPr>
        <w:tabs>
          <w:tab w:val="left" w:pos="5954"/>
        </w:tabs>
        <w:spacing w:line="360" w:lineRule="auto"/>
        <w:rPr>
          <w:rFonts w:ascii="Palatino Linotype" w:hAnsi="Palatino Linotype" w:cs="Times New Roman"/>
        </w:rPr>
      </w:pPr>
    </w:p>
    <w:p w14:paraId="1C19A6A3" w14:textId="5F94435B" w:rsidR="00FA3B1C" w:rsidRDefault="00FA3B1C" w:rsidP="002F410F">
      <w:pPr>
        <w:tabs>
          <w:tab w:val="left" w:pos="5954"/>
        </w:tabs>
        <w:spacing w:line="360" w:lineRule="auto"/>
        <w:rPr>
          <w:rFonts w:ascii="Palatino Linotype" w:hAnsi="Palatino Linotype" w:cs="Times New Roman"/>
        </w:rPr>
      </w:pPr>
    </w:p>
    <w:p w14:paraId="55E8E774" w14:textId="34A4D404" w:rsidR="00FA3B1C" w:rsidRDefault="00FA3B1C" w:rsidP="002F410F">
      <w:pPr>
        <w:tabs>
          <w:tab w:val="left" w:pos="5954"/>
        </w:tabs>
        <w:spacing w:line="360" w:lineRule="auto"/>
        <w:rPr>
          <w:rFonts w:ascii="Palatino Linotype" w:hAnsi="Palatino Linotype" w:cs="Times New Roman"/>
        </w:rPr>
      </w:pPr>
    </w:p>
    <w:p w14:paraId="32666AC8" w14:textId="0F68D635" w:rsidR="00FA3B1C" w:rsidRDefault="00FA3B1C" w:rsidP="002F410F">
      <w:pPr>
        <w:tabs>
          <w:tab w:val="left" w:pos="5954"/>
        </w:tabs>
        <w:spacing w:line="360" w:lineRule="auto"/>
        <w:rPr>
          <w:rFonts w:ascii="Palatino Linotype" w:hAnsi="Palatino Linotype" w:cs="Times New Roman"/>
        </w:rPr>
      </w:pPr>
    </w:p>
    <w:p w14:paraId="43EE614E" w14:textId="4C6E4D66" w:rsidR="00FA3B1C" w:rsidRDefault="00FA3B1C" w:rsidP="002F410F">
      <w:pPr>
        <w:tabs>
          <w:tab w:val="left" w:pos="5954"/>
        </w:tabs>
        <w:spacing w:line="360" w:lineRule="auto"/>
        <w:rPr>
          <w:rFonts w:ascii="Palatino Linotype" w:hAnsi="Palatino Linotype" w:cs="Times New Roman"/>
        </w:rPr>
      </w:pPr>
    </w:p>
    <w:p w14:paraId="3E9C2A5B" w14:textId="5862D036" w:rsidR="00FA3B1C" w:rsidRDefault="00FA3B1C" w:rsidP="002F410F">
      <w:pPr>
        <w:tabs>
          <w:tab w:val="left" w:pos="5954"/>
        </w:tabs>
        <w:spacing w:line="360" w:lineRule="auto"/>
        <w:rPr>
          <w:rFonts w:ascii="Palatino Linotype" w:hAnsi="Palatino Linotype" w:cs="Times New Roman"/>
        </w:rPr>
      </w:pPr>
    </w:p>
    <w:p w14:paraId="61DA9FA7" w14:textId="1B2BA30F" w:rsidR="00FA3B1C" w:rsidRDefault="00FA3B1C" w:rsidP="002F410F">
      <w:pPr>
        <w:tabs>
          <w:tab w:val="left" w:pos="5954"/>
        </w:tabs>
        <w:spacing w:line="360" w:lineRule="auto"/>
        <w:rPr>
          <w:rFonts w:ascii="Palatino Linotype" w:hAnsi="Palatino Linotype" w:cs="Times New Roman"/>
        </w:rPr>
      </w:pPr>
    </w:p>
    <w:p w14:paraId="741B44AC" w14:textId="173BED7D" w:rsidR="00FA3B1C" w:rsidRDefault="00FA3B1C" w:rsidP="002F410F">
      <w:pPr>
        <w:tabs>
          <w:tab w:val="left" w:pos="5954"/>
        </w:tabs>
        <w:spacing w:line="360" w:lineRule="auto"/>
        <w:rPr>
          <w:rFonts w:ascii="Palatino Linotype" w:hAnsi="Palatino Linotype" w:cs="Times New Roman"/>
        </w:rPr>
      </w:pPr>
    </w:p>
    <w:p w14:paraId="7112A4CE" w14:textId="22DD2961" w:rsidR="00FA3B1C" w:rsidRDefault="00FA3B1C" w:rsidP="002F410F">
      <w:pPr>
        <w:tabs>
          <w:tab w:val="left" w:pos="5954"/>
        </w:tabs>
        <w:spacing w:line="360" w:lineRule="auto"/>
        <w:rPr>
          <w:rFonts w:ascii="Palatino Linotype" w:hAnsi="Palatino Linotype" w:cs="Times New Roman"/>
        </w:rPr>
      </w:pPr>
    </w:p>
    <w:p w14:paraId="19893054" w14:textId="5927F3B6" w:rsidR="00FA3B1C" w:rsidRDefault="00FA3B1C" w:rsidP="002F410F">
      <w:pPr>
        <w:tabs>
          <w:tab w:val="left" w:pos="5954"/>
        </w:tabs>
        <w:spacing w:line="360" w:lineRule="auto"/>
        <w:rPr>
          <w:rFonts w:ascii="Palatino Linotype" w:hAnsi="Palatino Linotype" w:cs="Times New Roman"/>
        </w:rPr>
      </w:pPr>
    </w:p>
    <w:p w14:paraId="6CBD830D" w14:textId="1B0B024C" w:rsidR="00FA3B1C" w:rsidRDefault="00FA3B1C" w:rsidP="002F410F">
      <w:pPr>
        <w:tabs>
          <w:tab w:val="left" w:pos="5954"/>
        </w:tabs>
        <w:spacing w:line="360" w:lineRule="auto"/>
        <w:rPr>
          <w:rFonts w:ascii="Palatino Linotype" w:hAnsi="Palatino Linotype" w:cs="Times New Roman"/>
        </w:rPr>
      </w:pPr>
    </w:p>
    <w:p w14:paraId="1063D4FC" w14:textId="2C1BCB93" w:rsidR="00FA3B1C" w:rsidRDefault="00FA3B1C" w:rsidP="002F410F">
      <w:pPr>
        <w:tabs>
          <w:tab w:val="left" w:pos="5954"/>
        </w:tabs>
        <w:spacing w:line="360" w:lineRule="auto"/>
        <w:rPr>
          <w:rFonts w:ascii="Palatino Linotype" w:hAnsi="Palatino Linotype" w:cs="Times New Roman"/>
        </w:rPr>
      </w:pPr>
    </w:p>
    <w:p w14:paraId="415D9AD9" w14:textId="4A4A6A9B" w:rsidR="00FA3B1C" w:rsidRDefault="00FA3B1C" w:rsidP="002F410F">
      <w:pPr>
        <w:tabs>
          <w:tab w:val="left" w:pos="5954"/>
        </w:tabs>
        <w:spacing w:line="360" w:lineRule="auto"/>
        <w:rPr>
          <w:rFonts w:ascii="Palatino Linotype" w:hAnsi="Palatino Linotype" w:cs="Times New Roman"/>
        </w:rPr>
      </w:pPr>
    </w:p>
    <w:p w14:paraId="23E89972" w14:textId="5975A343" w:rsidR="008858EE" w:rsidRDefault="008858EE" w:rsidP="002F410F">
      <w:pPr>
        <w:tabs>
          <w:tab w:val="left" w:pos="5954"/>
        </w:tabs>
        <w:spacing w:line="360" w:lineRule="auto"/>
        <w:rPr>
          <w:rFonts w:ascii="Palatino Linotype" w:hAnsi="Palatino Linotype" w:cs="Times New Roman"/>
        </w:rPr>
      </w:pPr>
    </w:p>
    <w:p w14:paraId="110531F6" w14:textId="220BF124" w:rsidR="008858EE" w:rsidRDefault="008858EE" w:rsidP="002F410F">
      <w:pPr>
        <w:tabs>
          <w:tab w:val="left" w:pos="5954"/>
        </w:tabs>
        <w:spacing w:line="360" w:lineRule="auto"/>
        <w:rPr>
          <w:rFonts w:ascii="Palatino Linotype" w:hAnsi="Palatino Linotype" w:cs="Times New Roman"/>
        </w:rPr>
      </w:pPr>
    </w:p>
    <w:p w14:paraId="64816ED6" w14:textId="77777777" w:rsidR="008858EE" w:rsidRPr="005B1CCB" w:rsidRDefault="008858EE" w:rsidP="002F410F">
      <w:pPr>
        <w:tabs>
          <w:tab w:val="left" w:pos="5954"/>
        </w:tabs>
        <w:spacing w:line="360" w:lineRule="auto"/>
        <w:rPr>
          <w:rFonts w:ascii="Palatino Linotype" w:hAnsi="Palatino Linotype" w:cs="Times New Roman"/>
        </w:rPr>
      </w:pPr>
    </w:p>
    <w:p w14:paraId="6F1B703C" w14:textId="0BA8D21B" w:rsidR="00AC59DE" w:rsidRPr="005B1CCB" w:rsidRDefault="00E06DAF" w:rsidP="00C955F5">
      <w:pPr>
        <w:pStyle w:val="Heading1"/>
        <w:jc w:val="center"/>
      </w:pPr>
      <w:bookmarkStart w:id="59" w:name="_Toc84528065"/>
      <w:r w:rsidRPr="005B1CCB">
        <w:t>- EXPERIMENTAL PROCEDURE</w:t>
      </w:r>
      <w:bookmarkEnd w:id="59"/>
    </w:p>
    <w:p w14:paraId="0AADA922" w14:textId="77777777" w:rsidR="005F5DF3" w:rsidRPr="005B1CCB" w:rsidRDefault="005F5DF3" w:rsidP="005F5DF3"/>
    <w:p w14:paraId="433E303A" w14:textId="77777777" w:rsidR="00AC59DE" w:rsidRPr="005B1CCB" w:rsidRDefault="00AC59DE" w:rsidP="00BF381B">
      <w:pPr>
        <w:pStyle w:val="Heading2"/>
      </w:pPr>
      <w:bookmarkStart w:id="60" w:name="_Toc84528066"/>
      <w:r w:rsidRPr="005B1CCB">
        <w:t>Materials</w:t>
      </w:r>
      <w:bookmarkEnd w:id="60"/>
    </w:p>
    <w:p w14:paraId="43CD07B9" w14:textId="77777777" w:rsidR="00B255EC" w:rsidRPr="005B1CCB" w:rsidRDefault="00B255EC" w:rsidP="00D71969">
      <w:pPr>
        <w:pStyle w:val="Heading3"/>
      </w:pPr>
      <w:bookmarkStart w:id="61" w:name="_Toc84528067"/>
      <w:r w:rsidRPr="005B1CCB">
        <w:t>Reagents</w:t>
      </w:r>
      <w:bookmarkEnd w:id="61"/>
    </w:p>
    <w:p w14:paraId="2BAE1834" w14:textId="77777777" w:rsidR="00BC3891" w:rsidRPr="005B1CCB" w:rsidRDefault="005A195E" w:rsidP="00614185">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Supermix for probes, Droplet digital PCR (ddPCR) assays, DG8TM cartridges and Droplet Generation Oil were obtained from Bio-Rad Laboratories Ltd., Hertfordshire, UK. Deionized water, sodium chloride, sodium hydroxide, phosphate-buffered saline (PBS), sodium nitrate, 4-aminobenzoic acid,</w:t>
      </w:r>
      <w:r w:rsidR="009155F8" w:rsidRPr="005B1CCB">
        <w:rPr>
          <w:rFonts w:ascii="Palatino Linotype" w:hAnsi="Palatino Linotype" w:cs="Times New Roman"/>
          <w:sz w:val="24"/>
          <w:szCs w:val="24"/>
        </w:rPr>
        <w:t xml:space="preserve"> sulphuric acid, </w:t>
      </w:r>
      <w:r w:rsidR="009155F8" w:rsidRPr="005B1CCB">
        <w:rPr>
          <w:rFonts w:ascii="Palatino Linotype" w:hAnsi="Palatino Linotype"/>
          <w:sz w:val="24"/>
          <w:szCs w:val="24"/>
        </w:rPr>
        <w:t xml:space="preserve">6-mercaptohexanol (MCH), </w:t>
      </w:r>
      <w:r w:rsidRPr="005B1CCB">
        <w:rPr>
          <w:rFonts w:ascii="Palatino Linotype" w:hAnsi="Palatino Linotype" w:cs="Times New Roman"/>
          <w:sz w:val="24"/>
          <w:szCs w:val="24"/>
        </w:rPr>
        <w:t xml:space="preserve"> hydrochloric acid, ethanolamine, 2-(N-morpholino) ethanesulfonic acid (MES), 1-ethyl-3-(3-dimethylaminopropyl) carbodiimide hydrochloride (EDC), N-hydroxysuccinimide (NHS), </w:t>
      </w:r>
      <w:r w:rsidRPr="005B1CCB">
        <w:rPr>
          <w:rFonts w:ascii="Palatino Linotype" w:hAnsi="Palatino Linotype" w:cs="Times New Roman"/>
          <w:sz w:val="24"/>
          <w:szCs w:val="24"/>
          <w:lang w:bidi="en-US"/>
        </w:rPr>
        <w:t xml:space="preserve">hexammineruthenium (III) chloride, </w:t>
      </w:r>
      <w:r w:rsidR="00BF25BE" w:rsidRPr="005B1CCB">
        <w:rPr>
          <w:rFonts w:ascii="Palatino Linotype" w:hAnsi="Palatino Linotype" w:cs="Times New Roman"/>
          <w:sz w:val="24"/>
          <w:szCs w:val="24"/>
          <w:lang w:bidi="en-US"/>
        </w:rPr>
        <w:t xml:space="preserve">TE buffer, </w:t>
      </w:r>
      <w:r w:rsidRPr="005B1CCB">
        <w:rPr>
          <w:rFonts w:ascii="Palatino Linotype" w:hAnsi="Palatino Linotype" w:cs="Times New Roman"/>
          <w:sz w:val="24"/>
          <w:szCs w:val="24"/>
        </w:rPr>
        <w:t xml:space="preserve">potassium ferricyanide, potassium chloride and potassium ferrocyanide were all purchased from Sigma–Aldrich, (Dorset, UK). Two hundred and fifty units of HotStarTaq Plus and dNTP Mix, PCR Grade (200 μL), were purchased from Qiagen, (Manchester, UK). </w:t>
      </w:r>
      <w:r w:rsidR="00372009" w:rsidRPr="005B1CCB">
        <w:rPr>
          <w:rFonts w:ascii="Palatino Linotype" w:hAnsi="Palatino Linotype" w:cs="Times New Roman"/>
          <w:sz w:val="24"/>
          <w:szCs w:val="24"/>
        </w:rPr>
        <w:t xml:space="preserve">Qubit dsDNA broad range assay kit and </w:t>
      </w:r>
      <w:r w:rsidRPr="005B1CCB">
        <w:rPr>
          <w:rFonts w:ascii="Palatino Linotype" w:hAnsi="Palatino Linotype" w:cs="Times New Roman"/>
          <w:sz w:val="24"/>
          <w:szCs w:val="24"/>
        </w:rPr>
        <w:t>Phusion Direct PCR kit was purchased from thermo fi</w:t>
      </w:r>
      <w:r w:rsidR="00614185" w:rsidRPr="005B1CCB">
        <w:rPr>
          <w:rFonts w:ascii="Palatino Linotype" w:hAnsi="Palatino Linotype" w:cs="Times New Roman"/>
          <w:sz w:val="24"/>
          <w:szCs w:val="24"/>
        </w:rPr>
        <w:t>sher scientific, (Renfrew, UK).</w:t>
      </w:r>
      <w:r w:rsidR="006E7582" w:rsidRPr="005B1CCB">
        <w:rPr>
          <w:rFonts w:ascii="Palatino Linotype" w:hAnsi="Palatino Linotype" w:cs="Times New Roman"/>
          <w:sz w:val="24"/>
          <w:szCs w:val="24"/>
        </w:rPr>
        <w:t xml:space="preserve"> </w:t>
      </w:r>
    </w:p>
    <w:p w14:paraId="50E34E1E" w14:textId="77777777" w:rsidR="00C649E7" w:rsidRPr="005B1CCB" w:rsidRDefault="00C649E7" w:rsidP="00614185">
      <w:pPr>
        <w:spacing w:line="360" w:lineRule="auto"/>
        <w:jc w:val="both"/>
        <w:rPr>
          <w:rFonts w:ascii="Palatino Linotype" w:hAnsi="Palatino Linotype" w:cs="Times New Roman"/>
          <w:sz w:val="24"/>
          <w:szCs w:val="24"/>
        </w:rPr>
      </w:pPr>
    </w:p>
    <w:p w14:paraId="3B38BCD3" w14:textId="77777777" w:rsidR="00B255EC" w:rsidRPr="005B1CCB" w:rsidRDefault="00B255EC" w:rsidP="00D71969">
      <w:pPr>
        <w:pStyle w:val="Heading3"/>
      </w:pPr>
      <w:bookmarkStart w:id="62" w:name="_Toc84528068"/>
      <w:r w:rsidRPr="005B1CCB">
        <w:t>Apparatus</w:t>
      </w:r>
      <w:r w:rsidR="000764E3" w:rsidRPr="005B1CCB">
        <w:t xml:space="preserve"> and </w:t>
      </w:r>
      <w:r w:rsidR="00315228" w:rsidRPr="005B1CCB">
        <w:t>equipment</w:t>
      </w:r>
      <w:bookmarkEnd w:id="62"/>
    </w:p>
    <w:p w14:paraId="0AB0C206" w14:textId="24172F03" w:rsidR="003A20C4" w:rsidRPr="005B1CCB" w:rsidRDefault="006B3162" w:rsidP="004306B7">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Minipcr</w:t>
      </w:r>
      <w:r w:rsidR="00DC1745" w:rsidRPr="005B1CCB">
        <w:rPr>
          <w:rFonts w:ascii="Palatino Linotype" w:hAnsi="Palatino Linotype" w:cs="Times New Roman"/>
          <w:sz w:val="24"/>
          <w:szCs w:val="24"/>
        </w:rPr>
        <w:t xml:space="preserve"> and minipcr blueGel Analy</w:t>
      </w:r>
      <w:r w:rsidR="00C41BD2">
        <w:rPr>
          <w:rFonts w:ascii="Palatino Linotype" w:hAnsi="Palatino Linotype" w:cs="Times New Roman"/>
          <w:sz w:val="24"/>
          <w:szCs w:val="24"/>
        </w:rPr>
        <w:t>s</w:t>
      </w:r>
      <w:r w:rsidR="00DC1745" w:rsidRPr="005B1CCB">
        <w:rPr>
          <w:rFonts w:ascii="Palatino Linotype" w:hAnsi="Palatino Linotype" w:cs="Times New Roman"/>
          <w:sz w:val="24"/>
          <w:szCs w:val="24"/>
        </w:rPr>
        <w:t>er</w:t>
      </w:r>
      <w:r w:rsidRPr="005B1CCB">
        <w:rPr>
          <w:rFonts w:ascii="Palatino Linotype" w:hAnsi="Palatino Linotype" w:cs="Times New Roman"/>
          <w:sz w:val="24"/>
          <w:szCs w:val="24"/>
        </w:rPr>
        <w:t xml:space="preserve"> </w:t>
      </w:r>
      <w:r w:rsidR="003A20C4" w:rsidRPr="005B1CCB">
        <w:rPr>
          <w:rFonts w:ascii="Palatino Linotype" w:hAnsi="Palatino Linotype" w:cs="Times New Roman"/>
          <w:sz w:val="24"/>
          <w:szCs w:val="24"/>
        </w:rPr>
        <w:t>(Cambridge, Massachusetts, USA)</w:t>
      </w:r>
      <w:r w:rsidRPr="005B1CCB">
        <w:rPr>
          <w:rFonts w:ascii="Palatino Linotype" w:hAnsi="Palatino Linotype" w:cs="Times New Roman"/>
          <w:sz w:val="24"/>
          <w:szCs w:val="24"/>
        </w:rPr>
        <w:t xml:space="preserve">, </w:t>
      </w:r>
      <w:r w:rsidR="00DC1745" w:rsidRPr="005B1CCB">
        <w:rPr>
          <w:rFonts w:ascii="Palatino Linotype" w:hAnsi="Palatino Linotype" w:cs="Times New Roman"/>
          <w:sz w:val="24"/>
          <w:szCs w:val="24"/>
        </w:rPr>
        <w:t>Invitrogen qubit 4 fluorometer</w:t>
      </w:r>
      <w:r w:rsidR="004306B7" w:rsidRPr="005B1CCB">
        <w:rPr>
          <w:rFonts w:ascii="Palatino Linotype" w:hAnsi="Palatino Linotype" w:cs="Times New Roman"/>
          <w:sz w:val="24"/>
          <w:szCs w:val="24"/>
        </w:rPr>
        <w:t xml:space="preserve">, Vortex mixer, centrifuge, eppendorfs, eppendorf rack, weighing scale, weighing boats, and hotplate stirrer </w:t>
      </w:r>
      <w:r w:rsidR="0091157E" w:rsidRPr="005B1CCB">
        <w:rPr>
          <w:rFonts w:ascii="Palatino Linotype" w:hAnsi="Palatino Linotype" w:cs="Times New Roman"/>
          <w:sz w:val="24"/>
          <w:szCs w:val="24"/>
        </w:rPr>
        <w:t>(Thermo fisher scientific, (Renfrew, UK)</w:t>
      </w:r>
      <w:r w:rsidR="00B02DDC" w:rsidRPr="005B1CCB">
        <w:rPr>
          <w:rFonts w:ascii="Palatino Linotype" w:hAnsi="Palatino Linotype" w:cs="Times New Roman"/>
          <w:sz w:val="24"/>
          <w:szCs w:val="24"/>
        </w:rPr>
        <w:t>)</w:t>
      </w:r>
      <w:r w:rsidR="00DC1745" w:rsidRPr="005B1CCB">
        <w:rPr>
          <w:rFonts w:ascii="Palatino Linotype" w:hAnsi="Palatino Linotype" w:cs="Times New Roman"/>
          <w:sz w:val="24"/>
          <w:szCs w:val="24"/>
        </w:rPr>
        <w:t xml:space="preserve">, Potentiostat, </w:t>
      </w:r>
      <w:r w:rsidR="00B02DDC" w:rsidRPr="005B1CCB">
        <w:rPr>
          <w:rFonts w:ascii="Palatino Linotype" w:hAnsi="Palatino Linotype" w:cs="Times New Roman"/>
          <w:sz w:val="24"/>
          <w:szCs w:val="24"/>
        </w:rPr>
        <w:t xml:space="preserve">and </w:t>
      </w:r>
      <w:r w:rsidR="00DC1745" w:rsidRPr="005B1CCB">
        <w:rPr>
          <w:rFonts w:ascii="Palatino Linotype" w:hAnsi="Palatino Linotype" w:cs="Times New Roman"/>
          <w:sz w:val="24"/>
          <w:szCs w:val="24"/>
        </w:rPr>
        <w:t>multiplexer</w:t>
      </w:r>
      <w:r w:rsidR="00B02DDC" w:rsidRPr="005B1CCB">
        <w:rPr>
          <w:rFonts w:ascii="Palatino Linotype" w:hAnsi="Palatino Linotype" w:cs="Times New Roman"/>
          <w:sz w:val="24"/>
          <w:szCs w:val="24"/>
        </w:rPr>
        <w:t xml:space="preserve"> (PalmSens BV (Netherlands))</w:t>
      </w:r>
      <w:r w:rsidR="00DC1745" w:rsidRPr="005B1CCB">
        <w:rPr>
          <w:rFonts w:ascii="Palatino Linotype" w:hAnsi="Palatino Linotype" w:cs="Times New Roman"/>
          <w:sz w:val="24"/>
          <w:szCs w:val="24"/>
        </w:rPr>
        <w:t>, Electrode connector</w:t>
      </w:r>
      <w:r w:rsidR="00B02DDC" w:rsidRPr="005B1CCB">
        <w:rPr>
          <w:rFonts w:ascii="Palatino Linotype" w:hAnsi="Palatino Linotype" w:cs="Times New Roman"/>
          <w:sz w:val="24"/>
          <w:szCs w:val="24"/>
        </w:rPr>
        <w:t xml:space="preserve"> and </w:t>
      </w:r>
      <w:r w:rsidR="008775DF" w:rsidRPr="005B1CCB">
        <w:rPr>
          <w:rFonts w:ascii="Palatino Linotype" w:hAnsi="Palatino Linotype" w:cs="Times New Roman"/>
          <w:sz w:val="24"/>
          <w:szCs w:val="24"/>
        </w:rPr>
        <w:t>screen</w:t>
      </w:r>
      <w:r w:rsidR="00B02DDC" w:rsidRPr="005B1CCB">
        <w:rPr>
          <w:rFonts w:ascii="Palatino Linotype" w:hAnsi="Palatino Linotype" w:cs="Times New Roman"/>
          <w:sz w:val="24"/>
          <w:szCs w:val="24"/>
        </w:rPr>
        <w:t>-</w:t>
      </w:r>
      <w:r w:rsidR="008775DF" w:rsidRPr="005B1CCB">
        <w:rPr>
          <w:rFonts w:ascii="Palatino Linotype" w:hAnsi="Palatino Linotype" w:cs="Times New Roman"/>
          <w:sz w:val="24"/>
          <w:szCs w:val="24"/>
        </w:rPr>
        <w:t>printed electrodes</w:t>
      </w:r>
      <w:r w:rsidR="00B02DDC" w:rsidRPr="005B1CCB">
        <w:rPr>
          <w:rFonts w:ascii="Palatino Linotype" w:hAnsi="Palatino Linotype" w:cs="Times New Roman"/>
          <w:sz w:val="24"/>
          <w:szCs w:val="24"/>
        </w:rPr>
        <w:t xml:space="preserve"> (DropSens (Oviedo, Spain))</w:t>
      </w:r>
      <w:r w:rsidR="008775DF" w:rsidRPr="005B1CCB">
        <w:rPr>
          <w:rFonts w:ascii="Palatino Linotype" w:hAnsi="Palatino Linotype" w:cs="Times New Roman"/>
          <w:sz w:val="24"/>
          <w:szCs w:val="24"/>
        </w:rPr>
        <w:t xml:space="preserve">, </w:t>
      </w:r>
      <w:r w:rsidR="000E3622">
        <w:rPr>
          <w:rFonts w:ascii="Palatino Linotype" w:hAnsi="Palatino Linotype" w:cs="Times New Roman"/>
          <w:sz w:val="24"/>
          <w:szCs w:val="24"/>
        </w:rPr>
        <w:t xml:space="preserve"> p</w:t>
      </w:r>
      <w:r w:rsidR="000E3622" w:rsidRPr="005B1CCB">
        <w:rPr>
          <w:rFonts w:ascii="Palatino Linotype" w:hAnsi="Palatino Linotype" w:cs="Times New Roman"/>
          <w:sz w:val="24"/>
          <w:szCs w:val="24"/>
        </w:rPr>
        <w:t>ipette</w:t>
      </w:r>
      <w:r w:rsidR="004306B7" w:rsidRPr="005B1CCB">
        <w:rPr>
          <w:rFonts w:ascii="Palatino Linotype" w:hAnsi="Palatino Linotype" w:cs="Times New Roman"/>
          <w:sz w:val="24"/>
          <w:szCs w:val="24"/>
        </w:rPr>
        <w:t>, beakers, flask, dispenser</w:t>
      </w:r>
      <w:r w:rsidR="0046636C" w:rsidRPr="005B1CCB">
        <w:rPr>
          <w:rFonts w:ascii="Palatino Linotype" w:hAnsi="Palatino Linotype" w:cs="Times New Roman"/>
          <w:sz w:val="24"/>
          <w:szCs w:val="24"/>
        </w:rPr>
        <w:t xml:space="preserve"> </w:t>
      </w:r>
      <w:r w:rsidR="004306B7" w:rsidRPr="005B1CCB">
        <w:rPr>
          <w:rFonts w:ascii="Palatino Linotype" w:hAnsi="Palatino Linotype" w:cs="Times New Roman"/>
          <w:sz w:val="24"/>
          <w:szCs w:val="24"/>
        </w:rPr>
        <w:t xml:space="preserve">bottles, </w:t>
      </w:r>
      <w:r w:rsidR="00D95DBA" w:rsidRPr="005B1CCB">
        <w:rPr>
          <w:rFonts w:ascii="Palatino Linotype" w:hAnsi="Palatino Linotype" w:cs="Times New Roman"/>
          <w:sz w:val="24"/>
          <w:szCs w:val="24"/>
        </w:rPr>
        <w:t>(</w:t>
      </w:r>
      <w:r w:rsidR="00D95DBA" w:rsidRPr="005B1CCB">
        <w:rPr>
          <w:rFonts w:ascii="Palatino Linotype" w:hAnsi="Palatino Linotype"/>
          <w:sz w:val="24"/>
          <w:szCs w:val="24"/>
        </w:rPr>
        <w:t>Sigma-Aldrich</w:t>
      </w:r>
      <w:r w:rsidR="00D95DBA" w:rsidRPr="005B1CCB">
        <w:rPr>
          <w:rFonts w:ascii="Palatino Linotype" w:hAnsi="Palatino Linotype" w:cs="Times New Roman"/>
          <w:sz w:val="24"/>
          <w:szCs w:val="24"/>
        </w:rPr>
        <w:t xml:space="preserve">, UK), </w:t>
      </w:r>
      <w:r w:rsidR="004306B7" w:rsidRPr="005B1CCB">
        <w:rPr>
          <w:rFonts w:ascii="Palatino Linotype" w:hAnsi="Palatino Linotype" w:cs="Times New Roman"/>
          <w:sz w:val="24"/>
          <w:szCs w:val="24"/>
        </w:rPr>
        <w:t>TOSHIBA laptop</w:t>
      </w:r>
      <w:r w:rsidR="00D95DBA" w:rsidRPr="005B1CCB">
        <w:rPr>
          <w:rFonts w:ascii="Palatino Linotype" w:hAnsi="Palatino Linotype" w:cs="Times New Roman"/>
          <w:sz w:val="24"/>
          <w:szCs w:val="24"/>
        </w:rPr>
        <w:t>.</w:t>
      </w:r>
    </w:p>
    <w:p w14:paraId="3A100BB7" w14:textId="77777777" w:rsidR="00D03D7B" w:rsidRPr="005B1CCB" w:rsidRDefault="00D03D7B" w:rsidP="004306B7">
      <w:pPr>
        <w:spacing w:line="360" w:lineRule="auto"/>
        <w:jc w:val="both"/>
        <w:rPr>
          <w:rFonts w:ascii="Palatino Linotype" w:hAnsi="Palatino Linotype" w:cs="Times New Roman"/>
          <w:sz w:val="24"/>
          <w:szCs w:val="24"/>
        </w:rPr>
      </w:pPr>
    </w:p>
    <w:p w14:paraId="149E336A" w14:textId="77777777" w:rsidR="003B2D71" w:rsidRPr="005B1CCB" w:rsidRDefault="008B4F4A" w:rsidP="00BF381B">
      <w:pPr>
        <w:pStyle w:val="Heading2"/>
      </w:pPr>
      <w:bookmarkStart w:id="63" w:name="_Toc84528069"/>
      <w:r w:rsidRPr="005B1CCB">
        <w:t>Methods</w:t>
      </w:r>
      <w:bookmarkEnd w:id="63"/>
    </w:p>
    <w:p w14:paraId="14272B5F" w14:textId="77777777" w:rsidR="000F086B" w:rsidRPr="005B1CCB" w:rsidRDefault="000F086B" w:rsidP="00D71969">
      <w:pPr>
        <w:pStyle w:val="Heading3"/>
      </w:pPr>
      <w:bookmarkStart w:id="64" w:name="_Toc84528070"/>
      <w:r w:rsidRPr="005B1CCB">
        <w:t>Electrode selection</w:t>
      </w:r>
      <w:bookmarkEnd w:id="64"/>
    </w:p>
    <w:p w14:paraId="3DB7A863" w14:textId="28734375" w:rsidR="0088738D" w:rsidRPr="005B1CCB" w:rsidRDefault="006A2106" w:rsidP="00F57E3A">
      <w:pPr>
        <w:spacing w:line="360" w:lineRule="auto"/>
        <w:jc w:val="both"/>
        <w:rPr>
          <w:rFonts w:ascii="Palatino Linotype" w:hAnsi="Palatino Linotype"/>
          <w:snapToGrid w:val="0"/>
          <w:sz w:val="24"/>
          <w:szCs w:val="24"/>
          <w:lang w:bidi="en-US"/>
        </w:rPr>
      </w:pPr>
      <w:r w:rsidRPr="005B1CCB">
        <w:rPr>
          <w:rFonts w:ascii="Palatino Linotype" w:hAnsi="Palatino Linotype"/>
          <w:sz w:val="24"/>
          <w:szCs w:val="24"/>
        </w:rPr>
        <w:t xml:space="preserve">    </w:t>
      </w:r>
      <w:r w:rsidR="000A6395" w:rsidRPr="005B1CCB">
        <w:rPr>
          <w:rFonts w:ascii="Palatino Linotype" w:hAnsi="Palatino Linotype"/>
          <w:sz w:val="24"/>
          <w:szCs w:val="24"/>
        </w:rPr>
        <w:t xml:space="preserve">Although most solid electrodes have been successfully used to perform DNA immobilisation experiments, screen-printed gold electrodes </w:t>
      </w:r>
      <w:r w:rsidR="00CE49BE" w:rsidRPr="005B1CCB">
        <w:rPr>
          <w:rFonts w:ascii="Palatino Linotype" w:hAnsi="Palatino Linotype"/>
          <w:sz w:val="24"/>
          <w:szCs w:val="24"/>
        </w:rPr>
        <w:t xml:space="preserve">were used </w:t>
      </w:r>
      <w:r w:rsidR="000A6395" w:rsidRPr="005B1CCB">
        <w:rPr>
          <w:rFonts w:ascii="Palatino Linotype" w:hAnsi="Palatino Linotype"/>
          <w:sz w:val="24"/>
          <w:szCs w:val="24"/>
        </w:rPr>
        <w:t xml:space="preserve">for the </w:t>
      </w:r>
      <w:r w:rsidR="009C4751" w:rsidRPr="005B1CCB">
        <w:rPr>
          <w:rFonts w:ascii="Palatino Linotype" w:hAnsi="Palatino Linotype"/>
          <w:sz w:val="24"/>
          <w:szCs w:val="24"/>
        </w:rPr>
        <w:t>preliminary work carried out</w:t>
      </w:r>
      <w:r w:rsidR="000A6395" w:rsidRPr="005B1CCB">
        <w:rPr>
          <w:rFonts w:ascii="Palatino Linotype" w:hAnsi="Palatino Linotype"/>
          <w:sz w:val="24"/>
          <w:szCs w:val="24"/>
        </w:rPr>
        <w:t xml:space="preserve"> and subsequently</w:t>
      </w:r>
      <w:r w:rsidR="009C4751" w:rsidRPr="005B1CCB">
        <w:rPr>
          <w:rFonts w:ascii="Palatino Linotype" w:hAnsi="Palatino Linotype"/>
          <w:sz w:val="24"/>
          <w:szCs w:val="24"/>
        </w:rPr>
        <w:t xml:space="preserve"> </w:t>
      </w:r>
      <w:r w:rsidR="000A6395" w:rsidRPr="005B1CCB">
        <w:rPr>
          <w:rFonts w:ascii="Palatino Linotype" w:hAnsi="Palatino Linotype"/>
          <w:sz w:val="24"/>
          <w:szCs w:val="24"/>
        </w:rPr>
        <w:t xml:space="preserve">carbon and </w:t>
      </w:r>
      <w:r w:rsidR="008C338C" w:rsidRPr="005B1CCB">
        <w:rPr>
          <w:rFonts w:ascii="Palatino Linotype" w:hAnsi="Palatino Linotype"/>
          <w:sz w:val="24"/>
          <w:szCs w:val="24"/>
        </w:rPr>
        <w:t>carbon nanotube (</w:t>
      </w:r>
      <w:r w:rsidR="000A6395" w:rsidRPr="005B1CCB">
        <w:rPr>
          <w:rFonts w:ascii="Palatino Linotype" w:hAnsi="Palatino Linotype"/>
          <w:sz w:val="24"/>
          <w:szCs w:val="24"/>
        </w:rPr>
        <w:t>CNT</w:t>
      </w:r>
      <w:r w:rsidR="008C338C" w:rsidRPr="005B1CCB">
        <w:rPr>
          <w:rFonts w:ascii="Palatino Linotype" w:hAnsi="Palatino Linotype"/>
          <w:sz w:val="24"/>
          <w:szCs w:val="24"/>
        </w:rPr>
        <w:t>)</w:t>
      </w:r>
      <w:r w:rsidR="000A6395" w:rsidRPr="005B1CCB">
        <w:rPr>
          <w:rFonts w:ascii="Palatino Linotype" w:hAnsi="Palatino Linotype"/>
          <w:sz w:val="24"/>
          <w:szCs w:val="24"/>
        </w:rPr>
        <w:t>-modified carbon electrodes</w:t>
      </w:r>
      <w:r w:rsidR="00CE49BE" w:rsidRPr="005B1CCB">
        <w:rPr>
          <w:rFonts w:ascii="Palatino Linotype" w:hAnsi="Palatino Linotype"/>
          <w:sz w:val="24"/>
          <w:szCs w:val="24"/>
        </w:rPr>
        <w:t xml:space="preserve"> were also used</w:t>
      </w:r>
      <w:r w:rsidR="000A6395" w:rsidRPr="005B1CCB">
        <w:rPr>
          <w:rFonts w:ascii="Palatino Linotype" w:hAnsi="Palatino Linotype"/>
          <w:sz w:val="24"/>
          <w:szCs w:val="24"/>
        </w:rPr>
        <w:t xml:space="preserve">. </w:t>
      </w:r>
      <w:r w:rsidR="0088738D" w:rsidRPr="00101B10">
        <w:rPr>
          <w:rFonts w:ascii="Palatino Linotype" w:hAnsi="Palatino Linotype"/>
          <w:sz w:val="24"/>
          <w:szCs w:val="24"/>
        </w:rPr>
        <w:t>Carbon has many advantages which</w:t>
      </w:r>
      <w:r w:rsidR="00515502" w:rsidRPr="00101B10">
        <w:rPr>
          <w:rFonts w:ascii="Palatino Linotype" w:hAnsi="Palatino Linotype"/>
          <w:sz w:val="24"/>
          <w:szCs w:val="24"/>
        </w:rPr>
        <w:t xml:space="preserve"> has</w:t>
      </w:r>
      <w:r w:rsidR="0088738D" w:rsidRPr="00101B10">
        <w:rPr>
          <w:rFonts w:ascii="Palatino Linotype" w:hAnsi="Palatino Linotype"/>
          <w:sz w:val="24"/>
          <w:szCs w:val="24"/>
        </w:rPr>
        <w:t xml:space="preserve"> led to its selection as the </w:t>
      </w:r>
      <w:r w:rsidR="000A6395" w:rsidRPr="00101B10">
        <w:rPr>
          <w:rFonts w:ascii="Palatino Linotype" w:hAnsi="Palatino Linotype"/>
          <w:sz w:val="24"/>
          <w:szCs w:val="24"/>
        </w:rPr>
        <w:t xml:space="preserve">main </w:t>
      </w:r>
      <w:r w:rsidR="0088738D" w:rsidRPr="00101B10">
        <w:rPr>
          <w:rFonts w:ascii="Palatino Linotype" w:hAnsi="Palatino Linotype"/>
          <w:sz w:val="24"/>
          <w:szCs w:val="24"/>
        </w:rPr>
        <w:t xml:space="preserve">electrode material </w:t>
      </w:r>
      <w:r w:rsidR="00515502" w:rsidRPr="00101B10">
        <w:rPr>
          <w:rFonts w:ascii="Palatino Linotype" w:hAnsi="Palatino Linotype"/>
          <w:sz w:val="24"/>
          <w:szCs w:val="24"/>
        </w:rPr>
        <w:t xml:space="preserve">that was majorly used </w:t>
      </w:r>
      <w:r w:rsidR="0088738D" w:rsidRPr="00101B10">
        <w:rPr>
          <w:rFonts w:ascii="Palatino Linotype" w:hAnsi="Palatino Linotype"/>
          <w:sz w:val="24"/>
          <w:szCs w:val="24"/>
        </w:rPr>
        <w:t xml:space="preserve">in this work.  These include: low-cost production, the existence of many established manufacturing process for carbon SPE production, high resistance to biofouling and </w:t>
      </w:r>
      <w:r w:rsidR="00101B10" w:rsidRPr="00101B10">
        <w:rPr>
          <w:rFonts w:ascii="Palatino Linotype" w:hAnsi="Palatino Linotype"/>
          <w:sz w:val="24"/>
          <w:szCs w:val="24"/>
        </w:rPr>
        <w:t>well</w:t>
      </w:r>
      <w:r w:rsidR="00101B10">
        <w:rPr>
          <w:rFonts w:ascii="Palatino Linotype" w:hAnsi="Palatino Linotype"/>
          <w:sz w:val="24"/>
          <w:szCs w:val="24"/>
        </w:rPr>
        <w:t>-</w:t>
      </w:r>
      <w:r w:rsidR="0088738D" w:rsidRPr="00101B10">
        <w:rPr>
          <w:rFonts w:ascii="Palatino Linotype" w:hAnsi="Palatino Linotype"/>
          <w:sz w:val="24"/>
          <w:szCs w:val="24"/>
        </w:rPr>
        <w:t>established surface functionalisation chemistries</w:t>
      </w:r>
      <w:r w:rsidR="0088738D" w:rsidRPr="005B1CCB">
        <w:rPr>
          <w:rFonts w:ascii="Palatino Linotype" w:hAnsi="Palatino Linotype"/>
          <w:sz w:val="24"/>
          <w:szCs w:val="24"/>
        </w:rPr>
        <w:t xml:space="preserve">.  </w:t>
      </w:r>
    </w:p>
    <w:p w14:paraId="49C3C5BE" w14:textId="70673379" w:rsidR="00F6378A" w:rsidRPr="005B1CCB" w:rsidRDefault="006E6DFA" w:rsidP="00A40A9E">
      <w:pPr>
        <w:spacing w:line="360" w:lineRule="auto"/>
        <w:jc w:val="both"/>
        <w:rPr>
          <w:rFonts w:ascii="Palatino Linotype" w:hAnsi="Palatino Linotype" w:cs="Times New Roman"/>
          <w:sz w:val="24"/>
          <w:szCs w:val="24"/>
        </w:rPr>
      </w:pPr>
      <w:r w:rsidRPr="005B1CCB">
        <w:rPr>
          <w:rFonts w:ascii="Palatino Linotype" w:hAnsi="Palatino Linotype"/>
          <w:sz w:val="24"/>
          <w:szCs w:val="24"/>
        </w:rPr>
        <w:t xml:space="preserve">   </w:t>
      </w:r>
      <w:r w:rsidR="00A40A9E" w:rsidRPr="005B1CCB">
        <w:rPr>
          <w:rFonts w:ascii="Palatino Linotype" w:hAnsi="Palatino Linotype"/>
          <w:sz w:val="24"/>
          <w:szCs w:val="24"/>
        </w:rPr>
        <w:t>The electrodes were also disposable and suitable for work with micro-volumes.</w:t>
      </w:r>
      <w:r w:rsidR="00A40A9E" w:rsidRPr="005B1CCB">
        <w:rPr>
          <w:rFonts w:ascii="Palatino Linotype" w:hAnsi="Palatino Linotype"/>
          <w:snapToGrid w:val="0"/>
          <w:sz w:val="24"/>
          <w:szCs w:val="24"/>
          <w:lang w:bidi="en-US"/>
        </w:rPr>
        <w:t xml:space="preserve"> </w:t>
      </w:r>
      <w:r w:rsidR="00A40A9E" w:rsidRPr="005B1CCB">
        <w:rPr>
          <w:rFonts w:ascii="Palatino Linotype" w:hAnsi="Palatino Linotype" w:cs="Times New Roman"/>
          <w:sz w:val="24"/>
          <w:szCs w:val="24"/>
        </w:rPr>
        <w:t>Screen</w:t>
      </w:r>
      <w:r w:rsidR="0095008D" w:rsidRPr="005B1CCB">
        <w:rPr>
          <w:rFonts w:ascii="Palatino Linotype" w:hAnsi="Palatino Linotype" w:cs="Times New Roman"/>
          <w:sz w:val="24"/>
          <w:szCs w:val="24"/>
        </w:rPr>
        <w:t>-</w:t>
      </w:r>
      <w:r w:rsidR="00A40A9E" w:rsidRPr="005B1CCB">
        <w:rPr>
          <w:rFonts w:ascii="Palatino Linotype" w:hAnsi="Palatino Linotype" w:cs="Times New Roman"/>
          <w:sz w:val="24"/>
          <w:szCs w:val="24"/>
        </w:rPr>
        <w:t xml:space="preserve">printed </w:t>
      </w:r>
      <w:r w:rsidR="0095008D" w:rsidRPr="005B1CCB">
        <w:rPr>
          <w:rFonts w:ascii="Palatino Linotype" w:hAnsi="Palatino Linotype" w:cs="Times New Roman"/>
          <w:sz w:val="24"/>
          <w:szCs w:val="24"/>
        </w:rPr>
        <w:t>single-gold electrodes (DRP</w:t>
      </w:r>
      <w:r w:rsidR="00FC5D61" w:rsidRPr="005B1CCB">
        <w:rPr>
          <w:rFonts w:ascii="Palatino Linotype" w:hAnsi="Palatino Linotype" w:cs="Times New Roman"/>
          <w:sz w:val="24"/>
          <w:szCs w:val="24"/>
        </w:rPr>
        <w:t xml:space="preserve"> 220BT with a dimension of 34 x 10 x 0.5 mm </w:t>
      </w:r>
      <w:r w:rsidR="00FC5D61" w:rsidRPr="005B1CCB">
        <w:rPr>
          <w:rFonts w:ascii="Palatino Linotype" w:hAnsi="Palatino Linotype"/>
          <w:snapToGrid w:val="0"/>
          <w:sz w:val="24"/>
          <w:szCs w:val="24"/>
          <w:lang w:bidi="en-US"/>
        </w:rPr>
        <w:t>(L × W × D))</w:t>
      </w:r>
      <w:r w:rsidR="0095008D" w:rsidRPr="005B1CCB">
        <w:rPr>
          <w:rFonts w:ascii="Palatino Linotype" w:hAnsi="Palatino Linotype" w:cs="Times New Roman"/>
          <w:sz w:val="24"/>
          <w:szCs w:val="24"/>
        </w:rPr>
        <w:t xml:space="preserve">, </w:t>
      </w:r>
      <w:r w:rsidR="00A40A9E" w:rsidRPr="005B1CCB">
        <w:rPr>
          <w:rFonts w:ascii="Palatino Linotype" w:hAnsi="Palatino Linotype" w:cs="Times New Roman"/>
          <w:sz w:val="24"/>
          <w:szCs w:val="24"/>
        </w:rPr>
        <w:t>multi</w:t>
      </w:r>
      <w:r w:rsidR="00515502" w:rsidRPr="005B1CCB">
        <w:rPr>
          <w:rFonts w:ascii="Palatino Linotype" w:hAnsi="Palatino Linotype" w:cs="Times New Roman"/>
          <w:sz w:val="24"/>
          <w:szCs w:val="24"/>
        </w:rPr>
        <w:t>-</w:t>
      </w:r>
      <w:r w:rsidR="00A40A9E" w:rsidRPr="005B1CCB">
        <w:rPr>
          <w:rFonts w:ascii="Palatino Linotype" w:hAnsi="Palatino Linotype" w:cs="Times New Roman"/>
          <w:sz w:val="24"/>
          <w:szCs w:val="24"/>
        </w:rPr>
        <w:t>carbon electrodes</w:t>
      </w:r>
      <w:r w:rsidR="0095008D" w:rsidRPr="005B1CCB">
        <w:rPr>
          <w:rFonts w:ascii="Palatino Linotype" w:hAnsi="Palatino Linotype" w:cs="Times New Roman"/>
          <w:sz w:val="24"/>
          <w:szCs w:val="24"/>
        </w:rPr>
        <w:t xml:space="preserve"> (</w:t>
      </w:r>
      <w:r w:rsidR="00A40A9E" w:rsidRPr="005B1CCB">
        <w:rPr>
          <w:rFonts w:ascii="Palatino Linotype" w:hAnsi="Palatino Linotype" w:cs="Times New Roman"/>
          <w:sz w:val="24"/>
          <w:szCs w:val="24"/>
        </w:rPr>
        <w:t xml:space="preserve">DRP 8W110 with a dimension of 50 x 27 x 1 mm </w:t>
      </w:r>
      <w:r w:rsidR="00A40A9E" w:rsidRPr="005B1CCB">
        <w:rPr>
          <w:rFonts w:ascii="Palatino Linotype" w:hAnsi="Palatino Linotype"/>
          <w:snapToGrid w:val="0"/>
          <w:sz w:val="24"/>
          <w:szCs w:val="24"/>
          <w:lang w:bidi="en-US"/>
        </w:rPr>
        <w:t>(L × W × D)</w:t>
      </w:r>
      <w:r w:rsidR="0095008D" w:rsidRPr="005B1CCB">
        <w:rPr>
          <w:rFonts w:ascii="Palatino Linotype" w:hAnsi="Palatino Linotype"/>
          <w:snapToGrid w:val="0"/>
          <w:sz w:val="24"/>
          <w:szCs w:val="24"/>
          <w:lang w:bidi="en-US"/>
        </w:rPr>
        <w:t>) and single-carbon electrodes</w:t>
      </w:r>
      <w:r w:rsidR="00515502" w:rsidRPr="005B1CCB">
        <w:rPr>
          <w:rFonts w:ascii="Palatino Linotype" w:hAnsi="Palatino Linotype"/>
          <w:snapToGrid w:val="0"/>
          <w:sz w:val="24"/>
          <w:szCs w:val="24"/>
          <w:lang w:bidi="en-US"/>
        </w:rPr>
        <w:t xml:space="preserve"> </w:t>
      </w:r>
      <w:r w:rsidR="0095008D" w:rsidRPr="005B1CCB">
        <w:rPr>
          <w:rFonts w:ascii="Palatino Linotype" w:hAnsi="Palatino Linotype"/>
          <w:snapToGrid w:val="0"/>
          <w:sz w:val="24"/>
          <w:szCs w:val="24"/>
          <w:lang w:bidi="en-US"/>
        </w:rPr>
        <w:t>(</w:t>
      </w:r>
      <w:r w:rsidR="00A40A9E" w:rsidRPr="005B1CCB">
        <w:rPr>
          <w:rFonts w:ascii="Palatino Linotype" w:hAnsi="Palatino Linotype" w:cs="Times New Roman"/>
          <w:sz w:val="24"/>
          <w:szCs w:val="24"/>
        </w:rPr>
        <w:t xml:space="preserve">DRP </w:t>
      </w:r>
      <w:r w:rsidR="00A352CD" w:rsidRPr="005B1CCB">
        <w:rPr>
          <w:rFonts w:ascii="Palatino Linotype" w:hAnsi="Palatino Linotype" w:cs="Times New Roman"/>
          <w:sz w:val="24"/>
          <w:szCs w:val="24"/>
        </w:rPr>
        <w:t xml:space="preserve">110-CNT with a dimension of 34 x 10 x 0.5 mm (L </w:t>
      </w:r>
      <w:r w:rsidR="00C649E7" w:rsidRPr="005B1CCB">
        <w:rPr>
          <w:rFonts w:ascii="Palatino Linotype" w:hAnsi="Palatino Linotype"/>
          <w:snapToGrid w:val="0"/>
          <w:sz w:val="24"/>
          <w:szCs w:val="24"/>
          <w:lang w:bidi="en-US"/>
        </w:rPr>
        <w:t>×</w:t>
      </w:r>
      <w:r w:rsidR="00A352CD" w:rsidRPr="005B1CCB">
        <w:rPr>
          <w:rFonts w:ascii="Palatino Linotype" w:hAnsi="Palatino Linotype" w:cs="Times New Roman"/>
          <w:sz w:val="24"/>
          <w:szCs w:val="24"/>
        </w:rPr>
        <w:t xml:space="preserve"> W </w:t>
      </w:r>
      <w:r w:rsidR="00C649E7" w:rsidRPr="005B1CCB">
        <w:rPr>
          <w:rFonts w:ascii="Palatino Linotype" w:hAnsi="Palatino Linotype"/>
          <w:snapToGrid w:val="0"/>
          <w:sz w:val="24"/>
          <w:szCs w:val="24"/>
          <w:lang w:bidi="en-US"/>
        </w:rPr>
        <w:t>×</w:t>
      </w:r>
      <w:r w:rsidR="00A352CD" w:rsidRPr="005B1CCB">
        <w:rPr>
          <w:rFonts w:ascii="Palatino Linotype" w:hAnsi="Palatino Linotype" w:cs="Times New Roman"/>
          <w:sz w:val="24"/>
          <w:szCs w:val="24"/>
        </w:rPr>
        <w:t xml:space="preserve"> D)</w:t>
      </w:r>
      <w:r w:rsidR="0095008D" w:rsidRPr="005B1CCB">
        <w:rPr>
          <w:rFonts w:ascii="Palatino Linotype" w:hAnsi="Palatino Linotype" w:cs="Times New Roman"/>
          <w:sz w:val="24"/>
          <w:szCs w:val="24"/>
        </w:rPr>
        <w:t>)</w:t>
      </w:r>
      <w:r w:rsidR="00A352CD" w:rsidRPr="005B1CCB">
        <w:rPr>
          <w:rFonts w:ascii="Palatino Linotype" w:hAnsi="Palatino Linotype" w:cs="Times New Roman"/>
          <w:sz w:val="24"/>
          <w:szCs w:val="24"/>
        </w:rPr>
        <w:t xml:space="preserve"> </w:t>
      </w:r>
      <w:r w:rsidR="00A40A9E" w:rsidRPr="005B1CCB">
        <w:rPr>
          <w:rFonts w:ascii="Palatino Linotype" w:hAnsi="Palatino Linotype" w:cs="Times New Roman"/>
          <w:sz w:val="24"/>
          <w:szCs w:val="24"/>
        </w:rPr>
        <w:t>w</w:t>
      </w:r>
      <w:r w:rsidR="00A352CD" w:rsidRPr="005B1CCB">
        <w:rPr>
          <w:rFonts w:ascii="Palatino Linotype" w:hAnsi="Palatino Linotype" w:cs="Times New Roman"/>
          <w:sz w:val="24"/>
          <w:szCs w:val="24"/>
        </w:rPr>
        <w:t>ere</w:t>
      </w:r>
      <w:r w:rsidR="00A40A9E" w:rsidRPr="005B1CCB">
        <w:rPr>
          <w:rFonts w:ascii="Palatino Linotype" w:hAnsi="Palatino Linotype" w:cs="Times New Roman"/>
          <w:sz w:val="24"/>
          <w:szCs w:val="24"/>
        </w:rPr>
        <w:t xml:space="preserve"> used for the DNA hybridisation characterization and binding analysis employed in this study. </w:t>
      </w:r>
      <w:r w:rsidR="006A2B35" w:rsidRPr="005B1CCB">
        <w:rPr>
          <w:rFonts w:ascii="Palatino Linotype" w:hAnsi="Palatino Linotype" w:cs="Times New Roman"/>
          <w:sz w:val="24"/>
          <w:szCs w:val="24"/>
        </w:rPr>
        <w:t xml:space="preserve">   The existence of single and multi-electrode chips (8 × working electrodes) already commercially available from DropSens (Oviedo, Spain) </w:t>
      </w:r>
      <w:r w:rsidR="00D03D7B" w:rsidRPr="005B1CCB">
        <w:rPr>
          <w:rFonts w:ascii="Palatino Linotype" w:hAnsi="Palatino Linotype" w:cs="Times New Roman"/>
          <w:sz w:val="24"/>
          <w:szCs w:val="24"/>
        </w:rPr>
        <w:t xml:space="preserve">as shown in </w:t>
      </w:r>
      <w:r w:rsidR="00D90C06" w:rsidRPr="005B1CCB">
        <w:rPr>
          <w:rFonts w:ascii="Palatino Linotype" w:hAnsi="Palatino Linotype" w:cs="Times New Roman"/>
          <w:sz w:val="24"/>
          <w:szCs w:val="24"/>
        </w:rPr>
        <w:t>F</w:t>
      </w:r>
      <w:r w:rsidR="00D03D7B" w:rsidRPr="005B1CCB">
        <w:rPr>
          <w:rFonts w:ascii="Palatino Linotype" w:hAnsi="Palatino Linotype" w:cs="Times New Roman"/>
          <w:sz w:val="24"/>
          <w:szCs w:val="24"/>
        </w:rPr>
        <w:t xml:space="preserve">igure 7 </w:t>
      </w:r>
      <w:r w:rsidR="006A2B35" w:rsidRPr="005B1CCB">
        <w:rPr>
          <w:rFonts w:ascii="Palatino Linotype" w:hAnsi="Palatino Linotype" w:cs="Times New Roman"/>
          <w:sz w:val="24"/>
          <w:szCs w:val="24"/>
        </w:rPr>
        <w:t xml:space="preserve">meant that there was an established format available for initial assay development.  </w:t>
      </w:r>
      <w:r w:rsidR="006A2B35" w:rsidRPr="00101B10">
        <w:rPr>
          <w:rFonts w:ascii="Palatino Linotype" w:hAnsi="Palatino Linotype" w:cs="Times New Roman"/>
          <w:sz w:val="24"/>
          <w:szCs w:val="24"/>
        </w:rPr>
        <w:t xml:space="preserve">The </w:t>
      </w:r>
      <w:r w:rsidR="00403B8B" w:rsidRPr="00101B10">
        <w:rPr>
          <w:rFonts w:ascii="Palatino Linotype" w:hAnsi="Palatino Linotype" w:cs="Times New Roman"/>
          <w:sz w:val="24"/>
          <w:szCs w:val="24"/>
        </w:rPr>
        <w:t>single gold electrode chip had 1.6 mm</w:t>
      </w:r>
      <w:r w:rsidR="00882763" w:rsidRPr="00101B10">
        <w:rPr>
          <w:rFonts w:ascii="Palatino Linotype" w:hAnsi="Palatino Linotype" w:cs="Times New Roman"/>
          <w:sz w:val="24"/>
          <w:szCs w:val="24"/>
        </w:rPr>
        <w:t xml:space="preserve"> diameter</w:t>
      </w:r>
      <w:r w:rsidR="00882763" w:rsidRPr="005B1CCB">
        <w:rPr>
          <w:rFonts w:ascii="Palatino Linotype" w:hAnsi="Palatino Linotype" w:cs="Times New Roman"/>
          <w:sz w:val="24"/>
          <w:szCs w:val="24"/>
        </w:rPr>
        <w:t xml:space="preserve"> with gold working and counter electrodes and silver reference electrodes, </w:t>
      </w:r>
      <w:r w:rsidR="006A2B35" w:rsidRPr="00101B10">
        <w:rPr>
          <w:rFonts w:ascii="Palatino Linotype" w:hAnsi="Palatino Linotype" w:cs="Times New Roman"/>
          <w:sz w:val="24"/>
          <w:szCs w:val="24"/>
        </w:rPr>
        <w:t xml:space="preserve">while the </w:t>
      </w:r>
      <w:r w:rsidR="00882763" w:rsidRPr="00101B10">
        <w:rPr>
          <w:rFonts w:ascii="Palatino Linotype" w:hAnsi="Palatino Linotype" w:cs="Times New Roman"/>
          <w:sz w:val="24"/>
          <w:szCs w:val="24"/>
        </w:rPr>
        <w:t xml:space="preserve">carbon nanotube (CNT) modified </w:t>
      </w:r>
      <w:r w:rsidR="006A2B35" w:rsidRPr="00101B10">
        <w:rPr>
          <w:rFonts w:ascii="Palatino Linotype" w:hAnsi="Palatino Linotype" w:cs="Times New Roman"/>
          <w:sz w:val="24"/>
          <w:szCs w:val="24"/>
        </w:rPr>
        <w:t xml:space="preserve">single carbon electrode </w:t>
      </w:r>
      <w:r w:rsidRPr="00101B10">
        <w:rPr>
          <w:rFonts w:ascii="Palatino Linotype" w:hAnsi="Palatino Linotype" w:cs="Times New Roman"/>
          <w:sz w:val="24"/>
          <w:szCs w:val="24"/>
        </w:rPr>
        <w:t xml:space="preserve">and </w:t>
      </w:r>
      <w:r w:rsidR="00882763" w:rsidRPr="00101B10">
        <w:rPr>
          <w:rFonts w:ascii="Palatino Linotype" w:hAnsi="Palatino Linotype" w:cs="Times New Roman"/>
          <w:sz w:val="24"/>
          <w:szCs w:val="24"/>
        </w:rPr>
        <w:t>chip containing eight carbon working electrodes had diameters of 4 mm and 2.95 mm respectively</w:t>
      </w:r>
      <w:r w:rsidR="00882763" w:rsidRPr="005B1CCB">
        <w:rPr>
          <w:rFonts w:ascii="Palatino Linotype" w:hAnsi="Palatino Linotype" w:cs="Times New Roman"/>
          <w:sz w:val="24"/>
          <w:szCs w:val="24"/>
        </w:rPr>
        <w:t xml:space="preserve"> with carbon working and counter electrodes</w:t>
      </w:r>
      <w:r w:rsidR="003E0220" w:rsidRPr="005B1CCB">
        <w:rPr>
          <w:rFonts w:ascii="Palatino Linotype" w:hAnsi="Palatino Linotype" w:cs="Times New Roman"/>
          <w:sz w:val="24"/>
          <w:szCs w:val="24"/>
        </w:rPr>
        <w:t xml:space="preserve"> and a silver reference electrode</w:t>
      </w:r>
      <w:r w:rsidR="006A2B35" w:rsidRPr="005B1CCB">
        <w:rPr>
          <w:rFonts w:ascii="Palatino Linotype" w:hAnsi="Palatino Linotype" w:cs="Times New Roman"/>
          <w:sz w:val="24"/>
          <w:szCs w:val="24"/>
        </w:rPr>
        <w:t xml:space="preserve">.  </w:t>
      </w:r>
      <w:r w:rsidR="00F95009">
        <w:rPr>
          <w:rFonts w:ascii="Palatino Linotype" w:hAnsi="Palatino Linotype" w:cs="Times New Roman"/>
          <w:sz w:val="24"/>
          <w:szCs w:val="24"/>
        </w:rPr>
        <w:t xml:space="preserve">The advantage of having one CE and one RE </w:t>
      </w:r>
      <w:r w:rsidR="00FD009B">
        <w:rPr>
          <w:rFonts w:ascii="Palatino Linotype" w:hAnsi="Palatino Linotype" w:cs="Times New Roman"/>
          <w:sz w:val="24"/>
          <w:szCs w:val="24"/>
        </w:rPr>
        <w:t>in the multi electrode is its simplicity and potential of multiple analysis</w:t>
      </w:r>
      <w:r w:rsidR="00E82A96">
        <w:rPr>
          <w:rFonts w:ascii="Palatino Linotype" w:hAnsi="Palatino Linotype" w:cs="Times New Roman"/>
          <w:sz w:val="24"/>
          <w:szCs w:val="24"/>
        </w:rPr>
        <w:t xml:space="preserve"> while simultaneously allowing differential measurement.</w:t>
      </w:r>
    </w:p>
    <w:p w14:paraId="7685D373" w14:textId="263E2AB2" w:rsidR="00A40A9E" w:rsidRPr="005B1CCB" w:rsidRDefault="00A40A9E" w:rsidP="00A40A9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The screen printed fabrication process is specified by the manufacturers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www.dropsens.com/en/screen_printed_electrodes_pag.html","accessed":{"date-parts":[["2019","10","7"]]},"author":[{"dropping-particle":"","family":"Dropsens","given":"","non-dropping-particle":"","parse-names":false,"suffix":""}],"id":"ITEM-1","issued":{"date-parts":[["2019"]]},"title":"Screen-printed electrodes","type":"webpage"},"uris":["http://www.mendeley.com/documents/?uuid=a457159a-1b76-421d-8412-f4452eee476b"]}],"mendeley":{"formattedCitation":"[147]","plainTextFormattedCitation":"[147]","previouslyFormattedCitation":"[147]"},"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[147]</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p>
    <w:p w14:paraId="070DE348" w14:textId="77777777" w:rsidR="00BC71D5" w:rsidRPr="005B1CCB" w:rsidRDefault="00BC71D5" w:rsidP="00A40A9E">
      <w:pPr>
        <w:spacing w:line="360" w:lineRule="auto"/>
        <w:jc w:val="both"/>
        <w:rPr>
          <w:rFonts w:ascii="Palatino Linotype" w:hAnsi="Palatino Linotype" w:cstheme="minorHAnsi"/>
        </w:rPr>
      </w:pPr>
    </w:p>
    <w:p w14:paraId="3AD5086A" w14:textId="77777777" w:rsidR="006A5E78" w:rsidRDefault="00612C76" w:rsidP="00E35439">
      <w:pPr>
        <w:keepNext/>
        <w:spacing w:line="360" w:lineRule="auto"/>
        <w:jc w:val="center"/>
      </w:pPr>
      <w:r w:rsidRPr="005B1CCB">
        <w:rPr>
          <w:noProof/>
          <w:lang w:eastAsia="en-GB"/>
        </w:rPr>
        <mc:AlternateContent>
          <mc:Choice Requires="wps">
            <w:drawing>
              <wp:anchor distT="0" distB="0" distL="114300" distR="114300" simplePos="0" relativeHeight="251664384" behindDoc="0" locked="0" layoutInCell="1" allowOverlap="1" wp14:anchorId="2651F654" wp14:editId="3163C42A">
                <wp:simplePos x="0" y="0"/>
                <wp:positionH relativeFrom="column">
                  <wp:posOffset>4486275</wp:posOffset>
                </wp:positionH>
                <wp:positionV relativeFrom="paragraph">
                  <wp:posOffset>-9824</wp:posOffset>
                </wp:positionV>
                <wp:extent cx="1387736" cy="182880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1387736" cy="1828800"/>
                        </a:xfrm>
                        <a:prstGeom prst="rect">
                          <a:avLst/>
                        </a:prstGeom>
                        <a:noFill/>
                        <a:ln>
                          <a:noFill/>
                        </a:ln>
                      </wps:spPr>
                      <wps:txbx>
                        <w:txbxContent>
                          <w:p w14:paraId="6B5A6E4F" w14:textId="77777777" w:rsidR="00612A45" w:rsidRPr="00612C76" w:rsidRDefault="00612A45" w:rsidP="00612C76">
                            <w:pPr>
                              <w:pStyle w:val="Caption"/>
                              <w:jc w:val="center"/>
                              <w:rPr>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651F654" id="_x0000_t202" coordsize="21600,21600" o:spt="202" path="m,l,21600r21600,l21600,xe">
                <v:stroke joinstyle="miter"/>
                <v:path gradientshapeok="t" o:connecttype="rect"/>
              </v:shapetype>
              <v:shape id="Text Box 91" o:spid="_x0000_s1026" type="#_x0000_t202" style="position:absolute;left:0;text-align:left;margin-left:353.25pt;margin-top:-.75pt;width:109.2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" filled="f" stroked="f">
                <v:textbox style="mso-fit-shape-to-text:t">
                  <w:txbxContent>
                    <w:p w14:paraId="6B5A6E4F" w14:textId="77777777" w:rsidR="00612A45" w:rsidRPr="00612C76" w:rsidRDefault="00612A45" w:rsidP="00612C76">
                      <w:pPr>
                        <w:pStyle w:val="Caption"/>
                        <w:jc w:val="center"/>
                        <w:rPr>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19B09A62" w14:textId="77777777" w:rsidR="00BF170F" w:rsidRPr="005B1CCB" w:rsidRDefault="00BF170F" w:rsidP="00E35439">
      <w:pPr>
        <w:keepNext/>
        <w:spacing w:line="360" w:lineRule="auto"/>
        <w:jc w:val="center"/>
      </w:pPr>
      <w:r>
        <w:rPr>
          <w:noProof/>
          <w:lang w:eastAsia="en-GB"/>
        </w:rPr>
        <w:drawing>
          <wp:inline distT="0" distB="0" distL="0" distR="0" wp14:anchorId="5B695C51" wp14:editId="74078031">
            <wp:extent cx="5973031" cy="2374752"/>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14470" cy="2391227"/>
                    </a:xfrm>
                    <a:prstGeom prst="rect">
                      <a:avLst/>
                    </a:prstGeom>
                  </pic:spPr>
                </pic:pic>
              </a:graphicData>
            </a:graphic>
          </wp:inline>
        </w:drawing>
      </w:r>
    </w:p>
    <w:p w14:paraId="271F6D35" w14:textId="04DD1D0E" w:rsidR="00A40A9E" w:rsidRPr="005B1CCB" w:rsidRDefault="006A5E78" w:rsidP="00612C76">
      <w:pPr>
        <w:pStyle w:val="Caption"/>
        <w:jc w:val="center"/>
        <w:rPr>
          <w:sz w:val="22"/>
          <w:szCs w:val="22"/>
        </w:rPr>
      </w:pPr>
      <w:bookmarkStart w:id="65" w:name="_Toc84519602"/>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7</w:t>
      </w:r>
      <w:r w:rsidRPr="005B1CCB">
        <w:rPr>
          <w:sz w:val="22"/>
          <w:szCs w:val="22"/>
        </w:rPr>
        <w:fldChar w:fldCharType="end"/>
      </w:r>
      <w:r w:rsidRPr="005B1CCB">
        <w:rPr>
          <w:sz w:val="22"/>
          <w:szCs w:val="22"/>
        </w:rPr>
        <w:t>:</w:t>
      </w:r>
      <w:r w:rsidR="00BF170F">
        <w:rPr>
          <w:sz w:val="22"/>
          <w:szCs w:val="22"/>
        </w:rPr>
        <w:t xml:space="preserve"> Screen-printed</w:t>
      </w:r>
      <w:r w:rsidRPr="005B1CCB">
        <w:rPr>
          <w:sz w:val="22"/>
          <w:szCs w:val="22"/>
        </w:rPr>
        <w:t xml:space="preserve"> (A) Single CNT-modified SPCEs and (B) </w:t>
      </w:r>
      <w:r w:rsidR="0072796C" w:rsidRPr="005B1CCB">
        <w:rPr>
          <w:sz w:val="22"/>
          <w:szCs w:val="22"/>
        </w:rPr>
        <w:t xml:space="preserve">Multi </w:t>
      </w:r>
      <w:r w:rsidRPr="005B1CCB">
        <w:rPr>
          <w:sz w:val="22"/>
          <w:szCs w:val="22"/>
        </w:rPr>
        <w:t>CNT-modified SPCE</w:t>
      </w:r>
      <w:r w:rsidR="00BF170F">
        <w:rPr>
          <w:sz w:val="22"/>
          <w:szCs w:val="22"/>
        </w:rPr>
        <w:t xml:space="preserve"> (C) gold electrodes</w:t>
      </w:r>
      <w:r w:rsidR="00835C77">
        <w:rPr>
          <w:sz w:val="22"/>
          <w:szCs w:val="22"/>
        </w:rPr>
        <w:t xml:space="preserve"> </w:t>
      </w:r>
      <w:r w:rsidR="00835C77">
        <w:rPr>
          <w:sz w:val="22"/>
          <w:szCs w:val="22"/>
        </w:rPr>
        <w:fldChar w:fldCharType="begin" w:fldLock="1"/>
      </w:r>
      <w:r w:rsidR="000766C5">
        <w:rPr>
          <w:sz w:val="22"/>
          <w:szCs w:val="22"/>
        </w:rPr>
        <w:instrText>ADDIN CSL_CITATION {"citationItems":[{"id":"ITEM-1","itemData":{"URL":"http://www.dropsens.com/en/screen_printed_electrodes_pag.html","accessed":{"date-parts":[["2019","10","7"]]},"author":[{"dropping-particle":"","family":"Dropsens","given":"","non-dropping-particle":"","parse-names":false,"suffix":""}],"id":"ITEM-1","issued":{"date-parts":[["2019"]]},"title":"Screen-printed electrodes","type":"webpage"},"uris":["http://www.mendeley.com/documents/?uuid=a457159a-1b76-421d-8412-f4452eee476b"]}],"mendeley":{"formattedCitation":"[147]","plainTextFormattedCitation":"[147]","previouslyFormattedCitation":"[147]"},"properties":{"noteIndex":0},"schema":"https://github.com/citation-style-language/schema/raw/master/csl-citation.json"}</w:instrText>
      </w:r>
      <w:r w:rsidR="00835C77">
        <w:rPr>
          <w:sz w:val="22"/>
          <w:szCs w:val="22"/>
        </w:rPr>
        <w:fldChar w:fldCharType="separate"/>
      </w:r>
      <w:r w:rsidR="005F2946" w:rsidRPr="005F2946">
        <w:rPr>
          <w:i w:val="0"/>
          <w:noProof/>
          <w:sz w:val="22"/>
          <w:szCs w:val="22"/>
        </w:rPr>
        <w:t>[147]</w:t>
      </w:r>
      <w:bookmarkEnd w:id="65"/>
      <w:r w:rsidR="00835C77">
        <w:rPr>
          <w:sz w:val="22"/>
          <w:szCs w:val="22"/>
        </w:rPr>
        <w:fldChar w:fldCharType="end"/>
      </w:r>
    </w:p>
    <w:p w14:paraId="6B0D0793" w14:textId="5E3795D2" w:rsidR="00F95009" w:rsidRDefault="00F95009" w:rsidP="00C649E7"/>
    <w:p w14:paraId="157B9107" w14:textId="77777777" w:rsidR="00F95009" w:rsidRPr="005B1CCB" w:rsidRDefault="00F95009" w:rsidP="00C649E7"/>
    <w:p w14:paraId="41BB4E5F" w14:textId="77777777" w:rsidR="0013127B" w:rsidRPr="005B1CCB" w:rsidRDefault="0013127B" w:rsidP="00D71969">
      <w:pPr>
        <w:pStyle w:val="Heading3"/>
      </w:pPr>
      <w:bookmarkStart w:id="66" w:name="_Toc84528071"/>
      <w:r w:rsidRPr="005B1CCB">
        <w:t>Electrochemical setup</w:t>
      </w:r>
      <w:bookmarkEnd w:id="66"/>
    </w:p>
    <w:p w14:paraId="49BA665B" w14:textId="77777777" w:rsidR="00F57E3A" w:rsidRPr="005B1CCB" w:rsidRDefault="00F6405C" w:rsidP="005F4F1C">
      <w:pPr>
        <w:spacing w:line="360" w:lineRule="auto"/>
        <w:jc w:val="both"/>
        <w:rPr>
          <w:rFonts w:ascii="Palatino Linotype" w:hAnsi="Palatino Linotype"/>
          <w:snapToGrid w:val="0"/>
          <w:sz w:val="24"/>
          <w:szCs w:val="24"/>
          <w:lang w:bidi="en-US"/>
        </w:rPr>
      </w:pPr>
      <w:r w:rsidRPr="005B1CCB">
        <w:rPr>
          <w:rFonts w:ascii="Palatino Linotype" w:hAnsi="Palatino Linotype"/>
          <w:snapToGrid w:val="0"/>
          <w:sz w:val="24"/>
          <w:szCs w:val="24"/>
          <w:lang w:bidi="en-US"/>
        </w:rPr>
        <w:t xml:space="preserve">   </w:t>
      </w:r>
      <w:r w:rsidR="004D143C" w:rsidRPr="005B1CCB">
        <w:rPr>
          <w:rFonts w:ascii="Palatino Linotype" w:hAnsi="Palatino Linotype"/>
          <w:snapToGrid w:val="0"/>
          <w:sz w:val="24"/>
          <w:szCs w:val="24"/>
          <w:lang w:bidi="en-US"/>
        </w:rPr>
        <w:t xml:space="preserve">All EIS and voltammetry measurements were performed using a three-electrode system at room temperature. </w:t>
      </w:r>
      <w:r w:rsidR="00A01E0A" w:rsidRPr="005B1CCB">
        <w:rPr>
          <w:rFonts w:ascii="Palatino Linotype" w:hAnsi="Palatino Linotype"/>
          <w:snapToGrid w:val="0"/>
          <w:sz w:val="24"/>
          <w:szCs w:val="24"/>
          <w:lang w:bidi="en-US"/>
        </w:rPr>
        <w:t xml:space="preserve">The portable electrochemical system shown </w:t>
      </w:r>
      <w:r w:rsidR="00D03D7B" w:rsidRPr="005B1CCB">
        <w:rPr>
          <w:rFonts w:ascii="Palatino Linotype" w:hAnsi="Palatino Linotype"/>
          <w:snapToGrid w:val="0"/>
          <w:sz w:val="24"/>
          <w:szCs w:val="24"/>
          <w:lang w:bidi="en-US"/>
        </w:rPr>
        <w:t xml:space="preserve">in </w:t>
      </w:r>
      <w:r w:rsidR="00D90C06" w:rsidRPr="005B1CCB">
        <w:rPr>
          <w:rFonts w:ascii="Palatino Linotype" w:hAnsi="Palatino Linotype"/>
          <w:snapToGrid w:val="0"/>
          <w:sz w:val="24"/>
          <w:szCs w:val="24"/>
          <w:lang w:bidi="en-US"/>
        </w:rPr>
        <w:t>F</w:t>
      </w:r>
      <w:r w:rsidR="00D03D7B" w:rsidRPr="005B1CCB">
        <w:rPr>
          <w:rFonts w:ascii="Palatino Linotype" w:hAnsi="Palatino Linotype"/>
          <w:snapToGrid w:val="0"/>
          <w:sz w:val="24"/>
          <w:szCs w:val="24"/>
          <w:lang w:bidi="en-US"/>
        </w:rPr>
        <w:t xml:space="preserve">igure 8 </w:t>
      </w:r>
      <w:r w:rsidR="00A01E0A" w:rsidRPr="005B1CCB">
        <w:rPr>
          <w:rFonts w:ascii="Palatino Linotype" w:hAnsi="Palatino Linotype"/>
          <w:snapToGrid w:val="0"/>
          <w:sz w:val="24"/>
          <w:szCs w:val="24"/>
          <w:lang w:bidi="en-US"/>
        </w:rPr>
        <w:t>shows the potential of increasing the use of electrochemical methods for point-of-care analysis.</w:t>
      </w:r>
      <w:r w:rsidR="0010504C" w:rsidRPr="005B1CCB">
        <w:rPr>
          <w:rFonts w:ascii="Palatino Linotype" w:hAnsi="Palatino Linotype"/>
          <w:snapToGrid w:val="0"/>
          <w:sz w:val="24"/>
          <w:szCs w:val="24"/>
          <w:lang w:bidi="en-US"/>
        </w:rPr>
        <w:t xml:space="preserve"> Advantages include low power requirements, low cost, simplicity, minimal sample size requirements, quick response and robustness.</w:t>
      </w:r>
    </w:p>
    <w:p w14:paraId="0EF594B7" w14:textId="77777777" w:rsidR="00DC02CD" w:rsidRPr="005B1CCB" w:rsidRDefault="00DC02CD" w:rsidP="00D03D7B">
      <w:pPr>
        <w:keepNext/>
        <w:spacing w:line="360" w:lineRule="auto"/>
        <w:jc w:val="center"/>
      </w:pPr>
      <w:r w:rsidRPr="005B1CCB">
        <w:rPr>
          <w:noProof/>
          <w:lang w:eastAsia="en-GB"/>
        </w:rPr>
        <w:drawing>
          <wp:inline distT="0" distB="0" distL="0" distR="0" wp14:anchorId="5ECDBFCD" wp14:editId="1643F9CF">
            <wp:extent cx="5565775" cy="2275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4516" b="4496"/>
                    <a:stretch/>
                  </pic:blipFill>
                  <pic:spPr bwMode="auto">
                    <a:xfrm>
                      <a:off x="0" y="0"/>
                      <a:ext cx="5653726" cy="2311803"/>
                    </a:xfrm>
                    <a:prstGeom prst="rect">
                      <a:avLst/>
                    </a:prstGeom>
                    <a:ln>
                      <a:noFill/>
                    </a:ln>
                    <a:extLst>
                      <a:ext uri="{53640926-AAD7-44D8-BBD7-CCE9431645EC}">
                        <a14:shadowObscured xmlns:a14="http://schemas.microsoft.com/office/drawing/2010/main"/>
                      </a:ext>
                    </a:extLst>
                  </pic:spPr>
                </pic:pic>
              </a:graphicData>
            </a:graphic>
          </wp:inline>
        </w:drawing>
      </w:r>
    </w:p>
    <w:p w14:paraId="7E56FA48" w14:textId="77777777" w:rsidR="00B536D1" w:rsidRPr="005B1CCB" w:rsidRDefault="00F57E3A" w:rsidP="006A5E78">
      <w:pPr>
        <w:pStyle w:val="Caption"/>
        <w:jc w:val="center"/>
        <w:rPr>
          <w:sz w:val="22"/>
          <w:szCs w:val="22"/>
        </w:rPr>
      </w:pPr>
      <w:bookmarkStart w:id="67" w:name="_Toc84519603"/>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8</w:t>
      </w:r>
      <w:r w:rsidRPr="005B1CCB">
        <w:rPr>
          <w:sz w:val="22"/>
          <w:szCs w:val="22"/>
        </w:rPr>
        <w:fldChar w:fldCharType="end"/>
      </w:r>
      <w:r w:rsidRPr="005B1CCB">
        <w:rPr>
          <w:sz w:val="22"/>
          <w:szCs w:val="22"/>
        </w:rPr>
        <w:t>: Electrochemical system comprising a potentiostat, multiplexer, screen-printed carbon electrodes, electrode connector and laptop</w:t>
      </w:r>
      <w:bookmarkEnd w:id="67"/>
    </w:p>
    <w:p w14:paraId="69CC9922" w14:textId="77777777" w:rsidR="00C649E7" w:rsidRPr="005B1CCB" w:rsidRDefault="00C649E7" w:rsidP="00C649E7"/>
    <w:p w14:paraId="691BACA7" w14:textId="77777777" w:rsidR="0033278D" w:rsidRPr="005B1CCB" w:rsidRDefault="0033278D" w:rsidP="00D71969">
      <w:pPr>
        <w:pStyle w:val="Heading3"/>
      </w:pPr>
      <w:bookmarkStart w:id="68" w:name="_Toc84528072"/>
      <w:r w:rsidRPr="005B1CCB">
        <w:t>Gold electrode preparation</w:t>
      </w:r>
      <w:bookmarkEnd w:id="68"/>
    </w:p>
    <w:p w14:paraId="65BB73CF" w14:textId="77777777" w:rsidR="003614F7" w:rsidRPr="005B1CCB" w:rsidRDefault="00D01727" w:rsidP="003614F7">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The screen-printed DropSens gold electrodes were cleaned by imposing a voltage of 2</w:t>
      </w:r>
      <w:r w:rsidR="00AA7A7A"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V in 0.1</w:t>
      </w:r>
      <w:r w:rsidR="00AA7A7A"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M sulphuric acid for 120</w:t>
      </w:r>
      <w:r w:rsidR="00AA7A7A"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s</w:t>
      </w:r>
      <w:r w:rsidR="00AA7A7A" w:rsidRPr="005B1CCB">
        <w:rPr>
          <w:rFonts w:ascii="Palatino Linotype" w:hAnsi="Palatino Linotype" w:cs="Times New Roman"/>
          <w:sz w:val="24"/>
          <w:szCs w:val="24"/>
        </w:rPr>
        <w:t>econds</w:t>
      </w:r>
      <w:r w:rsidRPr="005B1CCB">
        <w:rPr>
          <w:rFonts w:ascii="Palatino Linotype" w:hAnsi="Palatino Linotype" w:cs="Times New Roman"/>
          <w:sz w:val="24"/>
          <w:szCs w:val="24"/>
        </w:rPr>
        <w:t xml:space="preserve">. </w:t>
      </w:r>
      <w:r w:rsidR="00EF2B17" w:rsidRPr="005B1CCB">
        <w:rPr>
          <w:rFonts w:ascii="Palatino Linotype" w:hAnsi="Palatino Linotype" w:cs="Times New Roman"/>
          <w:sz w:val="24"/>
          <w:szCs w:val="24"/>
        </w:rPr>
        <w:t>Some</w:t>
      </w:r>
      <w:r w:rsidRPr="005B1CCB">
        <w:rPr>
          <w:rFonts w:ascii="Palatino Linotype" w:hAnsi="Palatino Linotype" w:cs="Times New Roman"/>
          <w:sz w:val="24"/>
          <w:szCs w:val="24"/>
        </w:rPr>
        <w:t xml:space="preserve"> electrodes were cycled in 0.1</w:t>
      </w:r>
      <w:r w:rsidR="00AA7A7A"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M sulphuric acid </w:t>
      </w:r>
      <w:r w:rsidRPr="005B1CCB">
        <w:rPr>
          <w:rFonts w:ascii="Palatino Linotype" w:hAnsi="Palatino Linotype"/>
          <w:sz w:val="24"/>
          <w:szCs w:val="24"/>
        </w:rPr>
        <w:t>10 and 20 times respectively between 0 and 1.5</w:t>
      </w:r>
      <w:r w:rsidR="00AA7A7A" w:rsidRPr="005B1CCB">
        <w:rPr>
          <w:rFonts w:ascii="Palatino Linotype" w:hAnsi="Palatino Linotype"/>
          <w:sz w:val="24"/>
          <w:szCs w:val="24"/>
        </w:rPr>
        <w:t xml:space="preserve"> </w:t>
      </w:r>
      <w:r w:rsidRPr="005B1CCB">
        <w:rPr>
          <w:rFonts w:ascii="Palatino Linotype" w:hAnsi="Palatino Linotype"/>
          <w:sz w:val="24"/>
          <w:szCs w:val="24"/>
        </w:rPr>
        <w:t xml:space="preserve">V. </w:t>
      </w:r>
      <w:r w:rsidR="00EF2B17" w:rsidRPr="005B1CCB">
        <w:rPr>
          <w:rFonts w:ascii="Palatino Linotype" w:hAnsi="Palatino Linotype"/>
          <w:sz w:val="24"/>
          <w:szCs w:val="24"/>
        </w:rPr>
        <w:t xml:space="preserve">Some electrodes were </w:t>
      </w:r>
      <w:r w:rsidRPr="005B1CCB">
        <w:rPr>
          <w:rFonts w:ascii="Palatino Linotype" w:hAnsi="Palatino Linotype"/>
          <w:sz w:val="24"/>
          <w:szCs w:val="24"/>
        </w:rPr>
        <w:t xml:space="preserve">dipped in sulphuric acid for 30 minutes while </w:t>
      </w:r>
      <w:r w:rsidR="00EF2B17" w:rsidRPr="005B1CCB">
        <w:rPr>
          <w:rFonts w:ascii="Palatino Linotype" w:hAnsi="Palatino Linotype"/>
          <w:sz w:val="24"/>
          <w:szCs w:val="24"/>
        </w:rPr>
        <w:t>some were</w:t>
      </w:r>
      <w:r w:rsidRPr="005B1CCB">
        <w:rPr>
          <w:rFonts w:ascii="Palatino Linotype" w:hAnsi="Palatino Linotype"/>
          <w:sz w:val="24"/>
          <w:szCs w:val="24"/>
        </w:rPr>
        <w:t xml:space="preserve"> used straight out of the box. </w:t>
      </w:r>
      <w:r w:rsidR="00764EFA" w:rsidRPr="005B1CCB">
        <w:rPr>
          <w:rFonts w:ascii="Palatino Linotype" w:hAnsi="Palatino Linotype" w:cs="Times New Roman"/>
          <w:sz w:val="24"/>
          <w:szCs w:val="24"/>
        </w:rPr>
        <w:t xml:space="preserve">All characterization was done using </w:t>
      </w:r>
      <w:r w:rsidR="00BE5DC6" w:rsidRPr="005B1CCB">
        <w:rPr>
          <w:rFonts w:ascii="Palatino Linotype" w:hAnsi="Palatino Linotype" w:cs="Times New Roman"/>
          <w:sz w:val="24"/>
          <w:szCs w:val="24"/>
        </w:rPr>
        <w:t>5</w:t>
      </w:r>
      <w:r w:rsidR="00AA7A7A" w:rsidRPr="005B1CCB">
        <w:rPr>
          <w:rFonts w:ascii="Palatino Linotype" w:hAnsi="Palatino Linotype" w:cs="Times New Roman"/>
          <w:sz w:val="24"/>
          <w:szCs w:val="24"/>
        </w:rPr>
        <w:t xml:space="preserve"> </w:t>
      </w:r>
      <w:r w:rsidR="00BE5DC6" w:rsidRPr="005B1CCB">
        <w:rPr>
          <w:rFonts w:ascii="Palatino Linotype" w:hAnsi="Palatino Linotype" w:cs="Times New Roman"/>
          <w:sz w:val="24"/>
          <w:szCs w:val="24"/>
        </w:rPr>
        <w:t xml:space="preserve">mM potassium ferri-ferrocyanide and 100 mM potassium chloride </w:t>
      </w:r>
      <w:r w:rsidR="00764EFA" w:rsidRPr="005B1CCB">
        <w:rPr>
          <w:rFonts w:ascii="Palatino Linotype" w:hAnsi="Palatino Linotype" w:cs="Times New Roman"/>
          <w:sz w:val="24"/>
          <w:szCs w:val="24"/>
        </w:rPr>
        <w:t>for 3 cycles between 0 and 1.5</w:t>
      </w:r>
      <w:r w:rsidR="00AA7A7A" w:rsidRPr="005B1CCB">
        <w:rPr>
          <w:rFonts w:ascii="Palatino Linotype" w:hAnsi="Palatino Linotype" w:cs="Times New Roman"/>
          <w:sz w:val="24"/>
          <w:szCs w:val="24"/>
        </w:rPr>
        <w:t xml:space="preserve"> </w:t>
      </w:r>
      <w:r w:rsidR="00764EFA" w:rsidRPr="005B1CCB">
        <w:rPr>
          <w:rFonts w:ascii="Palatino Linotype" w:hAnsi="Palatino Linotype" w:cs="Times New Roman"/>
          <w:sz w:val="24"/>
          <w:szCs w:val="24"/>
        </w:rPr>
        <w:t>V</w:t>
      </w:r>
      <w:r w:rsidR="00BE5DC6" w:rsidRPr="005B1CCB">
        <w:rPr>
          <w:rFonts w:ascii="Palatino Linotype" w:hAnsi="Palatino Linotype" w:cs="Times New Roman"/>
          <w:sz w:val="24"/>
          <w:szCs w:val="24"/>
        </w:rPr>
        <w:t>.</w:t>
      </w:r>
    </w:p>
    <w:p w14:paraId="6356B0AD" w14:textId="47AC4426" w:rsidR="00C06069" w:rsidRDefault="00C06069" w:rsidP="003614F7">
      <w:pPr>
        <w:spacing w:line="360" w:lineRule="auto"/>
        <w:jc w:val="both"/>
        <w:rPr>
          <w:rFonts w:ascii="Palatino Linotype" w:hAnsi="Palatino Linotype"/>
          <w:sz w:val="24"/>
          <w:szCs w:val="24"/>
        </w:rPr>
      </w:pPr>
    </w:p>
    <w:p w14:paraId="36BF3FDF" w14:textId="77777777" w:rsidR="00F95009" w:rsidRPr="005B1CCB" w:rsidRDefault="00F95009" w:rsidP="003614F7">
      <w:pPr>
        <w:spacing w:line="360" w:lineRule="auto"/>
        <w:jc w:val="both"/>
        <w:rPr>
          <w:rFonts w:ascii="Palatino Linotype" w:hAnsi="Palatino Linotype"/>
          <w:sz w:val="24"/>
          <w:szCs w:val="24"/>
        </w:rPr>
      </w:pPr>
    </w:p>
    <w:p w14:paraId="0FC4CCF2" w14:textId="77777777" w:rsidR="00977697" w:rsidRPr="005B1CCB" w:rsidRDefault="00EE1228" w:rsidP="00D71969">
      <w:pPr>
        <w:pStyle w:val="Heading3"/>
      </w:pPr>
      <w:bookmarkStart w:id="69" w:name="_Toc84528073"/>
      <w:r w:rsidRPr="005B1CCB">
        <w:t>Scanning electron microscope (</w:t>
      </w:r>
      <w:r w:rsidR="00977697" w:rsidRPr="005B1CCB">
        <w:t>SEM</w:t>
      </w:r>
      <w:r w:rsidRPr="005B1CCB">
        <w:t>)</w:t>
      </w:r>
      <w:r w:rsidR="00977697" w:rsidRPr="005B1CCB">
        <w:t xml:space="preserve"> Characterisation of multi-</w:t>
      </w:r>
      <w:r w:rsidRPr="005B1CCB">
        <w:t>SPCE</w:t>
      </w:r>
      <w:bookmarkEnd w:id="69"/>
    </w:p>
    <w:p w14:paraId="0BF70934" w14:textId="77777777" w:rsidR="00C52407" w:rsidRPr="005B1CCB" w:rsidRDefault="00C52407" w:rsidP="00C52407">
      <w:pPr>
        <w:spacing w:line="360" w:lineRule="auto"/>
        <w:jc w:val="both"/>
        <w:rPr>
          <w:rFonts w:ascii="Palatino Linotype" w:hAnsi="Palatino Linotype"/>
          <w:sz w:val="24"/>
          <w:szCs w:val="24"/>
          <w:lang w:bidi="en-US"/>
        </w:rPr>
      </w:pPr>
      <w:r w:rsidRPr="005B1CCB">
        <w:rPr>
          <w:rFonts w:ascii="Palatino Linotype" w:hAnsi="Palatino Linotype"/>
          <w:sz w:val="24"/>
          <w:szCs w:val="24"/>
        </w:rPr>
        <w:t xml:space="preserve">   Considering that electro-chemistry is founded on interfacial phenomena, it is important to understand the nature and characteristic of the carbon electrodes being used. </w:t>
      </w:r>
      <w:r w:rsidR="00284AA8" w:rsidRPr="00101B10">
        <w:rPr>
          <w:rFonts w:ascii="Palatino Linotype" w:hAnsi="Palatino Linotype"/>
          <w:sz w:val="24"/>
          <w:szCs w:val="24"/>
          <w:lang w:bidi="en-US"/>
        </w:rPr>
        <w:t>S</w:t>
      </w:r>
      <w:r w:rsidR="00FD2C19" w:rsidRPr="00101B10">
        <w:rPr>
          <w:rFonts w:ascii="Palatino Linotype" w:hAnsi="Palatino Linotype"/>
          <w:sz w:val="24"/>
          <w:szCs w:val="24"/>
          <w:lang w:bidi="en-US"/>
        </w:rPr>
        <w:t>tudies of the S</w:t>
      </w:r>
      <w:r w:rsidR="00EE1228" w:rsidRPr="00101B10">
        <w:rPr>
          <w:rFonts w:ascii="Palatino Linotype" w:hAnsi="Palatino Linotype"/>
          <w:sz w:val="24"/>
          <w:szCs w:val="24"/>
          <w:lang w:bidi="en-US"/>
        </w:rPr>
        <w:t>P</w:t>
      </w:r>
      <w:r w:rsidR="00FD2C19" w:rsidRPr="00101B10">
        <w:rPr>
          <w:rFonts w:ascii="Palatino Linotype" w:hAnsi="Palatino Linotype"/>
          <w:sz w:val="24"/>
          <w:szCs w:val="24"/>
          <w:lang w:bidi="en-US"/>
        </w:rPr>
        <w:t>CE before and after their surface treatment would provide a valuable insight into the electrochemical nature of carbon particles that are embedded in a complex matrix system.</w:t>
      </w:r>
      <w:r w:rsidR="00EE1228" w:rsidRPr="005B1CCB">
        <w:rPr>
          <w:rFonts w:ascii="Palatino Linotype" w:hAnsi="Palatino Linotype"/>
          <w:sz w:val="24"/>
          <w:szCs w:val="24"/>
          <w:lang w:bidi="en-US"/>
        </w:rPr>
        <w:t xml:space="preserve"> This was done by scanning and examining the surface of the bare and pre-treated screen printed multi carbon electrodes. </w:t>
      </w:r>
      <w:r w:rsidR="003C00F8" w:rsidRPr="005B1CCB">
        <w:rPr>
          <w:rFonts w:ascii="Palatino Linotype" w:hAnsi="Palatino Linotype"/>
          <w:sz w:val="24"/>
          <w:szCs w:val="24"/>
          <w:lang w:bidi="en-US"/>
        </w:rPr>
        <w:t>SEM images were acquired under a TM-1000 (Hitachi, Tokyo, Japan) and they were performed by scanning a 4 mm area at a magnification of x 1.0 k, 5.0 k and 10.0 k.</w:t>
      </w:r>
    </w:p>
    <w:p w14:paraId="1F28C697" w14:textId="77777777" w:rsidR="00C06069" w:rsidRPr="005B1CCB" w:rsidRDefault="00C06069" w:rsidP="00C52407">
      <w:pPr>
        <w:spacing w:line="360" w:lineRule="auto"/>
        <w:jc w:val="both"/>
        <w:rPr>
          <w:rFonts w:ascii="Palatino Linotype" w:hAnsi="Palatino Linotype"/>
          <w:sz w:val="24"/>
          <w:szCs w:val="24"/>
          <w:lang w:bidi="en-US"/>
        </w:rPr>
      </w:pPr>
    </w:p>
    <w:p w14:paraId="7A575942" w14:textId="77777777" w:rsidR="00285B9B" w:rsidRPr="005B1CCB" w:rsidRDefault="00285B9B" w:rsidP="00285B9B">
      <w:pPr>
        <w:pStyle w:val="Heading3"/>
      </w:pPr>
      <w:bookmarkStart w:id="70" w:name="_Toc84528074"/>
      <w:r w:rsidRPr="005B1CCB">
        <w:t>Initial assay development</w:t>
      </w:r>
      <w:bookmarkEnd w:id="70"/>
    </w:p>
    <w:p w14:paraId="040820FB" w14:textId="63135A9E" w:rsidR="00285B9B" w:rsidRPr="005B1CCB" w:rsidRDefault="00285B9B" w:rsidP="00285B9B">
      <w:pPr>
        <w:spacing w:line="360" w:lineRule="auto"/>
        <w:jc w:val="both"/>
        <w:rPr>
          <w:rFonts w:ascii="Palatino Linotype" w:hAnsi="Palatino Linotype" w:cs="Times New Roman"/>
          <w:sz w:val="24"/>
          <w:szCs w:val="24"/>
        </w:rPr>
      </w:pPr>
      <w:r w:rsidRPr="005B1CCB">
        <w:rPr>
          <w:rFonts w:ascii="Palatino Linotype" w:hAnsi="Palatino Linotype"/>
          <w:sz w:val="24"/>
          <w:szCs w:val="24"/>
        </w:rPr>
        <w:t xml:space="preserve">   For the carbon electrodes, it was necessary to implement a surface functionalisation chemistry and to this end functionalisation with a diazonium compound followed by NHS-EDC coupling of amine-tagged DNA, the electrode surface was implemented.  This is a well-established and robust methodology for bio</w:t>
      </w:r>
      <w:r w:rsidR="00C06069" w:rsidRPr="005B1CCB">
        <w:rPr>
          <w:rFonts w:ascii="Palatino Linotype" w:hAnsi="Palatino Linotype"/>
          <w:sz w:val="24"/>
          <w:szCs w:val="24"/>
        </w:rPr>
        <w:t>-</w:t>
      </w:r>
      <w:r w:rsidRPr="005B1CCB">
        <w:rPr>
          <w:rFonts w:ascii="Palatino Linotype" w:hAnsi="Palatino Linotype"/>
          <w:sz w:val="24"/>
          <w:szCs w:val="24"/>
        </w:rPr>
        <w:t xml:space="preserve">functionalising carbon surfaces for electrochemical readout of bio-recognition events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{"citationItems":[{"id":"ITEM-1","itemData":{"DOI":"10.1039/c3an36883a","ISBN":"0003-2654","ISSN":"13645528","PMID":"23736898","abstract":"A graphene-based label-free voltammetric immunosensor for the sensitive detection of the egg white allergen ovalbumin has been developed. Graphene-modified screen printed carbon electrodes have been covalently functionalized using electrochemical reduction of in situ generated aryl diazonium salt forming a carboxyphenyl film on the graphene surface. The blocking property of the carboxyphenyl film grafted on to the graphene electrodes using different cyclic voltammetry cycles has been characterized using differential pulse voltammetry in [Fe(CN)(6)](3-/4-) solution. Then, the terminal carboxylic groups on the graphene surface were activated using EDC/NHS and used to immobilize the ovalbumin antibody and construct the immunosensor. The fabrication steps of the immunosensor have also been characterized using differential pulse voltammetry. The decrease in the [Fe(CN)(6)](3-/4-) reduction peak current after the immunochemical reaction with ovalbumin has been used for the ovalbumin detection. The developed immunosensor has been used for ovalbumin detection in the concentration range of 1 pg mL(-1) to 0.5 mg mL(-1) with a detection limit of 0.83 pg mL(-1) in PBS buffer. The food matrix effect studied with ovalbumin spiked cake extract showed a good percentage of recovery, indicating the possible applicability of the developed immunosensor in real food samples.","author":[{"dropping-particle":"","family":"Eissa","given":"Shimaa","non-dropping-particle":"","parse-names":false,"suffix":""},{"dropping-particle":"","family":"L'Hocine","given":"Lamia","non-dropping-particle":"","parse-names":false,"suffix":""},{"dropping-particle":"","family":"Siaj","given":"Mohamed","non-dropping-particle":"","parse-names":false,"suffix":""},{"dropping-particle":"","family":"Zourob","given":"Mohammed","non-dropping-particle":"","parse-names":false,"suffix":""}],"container-title":"Analyst","id":"ITEM-1","issue":"15","issued":{"date-parts":[["2013"]]},"page":"4378-4384","title":"A graphene-based label-free voltammetric immunosensor for sensitive detection of the egg allergen ovalbumin","type":"article-journal","volume":"138"},"uris":["http://www.mendeley.com/documents/?uuid=2b50e72d-14be-41e7-800f-e6b1d54a5420","http://www.mendeley.com/documents/?uuid=b2eabbc8-965a-47e5-bee0-741e6dd5c763"]}],"mendeley":{"formattedCitation":"[187]","plainTextFormattedCitation":"[187]","previouslyFormattedCitation":"[187]"},"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[187]</w:t>
      </w:r>
      <w:r w:rsidRPr="005B1CCB">
        <w:rPr>
          <w:rFonts w:ascii="Palatino Linotype" w:hAnsi="Palatino Linotype"/>
          <w:sz w:val="24"/>
          <w:szCs w:val="24"/>
        </w:rPr>
        <w:fldChar w:fldCharType="end"/>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{"citationItems":[{"id":"ITEM-1","itemData":{"DOI":"10.1021/ac060533b","ISBN":"0003-2700","ISSN":"00032700","PMID":"16944889","abstract":"Gold electrode arrays with electrode diameters of 10 mum were used for the detection of eight single-nucleotide mismatches in unlabeled and prehybridized DNA by electrochemical impedance spectroscopy (EIS). Because of the differences in the electrical properties of films of duplex DNA (normal duplex DNA in B-form) in the presence and absence of Zn(2+) at pH &gt; or = 8.6, Randles equivalent circuits were employed to evaluate the EIS results. The difference in the charge-transfer resistance (DeltaR(CT)) between B-DNA (absence of Zn2+ at pH &gt; or = 8.6) and M-DNA (presence of Zn2+ at pH &gt; or = 8.6) allows unequivocal detection of all eight single-nucleotide mismatches within a 20-mer DNA sequence. After dehybridization/rehybridization with target DNA, DeltaR(CT) allows the discrimination of single-nucleotide mismatches with concentrations of the target strand as low as 10 fM. Although the presence of protein impurities (bovine serum albumin, 10 microg/mL) interferes with the detection of the target strand (1 pM detection limit), the presence of nontarget DNA (calf thymus DNA, 10(-8) M) does not interfere, and the detection limit for recognition of the target strand remains at 10 fM.","author":[{"dropping-particle":"","family":"Li","given":"Xiaohong","non-dropping-particle":"","parse-names":false,"suffix":""},{"dropping-particle":"","family":"Lee","given":"Jeremy S.","non-dropping-particle":"","parse-names":false,"suffix":""},{"dropping-particle":"","family":"Kraatz","given":"Heinz Bernhard","non-dropping-particle":"","parse-names":false,"suffix":""}],"container-title":"Analytical Chemistry","id":"ITEM-1","issue":"17","issued":{"date-parts":[["2006"]]},"page":"6096-6101","title":"Electrochemical detection of single-nucleotide mismatches using an electrode microarray","type":"article-journal","volume":"78"},"uris":["http://www.mendeley.com/documents/?uuid=21895e1c-304a-4e16-8a1b-cbcc2abd1eb3","http://www.mendeley.com/documents/?uuid=941a0a23-d1c8-438e-af9d-417e9e7e49b1"]}],"mendeley":{"formattedCitation":"[131]","plainTextFormattedCitation":"[131]","previouslyFormattedCitation":"[131]"},"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[131]</w:t>
      </w:r>
      <w:r w:rsidRPr="005B1CCB">
        <w:rPr>
          <w:rFonts w:ascii="Palatino Linotype" w:hAnsi="Palatino Linotype"/>
          <w:sz w:val="24"/>
          <w:szCs w:val="24"/>
        </w:rPr>
        <w:fldChar w:fldCharType="end"/>
      </w:r>
      <w:r w:rsidRPr="005B1CCB">
        <w:rPr>
          <w:rFonts w:ascii="Palatino Linotype" w:hAnsi="Palatino Linotype"/>
          <w:sz w:val="24"/>
          <w:szCs w:val="24"/>
        </w:rPr>
        <w:t xml:space="preserve">.  </w:t>
      </w:r>
      <w:r w:rsidRPr="00101B10">
        <w:rPr>
          <w:rFonts w:ascii="Palatino Linotype" w:hAnsi="Palatino Linotype" w:cs="Times New Roman"/>
          <w:sz w:val="24"/>
          <w:szCs w:val="24"/>
        </w:rPr>
        <w:t xml:space="preserve">Electrografting using </w:t>
      </w:r>
      <w:r w:rsidRPr="00101B10">
        <w:rPr>
          <w:rFonts w:ascii="Palatino Linotype" w:hAnsi="Palatino Linotype" w:cs="Times New Roman"/>
          <w:i/>
          <w:sz w:val="24"/>
          <w:szCs w:val="24"/>
        </w:rPr>
        <w:t>in-situ</w:t>
      </w:r>
      <w:r w:rsidRPr="00101B10">
        <w:rPr>
          <w:rFonts w:ascii="Palatino Linotype" w:hAnsi="Palatino Linotype" w:cs="Times New Roman"/>
          <w:sz w:val="24"/>
          <w:szCs w:val="24"/>
        </w:rPr>
        <w:t xml:space="preserve"> generated diazonium cations is important for modifying the surface of the SPCE by allowing the formation of strong covalent bonds between the carbon surface and organic films</w:t>
      </w:r>
      <w:r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{"citationItems":[{"id":"ITEM-1","itemData":{"DOI":"10.3390/bios10010004","ISSN":"20796374","PMID":"31952195","abstract":"This review is divided into two parts; the first one summarizes the main features of surface modification by diazonium salts with a focus on most recent advances, while the second part deals with diazonium-based biosensors including small molecules of biological interest, proteins, and nucleic acids.","author":[{"dropping-particle":"","family":"Hetemi","given":"Dardan","non-dropping-particle":"","parse-names":false,"suffix":""},{"dropping-particle":"","family":"Noël","given":"Vincent","non-dropping-particle":"","parse-names":false,"suffix":""},{"dropping-particle":"","family":"Pinson","given":"Jean","non-dropping-particle":"","parse-names":false,"suffix":""}],"container-title":"Biosensors","id":"ITEM-1","issue":"1","issued":{"date-parts":[["2020"]]},"title":"Grafting of diazonium salts on surfaces: Application to biosensors","type":"article-journal","volume":"10"},"uris":["http://www.mendeley.com/documents/?uuid=6b0337df-a481-4dc8-b753-cb17ab175f0e"]}],"mendeley":{"formattedCitation":"[188]","manualFormatting":"[45","plainTextFormattedCitation":"[188]","previouslyFormattedCitation":"[188]"},"properties":{"noteIndex":0},"schema":"https://github.com/citation-style-language/schema/raw/master/csl-citation.json"}</w:instrText>
      </w:r>
      <w:r w:rsidRPr="005B1CCB">
        <w:rPr>
          <w:rFonts w:ascii="Palatino Linotype" w:hAnsi="Palatino Linotype" w:cs="Times New Roman"/>
          <w:sz w:val="24"/>
          <w:szCs w:val="24"/>
        </w:rPr>
        <w:fldChar w:fldCharType="separate"/>
      </w:r>
      <w:r w:rsidRPr="005B1CCB">
        <w:rPr>
          <w:rFonts w:ascii="Palatino Linotype" w:hAnsi="Palatino Linotype" w:cs="Times New Roman"/>
          <w:noProof/>
          <w:sz w:val="24"/>
          <w:szCs w:val="24"/>
        </w:rPr>
        <w:t>[45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r w:rsidRPr="005B1CCB">
        <w:rPr>
          <w:rFonts w:ascii="Palatino Linotype" w:hAnsi="Palatino Linotype" w:cs="Times New Roman"/>
          <w:i/>
          <w:sz w:val="24"/>
          <w:szCs w:val="24"/>
        </w:rPr>
        <w:fldChar w:fldCharType="begin" w:fldLock="1"/>
      </w:r>
      <w:r w:rsidR="000766C5">
        <w:rPr>
          <w:rFonts w:ascii="Palatino Linotype" w:hAnsi="Palatino Linotype" w:cs="Times New Roman"/>
          <w:i/>
          <w:sz w:val="24"/>
          <w:szCs w:val="24"/>
        </w:rPr>
        <w:instrText>ADDIN CSL_CITATION {"citationItems":[{"id":"ITEM-1","itemData":{"DOI":"10.3390/bios9030088","ISSN":"20796374","PMID":"31319551","abstract":"Altered growth hormone (GH) levels represent a major global health challenge that would benefit from advances in screening methods that are rapid and low cost. Here, we present a miniaturized immunosensor using disposable screen-printed carbon electrodes (SPCEs) for the detection of GH with high sensitivity. The diazonium-based linker layer was electrochemically deposited onto SPCE surfaces, and subsequently activated using covalent agents to immobilize monoclonal anti-GH antibodies as the sensing layer. The surface modifications were monitored using contact angle measurements and X-ray photoelectron spectroscopy (XPS). The dissociation constant, Kd, of the anti-GH antibodies was also determined as 1.44 (±0.15) using surface plasmon resonance (SPR). The immunosensor was able to detect GH in the picomolar range using a 20 μL sample volume in connection with electrochemical impedance spectroscopy (EIS). The selectivity of the SPCE-based immunosensors was also challenged with whole blood and serum samples collected at various development stages of rats, demonstrating the potential applicability for detection in biological samples. Our results demonstrated that SPCEs provided the development of low-cost and single-use electrochemical immunosensors in comparison with glassy carbon electrode (GCE)-based ones.","author":[{"dropping-particle":"","family":"Li","given":"Nan","non-dropping-particle":"","parse-names":false,"suffix":""},{"dropping-particle":"","family":"Chow","given":"Ari M.","non-dropping-particle":"","parse-names":false,"suffix":""},{"dropping-particle":"","family":"Ganesh","given":"Hashwin V.S.","non-dropping-particle":"","parse-names":false,"suffix":""},{"dropping-particle":"","family":"Ratnam","given":"Melanie","non-dropping-particle":"","parse-names":false,"suffix":""},{"dropping-particle":"","family":"Brown","given":"Ian R.","non-dropping-particle":"","parse-names":false,"suffix":""},{"dropping-particle":"","family":"Kerman","given":"Kagan","non-dropping-particle":"","parse-names":false,"suffix":""}],"container-title":"Biosensors","id":"ITEM-1","issue":"3","issued":{"date-parts":[["2019"]]},"title":"Diazonium-modified screen-printed electrodes for immunosensing growth hormone in blood samples","type":"article-journal","volume":"9"},"uris":["http://www.mendeley.com/documents/?uuid=451f13f3-6240-4761-bd90-acd5f6f026cd"]}],"mendeley":{"formattedCitation":"[189]","manualFormatting":"46]","plainTextFormattedCitation":"[189]","previouslyFormattedCitation":"[189]"},"properties":{"noteIndex":0},"schema":"https://github.com/citation-style-language/schema/raw/master/csl-citation.json"}</w:instrText>
      </w:r>
      <w:r w:rsidRPr="005B1CCB">
        <w:rPr>
          <w:rFonts w:ascii="Palatino Linotype" w:hAnsi="Palatino Linotype" w:cs="Times New Roman"/>
          <w:i/>
          <w:sz w:val="24"/>
          <w:szCs w:val="24"/>
        </w:rPr>
        <w:fldChar w:fldCharType="separate"/>
      </w:r>
      <w:r w:rsidRPr="005B1CCB">
        <w:rPr>
          <w:rFonts w:ascii="Palatino Linotype" w:hAnsi="Palatino Linotype" w:cs="Times New Roman"/>
          <w:noProof/>
          <w:sz w:val="24"/>
          <w:szCs w:val="24"/>
        </w:rPr>
        <w:t>46]</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The covalent attachment strategy employed in this study involves the use of carbodiimide reagents (NHS and EDC) between carboxyl group and amine terminated DNA probe by carboxyl group activation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{"citationItems":[{"id":"ITEM-1","itemData":{"DOI":"10.1016/j.sbsr.2017.09.001","ISBN":"2214-1804","ISSN":"22141804","abstract":"In recent years, electrochemical deoxyribonucleic acid (DNA) sensor has recently emerged as promising alternative clinical diagnostic devices especially for infectious disease by exploiting DNA recognition events and converting them into an electrochemical signal. This is because the existing DNA diagnostic method possesses certain drawbacks such as time-consuming, expensive, laborious, low selectivity and sensitivity. DNA immobilization strategies and mechanism of electrochemical detection are two the most important aspects that should be considered before developing highly selective and sensitive electrochemical DNA sensor. Here, we focus on some recent strategies for DNA probes immobilization on the surface of electrochemical transducer such as adsorption, covalent bonding and Avidin/Streptavidin-Biotin interaction on the electrode surface for specific interaction with its complementary DNA target. A numerous approach for DNA hybridization detection based electrochemical technique that frequently used including direct DNA electrochemical detection and label based electrochemical (redox-active indicator, enzyme label and nanoparticles were also discussed in aiming to provide general guide for the design of electrochemical DNA sensor. We also discussed the challenges and suggestions to improve the application of electrochemical DNA sensor at point-care setting.","author":[{"dropping-particle":"","family":"Rashid","given":"Jahwarhar Izuan Abdul","non-dropping-particle":"","parse-names":false,"suffix":""},{"dropping-particle":"","family":"Yusof","given":"Nor Azah","non-dropping-particle":"","parse-names":false,"suffix":""}],"container-title":"Sensing and Bio-Sensing Research","id":"ITEM-1","issue":"September","issued":{"date-parts":[["2017"]]},"page":"19-31","publisher":"Elsevier","title":"The strategies of DNA immobilization and hybridization detection mechanism in the construction of electrochemical DNA sensor: A review","type":"article-journal","volume":"16"},"uris":["http://www.mendeley.com/documents/?uuid=52a433c3-5380-4329-99af-7d943f8d0fcf"]}],"mendeley":{"formattedCitation":"[129]","plainTextFormattedCitation":"[129]","previouslyFormattedCitation":"[129]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[129]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The EDC is an established zero length cross-linking agent that has been employed in coupling carboxyl groups to primary amines in various applications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{"citationItems":[{"id":"ITEM-1","itemData":{"DOI":"10.1002/jin2.16","ISSN":"20583273","author":[{"dropping-particle":"","family":"Obaje","given":"Eleojo A.","non-dropping-particle":"","parse-names":false,"suffix":""},{"dropping-particle":"","family":"Cummins","given":"Gerard","non-dropping-particle":"","parse-names":false,"suffix":""},{"dropping-particle":"","family":"Schulze","given":"Holger","non-dropping-particle":"","parse-names":false,"suffix":""},{"dropping-particle":"","family":"Mahmood","given":"Salman","non-dropping-particle":"","parse-names":false,"suffix":""},{"dropping-particle":"","family":"Desmulliez","given":"Marc P.Y.","non-dropping-particle":"","parse-names":false,"suffix":""},{"dropping-particle":"","family":"Bachmann","given":"Till T.","non-dropping-particle":"","parse-names":false,"suffix":""}],"container-title":"Journal of Interdisciplinary Nanomedicine","id":"ITEM-1","issue":"3","issued":{"date-parts":[["2016"]]},"page":"93-109","title":"Carbon screen-printed electrodes on ceramic substrates for label-free molecular detection of antibiotic resistance","type":"article-journal","volume":"1"},"uris":["http://www.mendeley.com/documents/?uuid=c42a9070-bc63-40d6-b0a1-356e9adc6ec9"]}],"mendeley":{"formattedCitation":"[190]","plainTextFormattedCitation":"[190]","previouslyFormattedCitation":"[190]"},"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[190]</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One of the main benefits of EDC coupling is its water solubility that allows direct bio-conjugation without prior organic solvent dissolution. To improve the stability of the active ester, NHS was introduced to modify the amine-reactive chemical substance by converting it to an active NHS ester, thus maximising the efficiency of the EDC-mediated coupling reactions. </w:t>
      </w:r>
    </w:p>
    <w:p w14:paraId="46E5F528" w14:textId="77777777" w:rsidR="00285B9B" w:rsidRPr="005B1CCB" w:rsidRDefault="00285B9B" w:rsidP="00285B9B">
      <w:pPr>
        <w:spacing w:line="360" w:lineRule="auto"/>
        <w:jc w:val="center"/>
      </w:pPr>
    </w:p>
    <w:p w14:paraId="7EFACD4E" w14:textId="77777777" w:rsidR="006A7006" w:rsidRPr="005B1CCB" w:rsidRDefault="001B56ED" w:rsidP="00C52407">
      <w:pPr>
        <w:pStyle w:val="Heading3"/>
      </w:pPr>
      <w:bookmarkStart w:id="71" w:name="_Toc84528075"/>
      <w:r w:rsidRPr="005B1CCB">
        <w:t>Carbon e</w:t>
      </w:r>
      <w:r w:rsidR="006A7006" w:rsidRPr="005B1CCB">
        <w:t>lectrode preparation</w:t>
      </w:r>
      <w:bookmarkEnd w:id="71"/>
    </w:p>
    <w:p w14:paraId="76A31801" w14:textId="77777777" w:rsidR="006A7006" w:rsidRPr="005B1CCB" w:rsidRDefault="009D0AF8" w:rsidP="0094259F">
      <w:pPr>
        <w:spacing w:line="360" w:lineRule="auto"/>
        <w:jc w:val="both"/>
        <w:rPr>
          <w:rFonts w:ascii="Palatino Linotype" w:hAnsi="Palatino Linotype"/>
          <w:sz w:val="24"/>
          <w:szCs w:val="24"/>
        </w:rPr>
      </w:pPr>
      <w:r w:rsidRPr="005B1CCB">
        <w:rPr>
          <w:rFonts w:ascii="Palatino Linotype" w:hAnsi="Palatino Linotype" w:cs="Times New Roman"/>
          <w:sz w:val="24"/>
          <w:szCs w:val="24"/>
        </w:rPr>
        <w:t xml:space="preserve">   </w:t>
      </w:r>
      <w:r w:rsidR="00923C44" w:rsidRPr="00101B10">
        <w:rPr>
          <w:rFonts w:ascii="Palatino Linotype" w:hAnsi="Palatino Linotype" w:cs="Times New Roman"/>
          <w:sz w:val="24"/>
          <w:szCs w:val="24"/>
        </w:rPr>
        <w:t>Carbon materials have a more complex surface chemistry than other metallic electrodes due to the wide variety of surface bonds and possible functional groups.</w:t>
      </w:r>
      <w:r w:rsidR="00923C44" w:rsidRPr="005B1CCB">
        <w:rPr>
          <w:rFonts w:ascii="Times New Roman" w:eastAsia="Times New Roman" w:hAnsi="Times New Roman" w:cs="Times New Roman"/>
          <w:color w:val="000000"/>
          <w:sz w:val="24"/>
          <w:szCs w:val="20"/>
          <w:lang w:eastAsia="de-DE"/>
        </w:rPr>
        <w:t xml:space="preserve"> </w:t>
      </w:r>
      <w:r w:rsidR="006A7006" w:rsidRPr="005B1CCB">
        <w:rPr>
          <w:rFonts w:ascii="Palatino Linotype" w:hAnsi="Palatino Linotype" w:cs="Times New Roman"/>
          <w:sz w:val="24"/>
          <w:szCs w:val="24"/>
        </w:rPr>
        <w:t xml:space="preserve">The surface functionalisation protocol is illustrated in Figure </w:t>
      </w:r>
      <w:r w:rsidR="004B0128" w:rsidRPr="005B1CCB">
        <w:rPr>
          <w:rFonts w:ascii="Palatino Linotype" w:hAnsi="Palatino Linotype" w:cs="Times New Roman"/>
          <w:sz w:val="24"/>
          <w:szCs w:val="24"/>
        </w:rPr>
        <w:t>9.</w:t>
      </w:r>
      <w:r w:rsidR="006A7006" w:rsidRPr="005B1CCB">
        <w:rPr>
          <w:rFonts w:ascii="Palatino Linotype" w:hAnsi="Palatino Linotype" w:cs="Times New Roman"/>
          <w:sz w:val="24"/>
          <w:szCs w:val="24"/>
        </w:rPr>
        <w:t xml:space="preserve"> To prepare the surface of the carbon electrodes for DNA probe attachment, it was necessary to first use a surface pre-treatment method by applying 1.4 V for 1 min in 0.5 M acetate buffer solution (ABS) containing 20 mM NaCl 8 (pH 4.8). An alternative pre-treatment technique explored for optimisation comparison required soaking the SPCEs in 3 M NaOH for 1 hour as an initial step and anodizing at 1.2 V using a scan rate of 0.5 V/s via CV. Next, 2 mM NaNO</w:t>
      </w:r>
      <w:r w:rsidR="006A7006" w:rsidRPr="005B1CCB">
        <w:rPr>
          <w:rFonts w:ascii="Palatino Linotype" w:hAnsi="Palatino Linotype" w:cs="Times New Roman"/>
          <w:sz w:val="24"/>
          <w:szCs w:val="24"/>
          <w:vertAlign w:val="subscript"/>
        </w:rPr>
        <w:t>2</w:t>
      </w:r>
      <w:r w:rsidR="006A7006" w:rsidRPr="005B1CCB">
        <w:rPr>
          <w:rFonts w:ascii="Palatino Linotype" w:hAnsi="Palatino Linotype" w:cs="Times New Roman"/>
          <w:sz w:val="24"/>
          <w:szCs w:val="24"/>
        </w:rPr>
        <w:t xml:space="preserve"> solution with 2 mM 4-aminobenzoic acid was prepared in 0.5 M HC</w:t>
      </w:r>
      <w:r w:rsidR="009B2D58" w:rsidRPr="005B1CCB">
        <w:rPr>
          <w:rFonts w:ascii="Palatino Linotype" w:hAnsi="Palatino Linotype" w:cs="Times New Roman"/>
          <w:sz w:val="24"/>
          <w:szCs w:val="24"/>
        </w:rPr>
        <w:t>l</w:t>
      </w:r>
      <w:r w:rsidR="006A7006" w:rsidRPr="005B1CCB">
        <w:rPr>
          <w:rFonts w:ascii="Palatino Linotype" w:hAnsi="Palatino Linotype" w:cs="Times New Roman"/>
          <w:sz w:val="24"/>
          <w:szCs w:val="24"/>
        </w:rPr>
        <w:t xml:space="preserve"> and stirred for approximately 5 min at room temperature to produce a diazonium compound. </w:t>
      </w:r>
    </w:p>
    <w:p w14:paraId="69DCC324" w14:textId="77777777" w:rsidR="004B0128" w:rsidRPr="005B1CCB" w:rsidRDefault="004B0128" w:rsidP="004B0128">
      <w:pPr>
        <w:keepNext/>
        <w:spacing w:line="360" w:lineRule="auto"/>
        <w:ind w:left="360"/>
        <w:jc w:val="center"/>
      </w:pPr>
      <w:r w:rsidRPr="005B1CCB">
        <w:rPr>
          <w:rFonts w:ascii="Palatino Linotype" w:hAnsi="Palatino Linotype"/>
          <w:noProof/>
          <w:lang w:eastAsia="en-GB"/>
        </w:rPr>
        <w:drawing>
          <wp:inline distT="0" distB="0" distL="0" distR="0" wp14:anchorId="48D347F9" wp14:editId="6C7D0A20">
            <wp:extent cx="3935896" cy="3307827"/>
            <wp:effectExtent l="0" t="0" r="7620" b="6985"/>
            <wp:docPr id="57"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preview"/>
                    <pic:cNvPicPr>
                      <a:picLocks noChangeAspect="1" noChangeArrowheads="1"/>
                    </pic:cNvPicPr>
                  </pic:nvPicPr>
                  <pic:blipFill rotWithShape="1">
                    <a:blip r:embed="rId21">
                      <a:extLst>
                        <a:ext uri="{28A0092B-C50C-407E-A947-70E740481C1C}">
                          <a14:useLocalDpi xmlns:a14="http://schemas.microsoft.com/office/drawing/2010/main" val="0"/>
                        </a:ext>
                      </a:extLst>
                    </a:blip>
                    <a:srcRect l="24254" r="11974" b="4724"/>
                    <a:stretch/>
                  </pic:blipFill>
                  <pic:spPr bwMode="auto">
                    <a:xfrm>
                      <a:off x="0" y="0"/>
                      <a:ext cx="3956207" cy="3324897"/>
                    </a:xfrm>
                    <a:prstGeom prst="rect">
                      <a:avLst/>
                    </a:prstGeom>
                    <a:noFill/>
                    <a:ln>
                      <a:noFill/>
                    </a:ln>
                    <a:extLst>
                      <a:ext uri="{53640926-AAD7-44D8-BBD7-CCE9431645EC}">
                        <a14:shadowObscured xmlns:a14="http://schemas.microsoft.com/office/drawing/2010/main"/>
                      </a:ext>
                    </a:extLst>
                  </pic:spPr>
                </pic:pic>
              </a:graphicData>
            </a:graphic>
          </wp:inline>
        </w:drawing>
      </w:r>
    </w:p>
    <w:p w14:paraId="553721C1" w14:textId="3B069F92" w:rsidR="004B0128" w:rsidRPr="005B1CCB" w:rsidRDefault="004B0128" w:rsidP="004B0128">
      <w:pPr>
        <w:pStyle w:val="Caption"/>
        <w:jc w:val="center"/>
        <w:rPr>
          <w:rFonts w:ascii="Palatino Linotype" w:hAnsi="Palatino Linotype" w:cs="Times New Roman"/>
        </w:rPr>
      </w:pPr>
      <w:bookmarkStart w:id="72" w:name="_Toc84519604"/>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9</w:t>
      </w:r>
      <w:r w:rsidRPr="005B1CCB">
        <w:rPr>
          <w:sz w:val="22"/>
          <w:szCs w:val="22"/>
        </w:rPr>
        <w:fldChar w:fldCharType="end"/>
      </w:r>
      <w:r w:rsidRPr="005B1CCB">
        <w:rPr>
          <w:sz w:val="22"/>
          <w:szCs w:val="22"/>
        </w:rPr>
        <w:t>:</w:t>
      </w:r>
      <w:r w:rsidRPr="005B1CCB">
        <w:rPr>
          <w:rFonts w:cstheme="minorHAnsi"/>
          <w:sz w:val="22"/>
          <w:szCs w:val="22"/>
        </w:rPr>
        <w:t xml:space="preserve"> Image of screen printed electrode array employed (8 × working electrodes with common Ag</w:t>
      </w:r>
      <w:r w:rsidR="00B846BD">
        <w:rPr>
          <w:rFonts w:cstheme="minorHAnsi"/>
          <w:sz w:val="22"/>
          <w:szCs w:val="22"/>
        </w:rPr>
        <w:t>/AgCl</w:t>
      </w:r>
      <w:r w:rsidRPr="005B1CCB">
        <w:rPr>
          <w:rFonts w:cstheme="minorHAnsi"/>
          <w:sz w:val="22"/>
          <w:szCs w:val="22"/>
        </w:rPr>
        <w:t xml:space="preserve"> reference and carbon counter electrodes along with schematic showing DNA functionalisation and DNA target binding</w:t>
      </w:r>
      <w:r w:rsidRPr="005B1CCB">
        <w:rPr>
          <w:rFonts w:ascii="Palatino Linotype" w:hAnsi="Palatino Linotype"/>
        </w:rPr>
        <w:t>.</w:t>
      </w:r>
      <w:bookmarkEnd w:id="72"/>
    </w:p>
    <w:p w14:paraId="3F16D59C" w14:textId="77777777" w:rsidR="00C52407" w:rsidRPr="005B1CCB" w:rsidRDefault="00C52407" w:rsidP="00C52407">
      <w:pPr>
        <w:spacing w:line="360" w:lineRule="auto"/>
        <w:jc w:val="both"/>
        <w:rPr>
          <w:rFonts w:ascii="Palatino Linotype" w:hAnsi="Palatino Linotype"/>
          <w:sz w:val="24"/>
          <w:szCs w:val="24"/>
        </w:rPr>
      </w:pPr>
    </w:p>
    <w:p w14:paraId="6A0D9C1C" w14:textId="549E8616" w:rsidR="004B0128" w:rsidRPr="005B1CCB" w:rsidRDefault="00F15C33" w:rsidP="004B0128">
      <w:pPr>
        <w:spacing w:line="360" w:lineRule="auto"/>
        <w:jc w:val="both"/>
        <w:rPr>
          <w:rFonts w:ascii="Palatino Linotype" w:hAnsi="Palatino Linotype" w:cs="Times New Roman"/>
          <w:sz w:val="24"/>
          <w:szCs w:val="24"/>
        </w:rPr>
      </w:pPr>
      <w:r>
        <w:rPr>
          <w:rFonts w:ascii="Palatino Linotype" w:hAnsi="Palatino Linotype" w:cs="Times New Roman"/>
          <w:sz w:val="24"/>
          <w:szCs w:val="24"/>
        </w:rPr>
        <w:t xml:space="preserve">    </w:t>
      </w:r>
      <w:r w:rsidR="004B0128" w:rsidRPr="005B1CCB">
        <w:rPr>
          <w:rFonts w:ascii="Palatino Linotype" w:hAnsi="Palatino Linotype" w:cs="Times New Roman"/>
          <w:sz w:val="24"/>
          <w:szCs w:val="24"/>
        </w:rPr>
        <w:t>The activated diazonium solution was then scanned using CV from +0.4 to −0.6 V at a scan rate of 100 mV/s followed by a wash with deionised (DI) water. The resulting 4-carboxyphenyl (AP) film was activated on the electrode’s surface with 100 mM EDC and 20 mM NHS in 100 mM MES buffer (pH 5.0) for 60 min to form an ester that allowed for efficient conjugation to the amine-modified ssDNA probe. 1</w:t>
      </w:r>
      <w:r w:rsidR="0041337A" w:rsidRPr="005B1CCB">
        <w:rPr>
          <w:rFonts w:ascii="Palatino Linotype" w:hAnsi="Palatino Linotype" w:cs="Times New Roman"/>
          <w:sz w:val="24"/>
          <w:szCs w:val="24"/>
        </w:rPr>
        <w:t xml:space="preserve"> </w:t>
      </w:r>
      <w:r w:rsidR="004B0128" w:rsidRPr="005B1CCB">
        <w:rPr>
          <w:rFonts w:ascii="Palatino Linotype" w:hAnsi="Palatino Linotype" w:cs="Times New Roman"/>
          <w:sz w:val="24"/>
          <w:szCs w:val="24"/>
        </w:rPr>
        <w:t>mM ruthenium and 1</w:t>
      </w:r>
      <w:r w:rsidR="0041337A" w:rsidRPr="005B1CCB">
        <w:rPr>
          <w:rFonts w:ascii="Palatino Linotype" w:hAnsi="Palatino Linotype" w:cs="Times New Roman"/>
          <w:sz w:val="24"/>
          <w:szCs w:val="24"/>
        </w:rPr>
        <w:t xml:space="preserve"> </w:t>
      </w:r>
      <w:r w:rsidR="004B0128" w:rsidRPr="005B1CCB">
        <w:rPr>
          <w:rFonts w:ascii="Palatino Linotype" w:hAnsi="Palatino Linotype" w:cs="Times New Roman"/>
          <w:sz w:val="24"/>
          <w:szCs w:val="24"/>
        </w:rPr>
        <w:t>mM potassium ferri-ferrocy</w:t>
      </w:r>
      <w:r w:rsidR="0001783B">
        <w:rPr>
          <w:rFonts w:ascii="Palatino Linotype" w:hAnsi="Palatino Linotype" w:cs="Times New Roman"/>
          <w:sz w:val="24"/>
          <w:szCs w:val="24"/>
        </w:rPr>
        <w:t>a</w:t>
      </w:r>
      <w:r w:rsidR="004B0128" w:rsidRPr="005B1CCB">
        <w:rPr>
          <w:rFonts w:ascii="Palatino Linotype" w:hAnsi="Palatino Linotype" w:cs="Times New Roman"/>
          <w:sz w:val="24"/>
          <w:szCs w:val="24"/>
        </w:rPr>
        <w:t xml:space="preserve">nide buffer were introduced on the surface of all the electrodes (Figure 10) and compared to analyse electron transfer rates. </w:t>
      </w:r>
      <w:r w:rsidR="00923C44" w:rsidRPr="005B1CCB">
        <w:rPr>
          <w:rFonts w:ascii="Palatino Linotype" w:hAnsi="Palatino Linotype" w:cs="Times New Roman"/>
          <w:sz w:val="24"/>
          <w:szCs w:val="24"/>
        </w:rPr>
        <w:t xml:space="preserve">All electrochemical measurements were recorded using PS-Trace software. DNA hybridisation experiments were performed using a covalently attached layer of single-stranded DNA probes. </w:t>
      </w:r>
      <w:r w:rsidR="004B0128" w:rsidRPr="005B1CCB">
        <w:rPr>
          <w:rFonts w:ascii="Palatino Linotype" w:hAnsi="Palatino Linotype" w:cs="Times New Roman"/>
          <w:sz w:val="24"/>
          <w:szCs w:val="24"/>
        </w:rPr>
        <w:t>All the reported steps and measurements were carried out at room temperature, unless otherwise stated.</w:t>
      </w:r>
    </w:p>
    <w:p w14:paraId="272AC13B" w14:textId="77777777" w:rsidR="004B0128" w:rsidRPr="005B1CCB" w:rsidRDefault="004B0128" w:rsidP="00C52407">
      <w:pPr>
        <w:spacing w:line="360" w:lineRule="auto"/>
        <w:jc w:val="both"/>
        <w:rPr>
          <w:rFonts w:ascii="Palatino Linotype" w:hAnsi="Palatino Linotype"/>
          <w:sz w:val="24"/>
          <w:szCs w:val="24"/>
        </w:rPr>
      </w:pPr>
    </w:p>
    <w:p w14:paraId="2E43ACDB" w14:textId="77777777" w:rsidR="00AE532A" w:rsidRPr="005B1CCB" w:rsidRDefault="00C52407" w:rsidP="00AE532A">
      <w:pPr>
        <w:keepNext/>
        <w:spacing w:line="360" w:lineRule="auto"/>
        <w:jc w:val="center"/>
      </w:pPr>
      <w:r w:rsidRPr="005B1CCB">
        <w:rPr>
          <w:rFonts w:ascii="Palatino Linotype" w:hAnsi="Palatino Linotype"/>
          <w:noProof/>
          <w:sz w:val="24"/>
          <w:szCs w:val="24"/>
          <w:lang w:eastAsia="en-GB"/>
        </w:rPr>
        <w:drawing>
          <wp:inline distT="0" distB="0" distL="0" distR="0" wp14:anchorId="13FA5255" wp14:editId="05353F27">
            <wp:extent cx="2215949" cy="1291045"/>
            <wp:effectExtent l="508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827" t="17211" r="15152" b="22957"/>
                    <a:stretch/>
                  </pic:blipFill>
                  <pic:spPr bwMode="auto">
                    <a:xfrm rot="5400000">
                      <a:off x="0" y="0"/>
                      <a:ext cx="2216522" cy="1291379"/>
                    </a:xfrm>
                    <a:prstGeom prst="rect">
                      <a:avLst/>
                    </a:prstGeom>
                    <a:noFill/>
                    <a:ln>
                      <a:noFill/>
                    </a:ln>
                    <a:extLst>
                      <a:ext uri="{53640926-AAD7-44D8-BBD7-CCE9431645EC}">
                        <a14:shadowObscured xmlns:a14="http://schemas.microsoft.com/office/drawing/2010/main"/>
                      </a:ext>
                    </a:extLst>
                  </pic:spPr>
                </pic:pic>
              </a:graphicData>
            </a:graphic>
          </wp:inline>
        </w:drawing>
      </w:r>
    </w:p>
    <w:p w14:paraId="754B1EC7" w14:textId="77777777" w:rsidR="00C52407" w:rsidRPr="005B1CCB" w:rsidRDefault="00AE532A" w:rsidP="00AE532A">
      <w:pPr>
        <w:pStyle w:val="Caption"/>
        <w:jc w:val="center"/>
        <w:rPr>
          <w:sz w:val="22"/>
          <w:szCs w:val="22"/>
        </w:rPr>
      </w:pPr>
      <w:bookmarkStart w:id="73" w:name="_Toc84519605"/>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10</w:t>
      </w:r>
      <w:r w:rsidRPr="005B1CCB">
        <w:rPr>
          <w:sz w:val="22"/>
          <w:szCs w:val="22"/>
        </w:rPr>
        <w:fldChar w:fldCharType="end"/>
      </w:r>
      <w:r w:rsidRPr="005B1CCB">
        <w:rPr>
          <w:sz w:val="22"/>
          <w:szCs w:val="22"/>
        </w:rPr>
        <w:t>:</w:t>
      </w:r>
      <w:r w:rsidR="00C52407" w:rsidRPr="005B1CCB">
        <w:rPr>
          <w:sz w:val="22"/>
          <w:szCs w:val="22"/>
        </w:rPr>
        <w:t xml:space="preserve"> Screen-printed multi-carbon electrode covered in</w:t>
      </w:r>
      <w:r w:rsidR="00604CA6" w:rsidRPr="005B1CCB">
        <w:rPr>
          <w:sz w:val="22"/>
          <w:szCs w:val="22"/>
        </w:rPr>
        <w:t xml:space="preserve"> 1mM ferri-ferrocyanide redox buffer</w:t>
      </w:r>
      <w:r w:rsidR="00C52407" w:rsidRPr="005B1CCB">
        <w:rPr>
          <w:sz w:val="22"/>
          <w:szCs w:val="22"/>
        </w:rPr>
        <w:t xml:space="preserve"> solution</w:t>
      </w:r>
      <w:bookmarkEnd w:id="73"/>
    </w:p>
    <w:p w14:paraId="5DE8B499" w14:textId="77777777" w:rsidR="00C06069" w:rsidRPr="005B1CCB" w:rsidRDefault="00C06069" w:rsidP="00C06069"/>
    <w:p w14:paraId="4365389C" w14:textId="77777777" w:rsidR="00274F8C" w:rsidRPr="005B1CCB" w:rsidRDefault="00274F8C" w:rsidP="00D71969">
      <w:pPr>
        <w:pStyle w:val="Heading3"/>
      </w:pPr>
      <w:bookmarkStart w:id="74" w:name="_Toc84528076"/>
      <w:r w:rsidRPr="005B1CCB">
        <w:t>Carbon nanotube (CNT) – modified carbon electrode preparation</w:t>
      </w:r>
      <w:bookmarkEnd w:id="74"/>
    </w:p>
    <w:p w14:paraId="1D398926" w14:textId="29DC81BF" w:rsidR="0069051E" w:rsidRPr="005B1CCB" w:rsidRDefault="00C52407" w:rsidP="0069051E">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69051E" w:rsidRPr="005B1CCB">
        <w:rPr>
          <w:rFonts w:ascii="Palatino Linotype" w:hAnsi="Palatino Linotype"/>
          <w:sz w:val="24"/>
          <w:szCs w:val="24"/>
        </w:rPr>
        <w:t xml:space="preserve">SPCEs, though beneficial for micro volume analysis, does not usually exhibit ideal electrochemical performance due to the carbon ink containing organic solvents that could cause defects in graphite. This generally prevents the establishment of a lower detection limit. </w:t>
      </w:r>
      <w:r w:rsidR="0069051E" w:rsidRPr="00101B10">
        <w:rPr>
          <w:rFonts w:ascii="Palatino Linotype" w:hAnsi="Palatino Linotype"/>
          <w:sz w:val="24"/>
          <w:szCs w:val="24"/>
        </w:rPr>
        <w:t>Carbon nanomaterials have an advantage over regular carbon sensors as they increase the electroactive surface area, promote adsorption of molecules and enhance electron transfer</w:t>
      </w:r>
      <w:r w:rsidR="0069051E" w:rsidRPr="005B1CCB">
        <w:rPr>
          <w:rFonts w:ascii="Palatino Linotype" w:hAnsi="Palatino Linotype"/>
          <w:sz w:val="24"/>
          <w:szCs w:val="24"/>
        </w:rPr>
        <w:t xml:space="preserve">.  Carbon nanotubes (CNT) have been introduced into electrochemical sensors for biomolecule detection using methods like dip coating, direct CNT growth on electrodes, drop casting and the use of CNT fibres </w:t>
      </w:r>
      <w:r w:rsidR="0069051E"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{"citationItems":[{"id":"ITEM-1","itemData":{"DOI":"10.1016/j.aca.2015.05.049","ISSN":"0003-2670","abstract":"Carbon nanomaterials are advantageous for electrochemical sensors because they increase the electroactive surface area, enhance electron transfer, and promote adsorption of molecules. Carbon nanotubes (CNTs) have been incorporated into electrochemical sensors for biomolecules and strategies have included the traditional dip coating and drop casting methods, direct growth of CNTs on electrodes and the use of CNT fibers and yarns made exclusively of CNTs. Recent research has also focused on utilizing many new types of carbon nanomaterials beyond CNTs. Forms of graphene are now increasingly popular for sensors including reduced graphene oxide, carbon nanohorns, graphene nanofoams, graphene nanorods, and graphene nanoflowers. In this review, we compare different carbon nanomaterial strategies for creating electrochemical sensors for biomolecules. Analytes covered include neurotransmitters and neurochemicals, such as dopamine, ascorbic acid, and serotonin; hydrogen peroxide; proteins, such as biomarkers; and DNA. The review also addresses enzyme-based electrodes that are used to detect non-electroactive species such as glucose, alcohols, and proteins. Finally, we analyze some of the future directions for the field, pointing out gaps in fundamental understanding of electron transfer to carbon nanomaterials and the need for more practical implementation of sensors.","author":[{"dropping-particle":"","family":"Yang","given":"Cheng","non-dropping-particle":"","parse-names":false,"suffix":""},{"dropping-particle":"","family":"Denno","given":"Madelaine E","non-dropping-particle":"","parse-names":false,"suffix":""},{"dropping-particle":"","family":"Pyakurel","given":"Poojan","non-dropping-particle":"","parse-names":false,"suffix":""},{"dropping-particle":"","family":"Venton","given":"B Jill","non-dropping-particle":"","parse-names":false,"suffix":""}],"container-title":"Analytica chimica acta","id":"ITEM-1","issued":{"date-parts":[["2015","8"]]},"page":"17—37","title":"Recent trends in carbon nanomaterial-based electrochemical sensors for biomolecules: A review","type":"article-journal","volume":"887"},"uris":["http://www.mendeley.com/documents/?uuid=9b660425-29eb-4afd-88df-cf983d54dbe7"]}],"mendeley":{"formattedCitation":"[191]","plainTextFormattedCitation":"[191]","previouslyFormattedCitation":"[191]"},"properties":{"noteIndex":0},"schema":"https://github.com/citation-style-language/schema/raw/master/csl-citation.json"}</w:instrText>
      </w:r>
      <w:r w:rsidR="0069051E" w:rsidRPr="005B1CCB">
        <w:rPr>
          <w:rFonts w:ascii="Palatino Linotype" w:hAnsi="Palatino Linotype"/>
          <w:sz w:val="24"/>
          <w:szCs w:val="24"/>
        </w:rPr>
        <w:fldChar w:fldCharType="separate"/>
      </w:r>
      <w:r w:rsidR="005F2946" w:rsidRPr="005F2946">
        <w:rPr>
          <w:rFonts w:ascii="Palatino Linotype" w:hAnsi="Palatino Linotype"/>
          <w:noProof/>
          <w:sz w:val="24"/>
          <w:szCs w:val="24"/>
        </w:rPr>
        <w:t>[191]</w:t>
      </w:r>
      <w:r w:rsidR="0069051E" w:rsidRPr="005B1CCB">
        <w:rPr>
          <w:rFonts w:ascii="Palatino Linotype" w:hAnsi="Palatino Linotype"/>
          <w:sz w:val="24"/>
          <w:szCs w:val="24"/>
        </w:rPr>
        <w:fldChar w:fldCharType="end"/>
      </w:r>
      <w:r w:rsidR="0069051E" w:rsidRPr="005B1CCB">
        <w:rPr>
          <w:rFonts w:ascii="Palatino Linotype" w:hAnsi="Palatino Linotype"/>
          <w:sz w:val="24"/>
          <w:szCs w:val="24"/>
        </w:rPr>
        <w:t>.</w:t>
      </w:r>
    </w:p>
    <w:p w14:paraId="434F2D6D" w14:textId="77777777" w:rsidR="00EB1745" w:rsidRPr="005B1CCB" w:rsidRDefault="00604CA6" w:rsidP="00EB1745">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EB1745" w:rsidRPr="005B1CCB">
        <w:rPr>
          <w:rFonts w:ascii="Palatino Linotype" w:hAnsi="Palatino Linotype"/>
          <w:sz w:val="24"/>
          <w:szCs w:val="24"/>
        </w:rPr>
        <w:t>The preparation method employed for CNT-modified SPCE in this study involved activation by etching the surface of the electrodes. 1.0</w:t>
      </w:r>
      <w:r w:rsidRPr="005B1CCB">
        <w:rPr>
          <w:rFonts w:ascii="Palatino Linotype" w:hAnsi="Palatino Linotype"/>
          <w:sz w:val="24"/>
          <w:szCs w:val="24"/>
        </w:rPr>
        <w:t xml:space="preserve"> </w:t>
      </w:r>
      <w:r w:rsidR="00EB1745" w:rsidRPr="005B1CCB">
        <w:rPr>
          <w:rFonts w:ascii="Palatino Linotype" w:hAnsi="Palatino Linotype"/>
          <w:sz w:val="24"/>
          <w:szCs w:val="24"/>
        </w:rPr>
        <w:t xml:space="preserve">M NaOH was deposited on the entire electrode surface as shown in </w:t>
      </w:r>
      <w:r w:rsidR="00D90C06" w:rsidRPr="005B1CCB">
        <w:rPr>
          <w:rFonts w:ascii="Palatino Linotype" w:hAnsi="Palatino Linotype"/>
          <w:sz w:val="24"/>
          <w:szCs w:val="24"/>
        </w:rPr>
        <w:t>F</w:t>
      </w:r>
      <w:r w:rsidR="00EB1745" w:rsidRPr="005B1CCB">
        <w:rPr>
          <w:rFonts w:ascii="Palatino Linotype" w:hAnsi="Palatino Linotype"/>
          <w:sz w:val="24"/>
          <w:szCs w:val="24"/>
        </w:rPr>
        <w:t>igure 11 and chronoamperometry was used to etch unde</w:t>
      </w:r>
      <w:r w:rsidR="0010023A" w:rsidRPr="005B1CCB">
        <w:rPr>
          <w:rFonts w:ascii="Palatino Linotype" w:hAnsi="Palatino Linotype"/>
          <w:sz w:val="24"/>
          <w:szCs w:val="24"/>
        </w:rPr>
        <w:t>r the following conditions</w:t>
      </w:r>
      <w:r w:rsidR="0030660D" w:rsidRPr="005B1CCB">
        <w:rPr>
          <w:rFonts w:ascii="Palatino Linotype" w:hAnsi="Palatino Linotype"/>
          <w:sz w:val="24"/>
          <w:szCs w:val="24"/>
        </w:rPr>
        <w:t xml:space="preserve">: </w:t>
      </w:r>
      <w:r w:rsidR="00EB1745" w:rsidRPr="005B1CCB">
        <w:rPr>
          <w:rFonts w:ascii="Palatino Linotype" w:hAnsi="Palatino Linotype"/>
          <w:sz w:val="24"/>
          <w:szCs w:val="24"/>
        </w:rPr>
        <w:t>current</w:t>
      </w:r>
      <w:r w:rsidR="0010023A" w:rsidRPr="005B1CCB">
        <w:rPr>
          <w:rFonts w:ascii="Palatino Linotype" w:hAnsi="Palatino Linotype"/>
          <w:sz w:val="24"/>
          <w:szCs w:val="24"/>
        </w:rPr>
        <w:t xml:space="preserve"> ranges between 1 nA and 10 mA</w:t>
      </w:r>
      <w:r w:rsidR="00EB1745" w:rsidRPr="005B1CCB">
        <w:rPr>
          <w:rFonts w:ascii="Palatino Linotype" w:hAnsi="Palatino Linotype"/>
          <w:sz w:val="24"/>
          <w:szCs w:val="24"/>
        </w:rPr>
        <w:t>, t</w:t>
      </w:r>
      <w:r w:rsidR="0010023A" w:rsidRPr="005B1CCB">
        <w:rPr>
          <w:rFonts w:ascii="Palatino Linotype" w:hAnsi="Palatino Linotype"/>
          <w:sz w:val="24"/>
          <w:szCs w:val="24"/>
        </w:rPr>
        <w:t>ime during which the conditioning potential is applied</w:t>
      </w:r>
      <w:r w:rsidR="0030660D" w:rsidRPr="005B1CCB">
        <w:rPr>
          <w:rFonts w:ascii="Palatino Linotype" w:hAnsi="Palatino Linotype"/>
          <w:sz w:val="24"/>
          <w:szCs w:val="24"/>
        </w:rPr>
        <w:t xml:space="preserve"> - 10 seconds, P</w:t>
      </w:r>
      <w:r w:rsidR="0010023A" w:rsidRPr="005B1CCB">
        <w:rPr>
          <w:rFonts w:ascii="Palatino Linotype" w:hAnsi="Palatino Linotype"/>
          <w:sz w:val="24"/>
          <w:szCs w:val="24"/>
        </w:rPr>
        <w:t xml:space="preserve">otential applied during measurement </w:t>
      </w:r>
      <w:r w:rsidR="00EB1745" w:rsidRPr="005B1CCB">
        <w:rPr>
          <w:rFonts w:ascii="Palatino Linotype" w:hAnsi="Palatino Linotype"/>
          <w:sz w:val="24"/>
          <w:szCs w:val="24"/>
        </w:rPr>
        <w:t>- 1.5 V</w:t>
      </w:r>
      <w:r w:rsidR="0010023A" w:rsidRPr="005B1CCB">
        <w:rPr>
          <w:rFonts w:ascii="Palatino Linotype" w:hAnsi="Palatino Linotype"/>
          <w:sz w:val="24"/>
          <w:szCs w:val="24"/>
        </w:rPr>
        <w:t>, run time – 120 seconds and interval time– 0.04 seconds</w:t>
      </w:r>
      <w:r w:rsidR="00EB1745" w:rsidRPr="005B1CCB">
        <w:rPr>
          <w:rFonts w:ascii="Palatino Linotype" w:hAnsi="Palatino Linotype"/>
          <w:sz w:val="24"/>
          <w:szCs w:val="24"/>
        </w:rPr>
        <w:t>.</w:t>
      </w:r>
    </w:p>
    <w:p w14:paraId="4F8E9865" w14:textId="77777777" w:rsidR="00EB1745" w:rsidRPr="005B1CCB" w:rsidRDefault="00612C76" w:rsidP="00EB1745">
      <w:pPr>
        <w:keepNext/>
        <w:spacing w:line="360" w:lineRule="auto"/>
        <w:jc w:val="center"/>
      </w:pPr>
      <w:r w:rsidRPr="005B1CCB">
        <w:rPr>
          <w:rFonts w:ascii="Palatino Linotype" w:hAnsi="Palatino Linotype"/>
          <w:noProof/>
          <w:sz w:val="24"/>
          <w:szCs w:val="24"/>
          <w:lang w:eastAsia="en-GB"/>
        </w:rPr>
        <w:drawing>
          <wp:inline distT="0" distB="0" distL="0" distR="0" wp14:anchorId="66C47E74" wp14:editId="1B340654">
            <wp:extent cx="1232453" cy="2464904"/>
            <wp:effectExtent l="0" t="0" r="635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a:extLst>
                        <a:ext uri="{28A0092B-C50C-407E-A947-70E740481C1C}">
                          <a14:useLocalDpi xmlns:a14="http://schemas.microsoft.com/office/drawing/2010/main" val="0"/>
                        </a:ext>
                      </a:extLst>
                    </a:blip>
                    <a:srcRect r="4202" b="2099"/>
                    <a:stretch/>
                  </pic:blipFill>
                  <pic:spPr bwMode="auto">
                    <a:xfrm>
                      <a:off x="0" y="0"/>
                      <a:ext cx="1232453" cy="2464904"/>
                    </a:xfrm>
                    <a:prstGeom prst="rect">
                      <a:avLst/>
                    </a:prstGeom>
                    <a:noFill/>
                    <a:ln>
                      <a:noFill/>
                    </a:ln>
                    <a:extLst>
                      <a:ext uri="{53640926-AAD7-44D8-BBD7-CCE9431645EC}">
                        <a14:shadowObscured xmlns:a14="http://schemas.microsoft.com/office/drawing/2010/main"/>
                      </a:ext>
                    </a:extLst>
                  </pic:spPr>
                </pic:pic>
              </a:graphicData>
            </a:graphic>
          </wp:inline>
        </w:drawing>
      </w:r>
    </w:p>
    <w:p w14:paraId="2C7946D0" w14:textId="77777777" w:rsidR="00612C76" w:rsidRPr="005B1CCB" w:rsidRDefault="00EB1745" w:rsidP="00EB1745">
      <w:pPr>
        <w:pStyle w:val="Caption"/>
        <w:jc w:val="center"/>
      </w:pPr>
      <w:bookmarkStart w:id="75" w:name="_Toc84519606"/>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11</w:t>
      </w:r>
      <w:r w:rsidRPr="005B1CCB">
        <w:rPr>
          <w:sz w:val="22"/>
          <w:szCs w:val="22"/>
        </w:rPr>
        <w:fldChar w:fldCharType="end"/>
      </w:r>
      <w:r w:rsidRPr="005B1CCB">
        <w:rPr>
          <w:sz w:val="22"/>
          <w:szCs w:val="22"/>
        </w:rPr>
        <w:t>:</w:t>
      </w:r>
      <w:r w:rsidR="00C3326E" w:rsidRPr="005B1CCB">
        <w:rPr>
          <w:sz w:val="22"/>
          <w:szCs w:val="22"/>
        </w:rPr>
        <w:t xml:space="preserve"> Carbon nanotube modified screen-printed carbon electrode covered in NaOH to activate the electrode</w:t>
      </w:r>
      <w:bookmarkEnd w:id="75"/>
    </w:p>
    <w:p w14:paraId="439E7786" w14:textId="77777777" w:rsidR="00DB6376" w:rsidRPr="005B1CCB" w:rsidRDefault="00DB6376" w:rsidP="0069051E">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17439F" w:rsidRPr="005B1CCB">
        <w:rPr>
          <w:rFonts w:ascii="Palatino Linotype" w:hAnsi="Palatino Linotype"/>
          <w:sz w:val="24"/>
          <w:szCs w:val="24"/>
        </w:rPr>
        <w:t xml:space="preserve">Afterwards, </w:t>
      </w:r>
      <w:r w:rsidR="006A2E4B" w:rsidRPr="005B1CCB">
        <w:rPr>
          <w:rFonts w:ascii="Palatino Linotype" w:hAnsi="Palatino Linotype"/>
          <w:sz w:val="24"/>
          <w:szCs w:val="24"/>
        </w:rPr>
        <w:t xml:space="preserve">100 mM EDC and 20 mM NHS in 100 mM MES buffer (pH 5.0) </w:t>
      </w:r>
      <w:r w:rsidR="0017439F" w:rsidRPr="005B1CCB">
        <w:rPr>
          <w:rFonts w:ascii="Palatino Linotype" w:hAnsi="Palatino Linotype"/>
          <w:sz w:val="24"/>
          <w:szCs w:val="24"/>
        </w:rPr>
        <w:t xml:space="preserve">was activated on the surface of </w:t>
      </w:r>
      <w:r w:rsidR="006A2E4B" w:rsidRPr="005B1CCB">
        <w:rPr>
          <w:rFonts w:ascii="Palatino Linotype" w:hAnsi="Palatino Linotype"/>
          <w:sz w:val="24"/>
          <w:szCs w:val="24"/>
        </w:rPr>
        <w:t>the electrode by incubating for 60 min</w:t>
      </w:r>
      <w:r w:rsidR="00390C7B" w:rsidRPr="005B1CCB">
        <w:rPr>
          <w:rFonts w:ascii="Palatino Linotype" w:hAnsi="Palatino Linotype"/>
          <w:sz w:val="24"/>
          <w:szCs w:val="24"/>
        </w:rPr>
        <w:t>s</w:t>
      </w:r>
      <w:r w:rsidR="006A2E4B" w:rsidRPr="005B1CCB">
        <w:rPr>
          <w:rFonts w:ascii="Palatino Linotype" w:hAnsi="Palatino Linotype"/>
          <w:sz w:val="24"/>
          <w:szCs w:val="24"/>
        </w:rPr>
        <w:t xml:space="preserve"> to form an ester that allowed for efficient conjugation to the amine-modified ssDNA probe. </w:t>
      </w:r>
      <w:r w:rsidR="003626E0" w:rsidRPr="005B1CCB">
        <w:rPr>
          <w:rFonts w:ascii="Palatino Linotype" w:hAnsi="Palatino Linotype"/>
          <w:sz w:val="24"/>
          <w:szCs w:val="24"/>
        </w:rPr>
        <w:t>Ferricyanide buffer (1</w:t>
      </w:r>
      <w:r w:rsidR="006A2E4B" w:rsidRPr="005B1CCB">
        <w:rPr>
          <w:rFonts w:ascii="Palatino Linotype" w:hAnsi="Palatino Linotype"/>
          <w:sz w:val="24"/>
          <w:szCs w:val="24"/>
        </w:rPr>
        <w:t xml:space="preserve"> mM) was used to characterise the sensor surface for DNA detection. All the reported steps and measurements were carried out at room temperature, unless otherwise stated.</w:t>
      </w:r>
    </w:p>
    <w:p w14:paraId="315C20FA" w14:textId="0BAEBE97" w:rsidR="0033278D" w:rsidRDefault="0033278D" w:rsidP="0033278D">
      <w:pPr>
        <w:rPr>
          <w:lang w:bidi="en-US"/>
        </w:rPr>
      </w:pPr>
    </w:p>
    <w:p w14:paraId="49D26D36" w14:textId="28B49FF6" w:rsidR="003B4654" w:rsidRDefault="003B4654" w:rsidP="0033278D">
      <w:pPr>
        <w:rPr>
          <w:lang w:bidi="en-US"/>
        </w:rPr>
      </w:pPr>
    </w:p>
    <w:p w14:paraId="3469770F" w14:textId="77777777" w:rsidR="003B4654" w:rsidRPr="005B1CCB" w:rsidRDefault="003B4654" w:rsidP="0033278D">
      <w:pPr>
        <w:rPr>
          <w:lang w:bidi="en-US"/>
        </w:rPr>
      </w:pPr>
    </w:p>
    <w:p w14:paraId="3669F3BB" w14:textId="77777777" w:rsidR="00731AEB" w:rsidRPr="005B1CCB" w:rsidRDefault="00731AEB" w:rsidP="00D71969">
      <w:pPr>
        <w:pStyle w:val="Heading3"/>
      </w:pPr>
      <w:bookmarkStart w:id="76" w:name="_Toc84528077"/>
      <w:r w:rsidRPr="005B1CCB">
        <w:t>Workflow</w:t>
      </w:r>
      <w:bookmarkEnd w:id="76"/>
    </w:p>
    <w:p w14:paraId="19B82FC4" w14:textId="77777777" w:rsidR="00762ADD" w:rsidRPr="005B1CCB" w:rsidRDefault="00B26142" w:rsidP="003A2ED1">
      <w:pPr>
        <w:spacing w:line="360" w:lineRule="auto"/>
        <w:jc w:val="both"/>
        <w:rPr>
          <w:rFonts w:ascii="Palatino Linotype" w:hAnsi="Palatino Linotype"/>
          <w:sz w:val="24"/>
          <w:szCs w:val="24"/>
        </w:rPr>
      </w:pPr>
      <w:r w:rsidRPr="005B1CCB">
        <w:rPr>
          <w:rFonts w:ascii="Palatino Linotype" w:eastAsia="Times New Roman" w:hAnsi="Palatino Linotype" w:cs="Times New Roman"/>
          <w:color w:val="000000"/>
          <w:sz w:val="24"/>
          <w:szCs w:val="20"/>
          <w:lang w:eastAsia="de-DE"/>
        </w:rPr>
        <w:t xml:space="preserve">   </w:t>
      </w:r>
      <w:r w:rsidR="00B20879" w:rsidRPr="005B1CCB">
        <w:rPr>
          <w:rFonts w:ascii="Palatino Linotype" w:eastAsia="Times New Roman" w:hAnsi="Palatino Linotype" w:cs="Times New Roman"/>
          <w:color w:val="000000"/>
          <w:sz w:val="24"/>
          <w:szCs w:val="20"/>
          <w:lang w:eastAsia="de-DE"/>
        </w:rPr>
        <w:t>This work presents a</w:t>
      </w:r>
      <w:r w:rsidR="00592389" w:rsidRPr="005B1CCB">
        <w:rPr>
          <w:rFonts w:ascii="Palatino Linotype" w:eastAsia="Times New Roman" w:hAnsi="Palatino Linotype" w:cs="Times New Roman"/>
          <w:color w:val="000000"/>
          <w:sz w:val="24"/>
          <w:szCs w:val="20"/>
          <w:lang w:eastAsia="de-DE"/>
        </w:rPr>
        <w:t>n</w:t>
      </w:r>
      <w:r w:rsidR="00B20879" w:rsidRPr="005B1CCB">
        <w:rPr>
          <w:rFonts w:ascii="Palatino Linotype" w:eastAsia="Times New Roman" w:hAnsi="Palatino Linotype" w:cs="Times New Roman"/>
          <w:color w:val="000000"/>
          <w:sz w:val="24"/>
          <w:szCs w:val="20"/>
          <w:lang w:eastAsia="de-DE"/>
        </w:rPr>
        <w:t xml:space="preserve"> oligonucleotide probe modified sensor array that can accurately detect mutant </w:t>
      </w:r>
      <w:r w:rsidR="000C07E5" w:rsidRPr="005B1CCB">
        <w:rPr>
          <w:rFonts w:ascii="Palatino Linotype" w:eastAsia="Times New Roman" w:hAnsi="Palatino Linotype" w:cs="Times New Roman"/>
          <w:color w:val="000000"/>
          <w:sz w:val="24"/>
          <w:szCs w:val="20"/>
          <w:lang w:eastAsia="de-DE"/>
        </w:rPr>
        <w:t xml:space="preserve">DNA and </w:t>
      </w:r>
      <w:r w:rsidR="00B20879" w:rsidRPr="005B1CCB">
        <w:rPr>
          <w:rFonts w:ascii="Palatino Linotype" w:eastAsia="Times New Roman" w:hAnsi="Palatino Linotype" w:cs="Times New Roman"/>
          <w:color w:val="000000"/>
          <w:sz w:val="24"/>
          <w:szCs w:val="20"/>
          <w:lang w:eastAsia="de-DE"/>
        </w:rPr>
        <w:t>amplicons and therefore forms the basis of a system for the accurate detection of ctDNA in patient samples and monitoring of response during treatment. This was achieved by amplifying mutant DNA isolated from a human cancer cell line recovered from clinical samples, using el</w:t>
      </w:r>
      <w:r w:rsidR="002743BA" w:rsidRPr="005B1CCB">
        <w:rPr>
          <w:rFonts w:ascii="Palatino Linotype" w:eastAsia="Times New Roman" w:hAnsi="Palatino Linotype" w:cs="Times New Roman"/>
          <w:color w:val="000000"/>
          <w:sz w:val="24"/>
          <w:szCs w:val="20"/>
          <w:lang w:eastAsia="de-DE"/>
        </w:rPr>
        <w:t>ectrochemical techniques and SP</w:t>
      </w:r>
      <w:r w:rsidR="00B20879" w:rsidRPr="005B1CCB">
        <w:rPr>
          <w:rFonts w:ascii="Palatino Linotype" w:eastAsia="Times New Roman" w:hAnsi="Palatino Linotype" w:cs="Times New Roman"/>
          <w:color w:val="000000"/>
          <w:sz w:val="24"/>
          <w:szCs w:val="20"/>
          <w:lang w:eastAsia="de-DE"/>
        </w:rPr>
        <w:t>Es to detect a clinically relevant mutation, comparing the signal change from DNA hybridisation experiments involving amplified mutant samples and amplified wild-type samples, varying concentration of amplified products to determine concentration effects and establishing a limit of detection for the DNA amplification reaction.</w:t>
      </w:r>
      <w:r w:rsidR="00B20879" w:rsidRPr="005B1CCB">
        <w:rPr>
          <w:rFonts w:ascii="Times New Roman" w:eastAsia="Times New Roman" w:hAnsi="Times New Roman" w:cs="Times New Roman"/>
          <w:color w:val="000000"/>
          <w:sz w:val="24"/>
          <w:szCs w:val="20"/>
          <w:lang w:eastAsia="de-DE"/>
        </w:rPr>
        <w:t xml:space="preserve"> </w:t>
      </w:r>
      <w:r w:rsidR="00AF23CE" w:rsidRPr="005B1CCB">
        <w:rPr>
          <w:rFonts w:ascii="Times New Roman" w:eastAsia="Times New Roman" w:hAnsi="Times New Roman" w:cs="Times New Roman"/>
          <w:color w:val="000000"/>
          <w:sz w:val="24"/>
          <w:szCs w:val="20"/>
          <w:lang w:eastAsia="de-DE"/>
        </w:rPr>
        <w:t>A</w:t>
      </w:r>
      <w:r w:rsidR="0052141B" w:rsidRPr="005B1CCB">
        <w:rPr>
          <w:rFonts w:ascii="Palatino Linotype" w:hAnsi="Palatino Linotype"/>
          <w:sz w:val="24"/>
          <w:szCs w:val="24"/>
        </w:rPr>
        <w:t xml:space="preserve"> flow diagram of the functionalisation protocol </w:t>
      </w:r>
      <w:r w:rsidR="00AF23CE" w:rsidRPr="005B1CCB">
        <w:rPr>
          <w:rFonts w:ascii="Palatino Linotype" w:hAnsi="Palatino Linotype"/>
          <w:sz w:val="24"/>
          <w:szCs w:val="24"/>
        </w:rPr>
        <w:t>is</w:t>
      </w:r>
      <w:r w:rsidR="0052141B" w:rsidRPr="005B1CCB">
        <w:rPr>
          <w:rFonts w:ascii="Palatino Linotype" w:hAnsi="Palatino Linotype"/>
          <w:sz w:val="24"/>
          <w:szCs w:val="24"/>
        </w:rPr>
        <w:t xml:space="preserve"> shown in Figure </w:t>
      </w:r>
      <w:r w:rsidR="00AF23CE" w:rsidRPr="005B1CCB">
        <w:rPr>
          <w:rFonts w:ascii="Palatino Linotype" w:hAnsi="Palatino Linotype"/>
          <w:sz w:val="24"/>
          <w:szCs w:val="24"/>
        </w:rPr>
        <w:t>12</w:t>
      </w:r>
      <w:r w:rsidR="0052141B" w:rsidRPr="005B1CCB">
        <w:rPr>
          <w:rFonts w:ascii="Palatino Linotype" w:hAnsi="Palatino Linotype"/>
          <w:sz w:val="24"/>
          <w:szCs w:val="24"/>
        </w:rPr>
        <w:t>, full details of the electrode bio</w:t>
      </w:r>
      <w:r w:rsidR="00B20879" w:rsidRPr="005B1CCB">
        <w:rPr>
          <w:rFonts w:ascii="Palatino Linotype" w:hAnsi="Palatino Linotype"/>
          <w:sz w:val="24"/>
          <w:szCs w:val="24"/>
        </w:rPr>
        <w:t>-</w:t>
      </w:r>
      <w:r w:rsidR="0052141B" w:rsidRPr="005B1CCB">
        <w:rPr>
          <w:rFonts w:ascii="Palatino Linotype" w:hAnsi="Palatino Linotype"/>
          <w:sz w:val="24"/>
          <w:szCs w:val="24"/>
        </w:rPr>
        <w:t xml:space="preserve">functionalisation process are given in the materials and methods section.  Specific probe sequences for the mutant and wild type sequences were designed, specifically for optimal discrimination of single base-pair changes.  </w:t>
      </w:r>
    </w:p>
    <w:p w14:paraId="4A0D3C15" w14:textId="77777777" w:rsidR="00AF23CE" w:rsidRPr="005B1CCB" w:rsidRDefault="00731AEB" w:rsidP="00AF23CE">
      <w:pPr>
        <w:keepNext/>
      </w:pPr>
      <w:r w:rsidRPr="005B1CCB">
        <w:rPr>
          <w:noProof/>
          <w:lang w:eastAsia="en-GB"/>
        </w:rPr>
        <w:drawing>
          <wp:inline distT="0" distB="0" distL="0" distR="0" wp14:anchorId="35E3845B" wp14:editId="7459679B">
            <wp:extent cx="5864087" cy="3398520"/>
            <wp:effectExtent l="0" t="0" r="3810" b="0"/>
            <wp:docPr id="31" name="Picture 3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5865326" cy="3399238"/>
                    </a:xfrm>
                    <a:prstGeom prst="rect">
                      <a:avLst/>
                    </a:prstGeom>
                  </pic:spPr>
                </pic:pic>
              </a:graphicData>
            </a:graphic>
          </wp:inline>
        </w:drawing>
      </w:r>
    </w:p>
    <w:p w14:paraId="78C6CF36" w14:textId="3940A55F" w:rsidR="00731AEB" w:rsidRPr="005B1CCB" w:rsidRDefault="00AF23CE" w:rsidP="00AF23CE">
      <w:pPr>
        <w:pStyle w:val="Caption"/>
        <w:jc w:val="center"/>
        <w:rPr>
          <w:sz w:val="22"/>
          <w:szCs w:val="22"/>
        </w:rPr>
      </w:pPr>
      <w:bookmarkStart w:id="77" w:name="_Toc84519607"/>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12</w:t>
      </w:r>
      <w:r w:rsidRPr="005B1CCB">
        <w:rPr>
          <w:sz w:val="22"/>
          <w:szCs w:val="22"/>
        </w:rPr>
        <w:fldChar w:fldCharType="end"/>
      </w:r>
      <w:r w:rsidRPr="005B1CCB">
        <w:rPr>
          <w:sz w:val="22"/>
          <w:szCs w:val="22"/>
        </w:rPr>
        <w:t>:</w:t>
      </w:r>
      <w:r w:rsidR="006A5E78" w:rsidRPr="005B1CCB">
        <w:rPr>
          <w:sz w:val="22"/>
          <w:szCs w:val="22"/>
        </w:rPr>
        <w:t xml:space="preserve"> Project work-flow showing the different stages in the development of a ctDNA electrochemical sensor</w:t>
      </w:r>
      <w:r w:rsidR="008529BE" w:rsidRPr="005B1CCB">
        <w:rPr>
          <w:sz w:val="22"/>
          <w:szCs w:val="22"/>
        </w:rPr>
        <w:t xml:space="preserve"> (A) Schematic showing circulating tumour DNA (ctDNA) retrieval and analysis [38-41] (B) Image of a screen-printed electrode array employing eight working electrodes with a common Ag</w:t>
      </w:r>
      <w:r w:rsidR="00B846BD">
        <w:rPr>
          <w:sz w:val="22"/>
          <w:szCs w:val="22"/>
        </w:rPr>
        <w:t>/AgCl</w:t>
      </w:r>
      <w:r w:rsidR="008529BE" w:rsidRPr="005B1CCB">
        <w:rPr>
          <w:sz w:val="22"/>
          <w:szCs w:val="22"/>
        </w:rPr>
        <w:t xml:space="preserve"> reference and carbon counter electrodes along with a schematic showing modification steps and DNA functionalisation</w:t>
      </w:r>
      <w:bookmarkEnd w:id="77"/>
    </w:p>
    <w:p w14:paraId="7E0845CC" w14:textId="77777777" w:rsidR="00604CA6" w:rsidRDefault="00604CA6" w:rsidP="00604CA6"/>
    <w:p w14:paraId="1E6A94A1" w14:textId="77777777" w:rsidR="00835C77" w:rsidRPr="005B1CCB" w:rsidRDefault="00835C77" w:rsidP="00604CA6"/>
    <w:p w14:paraId="59790066" w14:textId="77777777" w:rsidR="006A02C9" w:rsidRPr="005B1CCB" w:rsidRDefault="006A02C9" w:rsidP="006A02C9">
      <w:pPr>
        <w:pStyle w:val="Heading3"/>
      </w:pPr>
      <w:bookmarkStart w:id="78" w:name="_Toc84528078"/>
      <w:r w:rsidRPr="005B1CCB">
        <w:t>Signal quantification and Analysis</w:t>
      </w:r>
      <w:bookmarkEnd w:id="78"/>
    </w:p>
    <w:p w14:paraId="12113255" w14:textId="77777777" w:rsidR="006A02C9" w:rsidRPr="005B1CCB" w:rsidRDefault="006A02C9" w:rsidP="006A02C9">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Amplicon concentrations were confirmed using an invitrogen qubit 4 fluorometer. The detection principle was applied in both the pre-hybridisation and post-hybridisation stage. Results obtained from the EIS and voltammetry measurements carried out using PS Trace 5 were statistically analysed using Origin graphing analysis 2020. EIS data was fitted using the well-established Randles’ equivalent circuit </w:t>
      </w:r>
      <w:r w:rsidRPr="005B1CCB">
        <w:rPr>
          <w:rFonts w:ascii="Palatino Linotype" w:hAnsi="Palatino Linotype" w:cs="Times New Roman"/>
          <w:sz w:val="24"/>
          <w:szCs w:val="24"/>
        </w:rPr>
        <w:fldChar w:fldCharType="begin" w:fldLock="1"/>
      </w:r>
      <w:r>
        <w:rPr>
          <w:rFonts w:ascii="Palatino Linotype" w:hAnsi="Palatino Linotype" w:cs="Times New Roman"/>
          <w:sz w:val="24"/>
          <w:szCs w:val="24"/>
        </w:rPr>
        <w:instrText>ADDIN CSL_CITATION {"citationItems":[{"id":"ITEM-1","itemData":{"DOI":"10.1016/j.mee.2008.11.045","ISBN":"0167-9317","ISSN":"01679317","abstract":"This work investigates methods for obtaining reliably clean gold film surfaces. Nine gold cleaning methods are investigated here: UV ozone photoreactor; potassium hydroxide-hydrogen peroxide; potassium hydroxide potential sweep; sulfuric acid hydrogen peroxide; sulfuric acid potential cycling; hydrochloric acid potential cycling; dimethylamine borane reducing agent solutions at 25 and 65 °C; and a dilute form of Aqua Regia. Peak-current potential-differences obtained from cyclic voltammetry and charge transfer resistance obtained from electrochemical impedance spectroscopy, as well as X-ray photo-electron spectroscopy are used to characterize surface cleanliness. A low peak-current potential-difference and charge transfer resistance indicates a cleaner surface, as does a higher percentage of elemental gold on the electrode surface. The potassium hydroxide potential sweep method is found to leave the gold surface the cleanest overall. © 2008 Elsevier B.V. All rights reserved.","author":[{"dropping-particle":"","family":"Fischer","given":"Lee M.","non-dropping-particle":"","parse-names":false,"suffix":""},{"dropping-particle":"","family":"Tenje","given":"Maria","non-dropping-particle":"","parse-names":false,"suffix":""},{"dropping-particle":"","family":"Heiskanen","given":"Arto R.","non-dropping-particle":"","parse-names":false,"suffix":""},{"dropping-particle":"","family":"Masuda","given":"Noriyuki","non-dropping-particle":"","parse-names":false,"suffix":""},{"dropping-particle":"","family":"Castillo","given":"Jaime","non-dropping-particle":"","parse-names":false,"suffix":""},{"dropping-particle":"","family":"Bentien","given":"Anders","non-dropping-particle":"","parse-names":false,"suffix":""},{"dropping-particle":"","family":"Émneus","given":"Jenny","non-dropping-particle":"","parse-names":false,"suffix":""},{"dropping-particle":"","family":"Jakobsen","given":"Mogens H.","non-dropping-particle":"","parse-names":false,"suffix":""},{"dropping-particle":"","family":"Boisen","given":"Anja","non-dropping-particle":"","parse-names":false,"suffix":""}],"container-title":"Microelectronic Engineering","id":"ITEM-1","issue":"4-6","issued":{"date-parts":[["2009"]]},"page":"1282-1285","publisher":"Elsevier B.V.","title":"Gold cleaning methods for electrochemical detection applications","type":"article-journal","volume":"86"},"uris":["http://www.mendeley.com/documents/?uuid=2f92231b-e847-485a-9f9a-8874052421ca"]}],"mendeley":{"formattedCitation":"[206]","plainTextFormattedCitation":"[206]","previouslyFormattedCitation":"[206]"},"properties":{"noteIndex":0},"schema":"https://github.com/citation-style-language/schema/raw/master/csl-citation.json"}</w:instrText>
      </w:r>
      <w:r w:rsidRPr="005B1CCB">
        <w:rPr>
          <w:rFonts w:ascii="Palatino Linotype" w:hAnsi="Palatino Linotype" w:cs="Times New Roman"/>
          <w:sz w:val="24"/>
          <w:szCs w:val="24"/>
        </w:rPr>
        <w:fldChar w:fldCharType="separate"/>
      </w:r>
      <w:r w:rsidRPr="005F2946">
        <w:rPr>
          <w:rFonts w:ascii="Palatino Linotype" w:hAnsi="Palatino Linotype" w:cs="Times New Roman"/>
          <w:noProof/>
          <w:sz w:val="24"/>
          <w:szCs w:val="24"/>
        </w:rPr>
        <w:t>[206]</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Pr>
          <w:rFonts w:ascii="Palatino Linotype" w:hAnsi="Palatino Linotype" w:cs="Times New Roman"/>
          <w:sz w:val="24"/>
          <w:szCs w:val="24"/>
        </w:rPr>
        <w:instrText>ADDIN CSL_CITATION {"citationItems":[{"id":"ITEM-1","itemData":{"DOI":"10.1039/c3an01319g","author":[{"dropping-particle":"","family":"Walton","given":"A J","non-dropping-particle":"","parse-names":false,"suffix":""},{"dropping-particle":"","family":"Pethig","given":"R","non-dropping-particle":"","parse-names":false,"suffix":""},{"dropping-particle":"","family":"Ghazal","given":"P","non-dropping-particle":"","parse-names":false,"suffix":""},{"dropping-particle":"","family":"Crain","given":"J","non-dropping-particle":"","parse-names":false,"suffix":""},{"dropping-particle":"","family":"Campbell","given":"C J","non-dropping-particle":"","parse-names":false,"suffix":""},{"dropping-particle":"","family":"Templeton","given":"K E","non-dropping-particle":"","parse-names":false,"suffix":""},{"dropping-particle":"","family":"Mount","given":"A R","non-dropping-particle":"","parse-names":false,"suffix":""},{"dropping-particle":"","family":"Bachmann","given":"T T","non-dropping-particle":"","parse-names":false,"suffix":""}],"id":"ITEM-1","issued":{"date-parts":[["2013"]]},"page":"6997-7005","title":"Development of a PCR-free electrochemical point of care test for clinical detection of methicillin resistant","type":"article-journal"},"uris":["http://www.mendeley.com/documents/?uuid=f2f0c174-696c-481d-b8f4-f29921db3cb8"]}],"mendeley":{"formattedCitation":"[207]","plainTextFormattedCitation":"[207]","previouslyFormattedCitation":"[207]"},"properties":{"noteIndex":0},"schema":"https://github.com/citation-style-language/schema/raw/master/csl-citation.json"}</w:instrText>
      </w:r>
      <w:r w:rsidRPr="005B1CCB">
        <w:rPr>
          <w:rFonts w:ascii="Palatino Linotype" w:hAnsi="Palatino Linotype" w:cs="Times New Roman"/>
          <w:sz w:val="24"/>
          <w:szCs w:val="24"/>
        </w:rPr>
        <w:fldChar w:fldCharType="separate"/>
      </w:r>
      <w:r w:rsidRPr="005F2946">
        <w:rPr>
          <w:rFonts w:ascii="Palatino Linotype" w:hAnsi="Palatino Linotype" w:cs="Times New Roman"/>
          <w:noProof/>
          <w:sz w:val="24"/>
          <w:szCs w:val="24"/>
        </w:rPr>
        <w:t>[207]</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Pr>
          <w:rFonts w:ascii="Palatino Linotype" w:hAnsi="Palatino Linotype" w:cs="Times New Roman"/>
          <w:sz w:val="24"/>
          <w:szCs w:val="24"/>
        </w:rPr>
        <w:instrText>ADDIN CSL_CITATION {"citationItems":[{"id":"ITEM-1","itemData":{"DOI":"10.1021/acs.jchemed.7b00361","ISSN":"0021-9584","author":[{"dropping-particle":"","family":"Elgrishi","given":"Noemie","non-dropping-particle":"","parse-names":false,"suffix":""},{"dropping-particle":"","family":"Hammon","given":"Kelley","non-dropping-particle":"","parse-names":false,"suffix":""},{"dropping-particle":"","family":"McCarthy","given":"Brian","non-dropping-particle":"","parse-names":false,"suffix":""},{"dropping-particle":"","family":"Eisenhart","given":"Thomas","non-dropping-particle":"","parse-names":false,"suffix":""},{"dropping-particle":"","family":"Dempsey","given":"Jillian","non-dropping-particle":"","parse-names":false,"suffix":""}],"container-title":"Journal of Chemical Education","id":"ITEM-1","issued":{"date-parts":[["2017"]]},"page":"1-10","title":"A Practical Beginner's Guide to Cyclic Voltammetry","type":"article-journal"},"uris":["http://www.mendeley.com/documents/?uuid=c88fc604-1d60-481b-acc7-828678732b67"]}],"mendeley":{"formattedCitation":"[146]","plainTextFormattedCitation":"[146]","previouslyFormattedCitation":"[146]"},"properties":{"noteIndex":0},"schema":"https://github.com/citation-style-language/schema/raw/master/csl-citation.json"}</w:instrText>
      </w:r>
      <w:r w:rsidRPr="005B1CCB">
        <w:rPr>
          <w:rFonts w:ascii="Palatino Linotype" w:hAnsi="Palatino Linotype" w:cs="Times New Roman"/>
          <w:sz w:val="24"/>
          <w:szCs w:val="24"/>
        </w:rPr>
        <w:fldChar w:fldCharType="separate"/>
      </w:r>
      <w:r w:rsidRPr="005F2946">
        <w:rPr>
          <w:rFonts w:ascii="Palatino Linotype" w:hAnsi="Palatino Linotype" w:cs="Times New Roman"/>
          <w:noProof/>
          <w:sz w:val="24"/>
          <w:szCs w:val="24"/>
        </w:rPr>
        <w:t>[146]</w:t>
      </w:r>
      <w:r w:rsidRPr="005B1CCB">
        <w:rPr>
          <w:rFonts w:ascii="Palatino Linotype" w:hAnsi="Palatino Linotype" w:cs="Times New Roman"/>
          <w:sz w:val="24"/>
          <w:szCs w:val="24"/>
        </w:rPr>
        <w:fldChar w:fldCharType="end"/>
      </w:r>
      <w:r>
        <w:rPr>
          <w:rFonts w:ascii="Palatino Linotype" w:hAnsi="Palatino Linotype" w:cs="Times New Roman"/>
          <w:sz w:val="24"/>
          <w:szCs w:val="24"/>
        </w:rPr>
        <w:t xml:space="preserve"> and the charge transfer resistance was obtained</w:t>
      </w:r>
      <w:r w:rsidRPr="005B1CCB">
        <w:rPr>
          <w:rFonts w:ascii="Palatino Linotype" w:hAnsi="Palatino Linotype" w:cs="Times New Roman"/>
          <w:sz w:val="24"/>
          <w:szCs w:val="24"/>
        </w:rPr>
        <w:t>. The last scan of each oxidative peak current obtained from the CV was plotted and analysed for amplification verification and the charge transfer resistance values were noted. For the CV, DPV and SWV measurements, a decrease in signal from a blank electrode was noted when the probe solution was blocked on the SPCE surface, and a further decrease after hybridisation with a complimentary target should be observed. The formular used to calculate the percentage signal change for each electrode is:</w:t>
      </w:r>
    </w:p>
    <w:p w14:paraId="38C4A239" w14:textId="77777777" w:rsidR="006A02C9" w:rsidRPr="005B1CCB" w:rsidRDefault="006A02C9" w:rsidP="006A02C9">
      <w:pPr>
        <w:spacing w:line="360" w:lineRule="auto"/>
        <w:jc w:val="center"/>
        <w:rPr>
          <w:rFonts w:ascii="Palatino Linotype" w:hAnsi="Palatino Linotype" w:cs="Times New Roman"/>
          <w:b/>
          <w:sz w:val="24"/>
          <w:szCs w:val="24"/>
        </w:rPr>
      </w:pPr>
      <w:r w:rsidRPr="005B1CCB">
        <w:rPr>
          <w:rFonts w:ascii="Palatino Linotype" w:eastAsiaTheme="minorEastAsia" w:hAnsi="Palatino Linotype" w:cs="Times New Roman"/>
          <w:b/>
          <w:sz w:val="24"/>
          <w:szCs w:val="24"/>
        </w:rPr>
        <w:t>% Signal change =</w:t>
      </w:r>
      <w:r w:rsidRPr="005B1CCB">
        <w:rPr>
          <w:rFonts w:ascii="Palatino Linotype" w:eastAsiaTheme="minorEastAsia" w:hAnsi="Palatino Linotype" w:cs="Times New Roman"/>
          <w:b/>
          <w:sz w:val="36"/>
          <w:szCs w:val="36"/>
        </w:rPr>
        <w:t xml:space="preserve">    </w:t>
      </w:r>
      <m:oMath>
        <m:f>
          <m:fPr>
            <m:ctrlPr>
              <w:rPr>
                <w:rFonts w:ascii="Cambria Math" w:hAnsi="Cambria Math" w:cs="Times New Roman"/>
                <w:b/>
                <w:i/>
                <w:sz w:val="36"/>
                <w:szCs w:val="36"/>
              </w:rPr>
            </m:ctrlPr>
          </m:fPr>
          <m:num>
            <m:r>
              <m:rPr>
                <m:sty m:val="bi"/>
              </m:rPr>
              <w:rPr>
                <w:rFonts w:ascii="Cambria Math" w:hAnsi="Cambria Math" w:cs="Times New Roman"/>
                <w:sz w:val="36"/>
                <w:szCs w:val="36"/>
              </w:rPr>
              <m:t xml:space="preserve">Probe current </m:t>
            </m:r>
            <m:d>
              <m:dPr>
                <m:ctrlPr>
                  <w:rPr>
                    <w:rFonts w:ascii="Cambria Math" w:hAnsi="Cambria Math" w:cs="Times New Roman"/>
                    <w:b/>
                    <w:i/>
                    <w:sz w:val="36"/>
                    <w:szCs w:val="36"/>
                  </w:rPr>
                </m:ctrlPr>
              </m:dPr>
              <m:e>
                <m:r>
                  <m:rPr>
                    <m:sty m:val="bi"/>
                  </m:rPr>
                  <w:rPr>
                    <w:rFonts w:ascii="Cambria Math" w:hAnsi="Cambria Math" w:cs="Times New Roman"/>
                    <w:sz w:val="36"/>
                    <w:szCs w:val="36"/>
                  </w:rPr>
                  <m:t>µA</m:t>
                </m:r>
              </m:e>
            </m:d>
            <m:r>
              <m:rPr>
                <m:sty m:val="bi"/>
              </m:rPr>
              <w:rPr>
                <w:rFonts w:ascii="Cambria Math" w:hAnsi="Cambria Math" w:cs="Times New Roman"/>
                <w:sz w:val="36"/>
                <w:szCs w:val="36"/>
              </w:rPr>
              <m:t xml:space="preserve"> -Target current (µA)</m:t>
            </m:r>
          </m:num>
          <m:den>
            <m:r>
              <m:rPr>
                <m:sty m:val="bi"/>
              </m:rPr>
              <w:rPr>
                <w:rFonts w:ascii="Cambria Math" w:hAnsi="Cambria Math" w:cs="Times New Roman"/>
                <w:sz w:val="36"/>
                <w:szCs w:val="36"/>
              </w:rPr>
              <m:t>Probe current (µA)</m:t>
            </m:r>
          </m:den>
        </m:f>
      </m:oMath>
      <w:r w:rsidRPr="005B1CCB">
        <w:rPr>
          <w:rFonts w:ascii="Palatino Linotype" w:hAnsi="Palatino Linotype" w:cs="Times New Roman"/>
          <w:b/>
          <w:sz w:val="24"/>
          <w:szCs w:val="24"/>
        </w:rPr>
        <w:t xml:space="preserve">  * 100</w:t>
      </w:r>
    </w:p>
    <w:p w14:paraId="6A903926" w14:textId="77777777" w:rsidR="006A02C9" w:rsidRPr="005B1CCB" w:rsidRDefault="006A02C9" w:rsidP="006A02C9">
      <w:pPr>
        <w:spacing w:line="360" w:lineRule="auto"/>
        <w:jc w:val="center"/>
        <w:rPr>
          <w:rFonts w:ascii="Palatino Linotype" w:hAnsi="Palatino Linotype" w:cs="Times New Roman"/>
          <w:b/>
          <w:sz w:val="24"/>
          <w:szCs w:val="24"/>
        </w:rPr>
      </w:pPr>
    </w:p>
    <w:p w14:paraId="39ED5BD8" w14:textId="77777777" w:rsidR="006A02C9" w:rsidRPr="005B1CCB" w:rsidRDefault="006A02C9" w:rsidP="006A02C9">
      <w:pPr>
        <w:spacing w:line="360" w:lineRule="auto"/>
        <w:jc w:val="center"/>
        <w:rPr>
          <w:rFonts w:ascii="Palatino Linotype" w:hAnsi="Palatino Linotype" w:cs="Times New Roman"/>
          <w:b/>
          <w:sz w:val="24"/>
          <w:szCs w:val="24"/>
        </w:rPr>
      </w:pPr>
    </w:p>
    <w:p w14:paraId="61E93CAB" w14:textId="77777777" w:rsidR="006A02C9" w:rsidRPr="005B1CCB" w:rsidRDefault="006A02C9" w:rsidP="006A02C9">
      <w:pPr>
        <w:spacing w:line="360" w:lineRule="auto"/>
        <w:jc w:val="center"/>
        <w:rPr>
          <w:rFonts w:ascii="Palatino Linotype" w:hAnsi="Palatino Linotype" w:cs="Times New Roman"/>
          <w:b/>
          <w:sz w:val="24"/>
          <w:szCs w:val="24"/>
        </w:rPr>
      </w:pPr>
    </w:p>
    <w:p w14:paraId="4BC945BC" w14:textId="77777777" w:rsidR="006A02C9" w:rsidRPr="005B1CCB" w:rsidRDefault="006A02C9" w:rsidP="006A02C9">
      <w:pPr>
        <w:spacing w:line="360" w:lineRule="auto"/>
        <w:jc w:val="center"/>
        <w:rPr>
          <w:rFonts w:ascii="Palatino Linotype" w:hAnsi="Palatino Linotype" w:cs="Times New Roman"/>
          <w:b/>
          <w:sz w:val="24"/>
          <w:szCs w:val="24"/>
        </w:rPr>
      </w:pPr>
    </w:p>
    <w:p w14:paraId="0385206E" w14:textId="77777777" w:rsidR="006A02C9" w:rsidRPr="005B1CCB" w:rsidRDefault="006A02C9" w:rsidP="006A02C9">
      <w:pPr>
        <w:spacing w:line="360" w:lineRule="auto"/>
        <w:jc w:val="center"/>
        <w:rPr>
          <w:rFonts w:ascii="Palatino Linotype" w:hAnsi="Palatino Linotype" w:cs="Times New Roman"/>
          <w:b/>
          <w:sz w:val="24"/>
          <w:szCs w:val="24"/>
        </w:rPr>
      </w:pPr>
    </w:p>
    <w:p w14:paraId="2539DB5A" w14:textId="77777777" w:rsidR="006A02C9" w:rsidRPr="005B1CCB" w:rsidRDefault="006A02C9" w:rsidP="006A02C9">
      <w:pPr>
        <w:spacing w:line="360" w:lineRule="auto"/>
        <w:jc w:val="center"/>
        <w:rPr>
          <w:rFonts w:ascii="Palatino Linotype" w:hAnsi="Palatino Linotype" w:cs="Times New Roman"/>
          <w:b/>
          <w:sz w:val="24"/>
          <w:szCs w:val="24"/>
        </w:rPr>
      </w:pPr>
    </w:p>
    <w:p w14:paraId="37A0D8CC" w14:textId="77777777" w:rsidR="006A02C9" w:rsidRPr="005B1CCB" w:rsidRDefault="006A02C9" w:rsidP="006A02C9">
      <w:pPr>
        <w:spacing w:line="360" w:lineRule="auto"/>
        <w:jc w:val="center"/>
        <w:rPr>
          <w:rFonts w:ascii="Palatino Linotype" w:hAnsi="Palatino Linotype" w:cs="Times New Roman"/>
          <w:b/>
          <w:sz w:val="24"/>
          <w:szCs w:val="24"/>
        </w:rPr>
      </w:pPr>
    </w:p>
    <w:p w14:paraId="30A9E06E" w14:textId="77777777" w:rsidR="006A02C9" w:rsidRPr="005B1CCB" w:rsidRDefault="006A02C9" w:rsidP="006A02C9">
      <w:pPr>
        <w:spacing w:line="360" w:lineRule="auto"/>
        <w:jc w:val="center"/>
        <w:rPr>
          <w:rFonts w:ascii="Palatino Linotype" w:hAnsi="Palatino Linotype" w:cs="Times New Roman"/>
          <w:b/>
          <w:sz w:val="24"/>
          <w:szCs w:val="24"/>
        </w:rPr>
      </w:pPr>
    </w:p>
    <w:p w14:paraId="00139908" w14:textId="77777777" w:rsidR="006A02C9" w:rsidRPr="005B1CCB" w:rsidRDefault="006A02C9" w:rsidP="006A02C9">
      <w:pPr>
        <w:spacing w:line="360" w:lineRule="auto"/>
        <w:jc w:val="center"/>
        <w:rPr>
          <w:rFonts w:ascii="Palatino Linotype" w:hAnsi="Palatino Linotype" w:cs="Times New Roman"/>
          <w:b/>
          <w:sz w:val="24"/>
          <w:szCs w:val="24"/>
        </w:rPr>
      </w:pPr>
    </w:p>
    <w:p w14:paraId="0AE27CCF" w14:textId="77777777" w:rsidR="006A02C9" w:rsidRPr="005B1CCB" w:rsidRDefault="006A02C9" w:rsidP="006A02C9">
      <w:pPr>
        <w:spacing w:line="360" w:lineRule="auto"/>
        <w:jc w:val="center"/>
        <w:rPr>
          <w:rFonts w:ascii="Palatino Linotype" w:hAnsi="Palatino Linotype" w:cs="Times New Roman"/>
          <w:b/>
          <w:sz w:val="24"/>
          <w:szCs w:val="24"/>
        </w:rPr>
      </w:pPr>
    </w:p>
    <w:p w14:paraId="2DDACDD2" w14:textId="77777777" w:rsidR="006A02C9" w:rsidRPr="005B1CCB" w:rsidRDefault="006A02C9" w:rsidP="006A02C9">
      <w:pPr>
        <w:spacing w:line="360" w:lineRule="auto"/>
        <w:jc w:val="center"/>
        <w:rPr>
          <w:rFonts w:ascii="Palatino Linotype" w:hAnsi="Palatino Linotype" w:cs="Times New Roman"/>
          <w:b/>
          <w:sz w:val="24"/>
          <w:szCs w:val="24"/>
        </w:rPr>
      </w:pPr>
    </w:p>
    <w:p w14:paraId="3E16B066" w14:textId="77777777" w:rsidR="006A02C9" w:rsidRPr="005B1CCB" w:rsidRDefault="006A02C9" w:rsidP="006A02C9">
      <w:pPr>
        <w:spacing w:line="360" w:lineRule="auto"/>
        <w:jc w:val="center"/>
        <w:rPr>
          <w:rFonts w:ascii="Palatino Linotype" w:hAnsi="Palatino Linotype" w:cs="Times New Roman"/>
          <w:b/>
          <w:sz w:val="24"/>
          <w:szCs w:val="24"/>
        </w:rPr>
      </w:pPr>
    </w:p>
    <w:p w14:paraId="077A08C8" w14:textId="77777777" w:rsidR="006A02C9" w:rsidRPr="005B1CCB" w:rsidRDefault="006A02C9" w:rsidP="006A02C9">
      <w:pPr>
        <w:spacing w:line="360" w:lineRule="auto"/>
        <w:jc w:val="center"/>
        <w:rPr>
          <w:rFonts w:ascii="Palatino Linotype" w:hAnsi="Palatino Linotype" w:cs="Times New Roman"/>
          <w:b/>
          <w:sz w:val="24"/>
          <w:szCs w:val="24"/>
        </w:rPr>
      </w:pPr>
    </w:p>
    <w:p w14:paraId="6FAF9E52" w14:textId="77777777" w:rsidR="006A02C9" w:rsidRPr="005B1CCB" w:rsidRDefault="006A02C9" w:rsidP="006A02C9">
      <w:pPr>
        <w:spacing w:line="360" w:lineRule="auto"/>
        <w:rPr>
          <w:rFonts w:ascii="Palatino Linotype" w:hAnsi="Palatino Linotype" w:cs="Times New Roman"/>
          <w:b/>
          <w:sz w:val="24"/>
          <w:szCs w:val="24"/>
        </w:rPr>
      </w:pPr>
    </w:p>
    <w:p w14:paraId="3F599C6F" w14:textId="77777777" w:rsidR="006A02C9" w:rsidRPr="005B1CCB" w:rsidRDefault="006A02C9" w:rsidP="006A02C9">
      <w:pPr>
        <w:spacing w:line="360" w:lineRule="auto"/>
        <w:rPr>
          <w:rFonts w:ascii="Palatino Linotype" w:hAnsi="Palatino Linotype" w:cs="Times New Roman"/>
          <w:b/>
          <w:sz w:val="24"/>
          <w:szCs w:val="24"/>
        </w:rPr>
      </w:pPr>
    </w:p>
    <w:p w14:paraId="6BD336D9" w14:textId="77777777" w:rsidR="006A02C9" w:rsidRDefault="006A02C9" w:rsidP="006A02C9">
      <w:pPr>
        <w:spacing w:line="360" w:lineRule="auto"/>
        <w:rPr>
          <w:rFonts w:ascii="Palatino Linotype" w:hAnsi="Palatino Linotype" w:cs="Times New Roman"/>
          <w:b/>
          <w:sz w:val="24"/>
          <w:szCs w:val="24"/>
        </w:rPr>
      </w:pPr>
    </w:p>
    <w:p w14:paraId="20EC0B96" w14:textId="77777777" w:rsidR="006A02C9" w:rsidRPr="005B1CCB" w:rsidRDefault="006A02C9" w:rsidP="006A02C9">
      <w:pPr>
        <w:spacing w:line="360" w:lineRule="auto"/>
        <w:rPr>
          <w:rFonts w:ascii="Palatino Linotype" w:hAnsi="Palatino Linotype" w:cs="Times New Roman"/>
          <w:b/>
          <w:sz w:val="24"/>
          <w:szCs w:val="24"/>
        </w:rPr>
      </w:pPr>
    </w:p>
    <w:p w14:paraId="79D49F27" w14:textId="76D5BD19" w:rsidR="006F1E08" w:rsidRPr="005B1CCB" w:rsidRDefault="006F1E08" w:rsidP="00D71969">
      <w:pPr>
        <w:pStyle w:val="Heading3"/>
      </w:pPr>
      <w:bookmarkStart w:id="79" w:name="_Toc84528079"/>
      <w:r w:rsidRPr="005B1CCB">
        <w:t>Polymerase chain reaction (PCR)</w:t>
      </w:r>
      <w:r w:rsidR="00ED6C15" w:rsidRPr="005B1CCB">
        <w:t xml:space="preserve"> protocol</w:t>
      </w:r>
      <w:bookmarkEnd w:id="79"/>
    </w:p>
    <w:p w14:paraId="6CEAA3FC" w14:textId="77777777" w:rsidR="00EA7F6B" w:rsidRPr="005B1CCB" w:rsidRDefault="00CE49BE" w:rsidP="00EA7F6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EA7F6B" w:rsidRPr="005B1CCB">
        <w:rPr>
          <w:rFonts w:ascii="Palatino Linotype" w:hAnsi="Palatino Linotype" w:cs="Times New Roman"/>
          <w:sz w:val="24"/>
          <w:szCs w:val="24"/>
        </w:rPr>
        <w:t xml:space="preserve">In order to couple DNA amplification directly to the electrochemical assay, it was necessary to develop a standard PCR reaction which </w:t>
      </w:r>
      <w:r w:rsidRPr="005B1CCB">
        <w:rPr>
          <w:rFonts w:ascii="Palatino Linotype" w:hAnsi="Palatino Linotype" w:cs="Times New Roman"/>
          <w:sz w:val="24"/>
          <w:szCs w:val="24"/>
        </w:rPr>
        <w:t>was</w:t>
      </w:r>
      <w:r w:rsidR="00EA7F6B" w:rsidRPr="005B1CCB">
        <w:rPr>
          <w:rFonts w:ascii="Palatino Linotype" w:hAnsi="Palatino Linotype" w:cs="Times New Roman"/>
          <w:sz w:val="24"/>
          <w:szCs w:val="24"/>
        </w:rPr>
        <w:t xml:space="preserve"> run in a portable PCR machine </w:t>
      </w:r>
      <w:r w:rsidR="00324BE8" w:rsidRPr="005B1CCB">
        <w:rPr>
          <w:rFonts w:ascii="Palatino Linotype" w:hAnsi="Palatino Linotype" w:cs="Times New Roman"/>
          <w:sz w:val="24"/>
          <w:szCs w:val="24"/>
        </w:rPr>
        <w:t xml:space="preserve">(Figure 13) </w:t>
      </w:r>
      <w:r w:rsidR="00EA7F6B" w:rsidRPr="005B1CCB">
        <w:rPr>
          <w:rFonts w:ascii="Palatino Linotype" w:hAnsi="Palatino Linotype" w:cs="Times New Roman"/>
          <w:sz w:val="24"/>
          <w:szCs w:val="24"/>
        </w:rPr>
        <w:t>manufactured by “mini</w:t>
      </w:r>
      <w:r w:rsidR="00B50E78" w:rsidRPr="005B1CCB">
        <w:rPr>
          <w:rFonts w:ascii="Palatino Linotype" w:hAnsi="Palatino Linotype" w:cs="Times New Roman"/>
          <w:sz w:val="24"/>
          <w:szCs w:val="24"/>
        </w:rPr>
        <w:t>-PCR</w:t>
      </w:r>
      <w:r w:rsidR="00EA7F6B" w:rsidRPr="005B1CCB">
        <w:rPr>
          <w:rFonts w:ascii="Palatino Linotype" w:hAnsi="Palatino Linotype" w:cs="Times New Roman"/>
          <w:sz w:val="24"/>
          <w:szCs w:val="24"/>
        </w:rPr>
        <w:t xml:space="preserve">” (Cambridge, Massachusetts, USA) to closely mimic a system which could be deployed in a point of care setting. </w:t>
      </w:r>
    </w:p>
    <w:p w14:paraId="00A1EE77" w14:textId="77777777" w:rsidR="00CD4340" w:rsidRPr="005B1CCB" w:rsidRDefault="00324BE8" w:rsidP="00EA7F6B">
      <w:pPr>
        <w:spacing w:line="360" w:lineRule="auto"/>
        <w:jc w:val="both"/>
        <w:rPr>
          <w:rFonts w:ascii="Palatino Linotype" w:hAnsi="Palatino Linotype" w:cstheme="minorHAnsi"/>
          <w:sz w:val="24"/>
          <w:szCs w:val="24"/>
        </w:rPr>
      </w:pPr>
      <w:r w:rsidRPr="005B1CCB">
        <w:rPr>
          <w:rFonts w:ascii="Palatino Linotype" w:hAnsi="Palatino Linotype" w:cs="Times New Roman"/>
          <w:sz w:val="24"/>
          <w:szCs w:val="24"/>
        </w:rPr>
        <w:t xml:space="preserve">     </w:t>
      </w:r>
      <w:r w:rsidRPr="00101B10">
        <w:rPr>
          <w:rFonts w:ascii="Palatino Linotype" w:hAnsi="Palatino Linotype" w:cs="Times New Roman"/>
          <w:sz w:val="24"/>
          <w:szCs w:val="24"/>
        </w:rPr>
        <w:t>The main components needed for a successful PCR reaction includes the parent DNA, dNTP set containing the four nucleotides, forward and reverse primers, and DNA polymerase which is usually heat resistant</w:t>
      </w:r>
      <w:r w:rsidRPr="005B1CCB">
        <w:rPr>
          <w:rFonts w:ascii="Palatino Linotype" w:hAnsi="Palatino Linotype" w:cs="Times New Roman"/>
          <w:sz w:val="24"/>
          <w:szCs w:val="24"/>
        </w:rPr>
        <w:t xml:space="preserve">. PCR mainly depends on thermal cycling and goes through three steps: denaturation, annealing and extension. </w:t>
      </w:r>
      <w:r w:rsidRPr="005B1CCB">
        <w:rPr>
          <w:rFonts w:ascii="Palatino Linotype" w:hAnsi="Palatino Linotype" w:cstheme="minorHAnsi"/>
          <w:sz w:val="24"/>
          <w:szCs w:val="24"/>
        </w:rPr>
        <w:t xml:space="preserve">The ability of the primer sets to successfully amplify both the mutant sequence and the wild-type sequence will be confirmed by gel electrophoresis and measured via a Qubit fluorometer.  </w:t>
      </w:r>
    </w:p>
    <w:p w14:paraId="5F45FEB4" w14:textId="77777777" w:rsidR="00324BE8" w:rsidRPr="005B1CCB" w:rsidRDefault="00A04C04" w:rsidP="00324BE8">
      <w:pPr>
        <w:keepNext/>
        <w:spacing w:line="360" w:lineRule="auto"/>
        <w:jc w:val="center"/>
      </w:pPr>
      <w:r w:rsidRPr="005B1CCB">
        <w:rPr>
          <w:rFonts w:ascii="Palatino Linotype" w:hAnsi="Palatino Linotype" w:cs="Times New Roman"/>
          <w:noProof/>
          <w:sz w:val="24"/>
          <w:szCs w:val="24"/>
          <w:lang w:eastAsia="en-GB"/>
        </w:rPr>
        <w:drawing>
          <wp:inline distT="0" distB="0" distL="0" distR="0" wp14:anchorId="24E88944" wp14:editId="07E6B52C">
            <wp:extent cx="2801896" cy="3596781"/>
            <wp:effectExtent l="0" t="0" r="0" b="3810"/>
            <wp:docPr id="52" name="Picture 52" descr="C:\Users\cdt\Documents\EngD\PCR\IMG_3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t\Documents\EngD\PCR\IMG_3193.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6616" b="4486"/>
                    <a:stretch/>
                  </pic:blipFill>
                  <pic:spPr bwMode="auto">
                    <a:xfrm>
                      <a:off x="0" y="0"/>
                      <a:ext cx="2822624" cy="3623389"/>
                    </a:xfrm>
                    <a:prstGeom prst="rect">
                      <a:avLst/>
                    </a:prstGeom>
                    <a:noFill/>
                    <a:ln>
                      <a:noFill/>
                    </a:ln>
                    <a:extLst>
                      <a:ext uri="{53640926-AAD7-44D8-BBD7-CCE9431645EC}">
                        <a14:shadowObscured xmlns:a14="http://schemas.microsoft.com/office/drawing/2010/main"/>
                      </a:ext>
                    </a:extLst>
                  </pic:spPr>
                </pic:pic>
              </a:graphicData>
            </a:graphic>
          </wp:inline>
        </w:drawing>
      </w:r>
    </w:p>
    <w:p w14:paraId="1B49376E" w14:textId="77777777" w:rsidR="00A04C04" w:rsidRPr="005B1CCB" w:rsidRDefault="00324BE8" w:rsidP="00324BE8">
      <w:pPr>
        <w:pStyle w:val="Caption"/>
        <w:jc w:val="center"/>
      </w:pPr>
      <w:bookmarkStart w:id="80" w:name="_Toc84519608"/>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13</w:t>
      </w:r>
      <w:r w:rsidRPr="005B1CCB">
        <w:rPr>
          <w:sz w:val="22"/>
          <w:szCs w:val="22"/>
        </w:rPr>
        <w:fldChar w:fldCharType="end"/>
      </w:r>
      <w:r w:rsidRPr="005B1CCB">
        <w:rPr>
          <w:sz w:val="22"/>
          <w:szCs w:val="22"/>
        </w:rPr>
        <w:t>:</w:t>
      </w:r>
      <w:r w:rsidRPr="005B1CCB">
        <w:t xml:space="preserve"> </w:t>
      </w:r>
      <w:r w:rsidR="006A5E78" w:rsidRPr="005B1CCB">
        <w:rPr>
          <w:sz w:val="22"/>
          <w:szCs w:val="22"/>
        </w:rPr>
        <w:t>Mini-PCR thermal cycler used for DNA amplification and denaturing</w:t>
      </w:r>
      <w:bookmarkEnd w:id="80"/>
    </w:p>
    <w:p w14:paraId="62E03573" w14:textId="77777777" w:rsidR="00CD4340" w:rsidRPr="005B1CCB" w:rsidRDefault="00EA7F6B" w:rsidP="00EA7F6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The concentrations and protocol used in this study </w:t>
      </w:r>
      <w:r w:rsidR="001201F8" w:rsidRPr="005B1CCB">
        <w:rPr>
          <w:rFonts w:ascii="Palatino Linotype" w:hAnsi="Palatino Linotype" w:cs="Times New Roman"/>
          <w:sz w:val="24"/>
          <w:szCs w:val="24"/>
        </w:rPr>
        <w:t>are</w:t>
      </w:r>
      <w:r w:rsidRPr="005B1CCB">
        <w:rPr>
          <w:rFonts w:ascii="Palatino Linotype" w:hAnsi="Palatino Linotype" w:cs="Times New Roman"/>
          <w:sz w:val="24"/>
          <w:szCs w:val="24"/>
        </w:rPr>
        <w:t xml:space="preserve"> shown below.</w:t>
      </w:r>
    </w:p>
    <w:p w14:paraId="4E6F6959" w14:textId="77777777" w:rsidR="00EA7F6B" w:rsidRPr="005B1CCB" w:rsidRDefault="001201F8" w:rsidP="001201F8">
      <w:pPr>
        <w:pStyle w:val="Heading4"/>
      </w:pPr>
      <w:r w:rsidRPr="005B1CCB">
        <w:t>HotStarTaq Plus DNA Polymerase</w:t>
      </w:r>
    </w:p>
    <w:p w14:paraId="23295CBE" w14:textId="1BBA8EF8" w:rsidR="00186A61" w:rsidRPr="005B1CCB" w:rsidRDefault="00186A61" w:rsidP="00186A61">
      <w:pPr>
        <w:pStyle w:val="Caption"/>
        <w:keepNext/>
        <w:jc w:val="center"/>
        <w:rPr>
          <w:rFonts w:cstheme="minorHAnsi"/>
          <w:sz w:val="22"/>
          <w:szCs w:val="22"/>
        </w:rPr>
      </w:pPr>
      <w:bookmarkStart w:id="81" w:name="_Toc84272324"/>
      <w:r w:rsidRPr="005B1CCB">
        <w:rPr>
          <w:rFonts w:cstheme="minorHAnsi"/>
          <w:sz w:val="22"/>
          <w:szCs w:val="22"/>
        </w:rPr>
        <w:t xml:space="preserve">Table </w:t>
      </w:r>
      <w:r w:rsidRPr="005B1CCB">
        <w:rPr>
          <w:rFonts w:cstheme="minorHAnsi"/>
          <w:sz w:val="22"/>
          <w:szCs w:val="22"/>
        </w:rPr>
        <w:fldChar w:fldCharType="begin"/>
      </w:r>
      <w:r w:rsidRPr="005B1CCB">
        <w:rPr>
          <w:rFonts w:cstheme="minorHAnsi"/>
          <w:sz w:val="22"/>
          <w:szCs w:val="22"/>
        </w:rPr>
        <w:instrText xml:space="preserve"> SEQ Table \* ARABIC </w:instrText>
      </w:r>
      <w:r w:rsidRPr="005B1CCB">
        <w:rPr>
          <w:rFonts w:cstheme="minorHAnsi"/>
          <w:sz w:val="22"/>
          <w:szCs w:val="22"/>
        </w:rPr>
        <w:fldChar w:fldCharType="separate"/>
      </w:r>
      <w:r w:rsidR="005355B6">
        <w:rPr>
          <w:rFonts w:cstheme="minorHAnsi"/>
          <w:noProof/>
          <w:sz w:val="22"/>
          <w:szCs w:val="22"/>
        </w:rPr>
        <w:t>3</w:t>
      </w:r>
      <w:r w:rsidRPr="005B1CCB">
        <w:rPr>
          <w:rFonts w:cstheme="minorHAnsi"/>
          <w:sz w:val="22"/>
          <w:szCs w:val="22"/>
        </w:rPr>
        <w:fldChar w:fldCharType="end"/>
      </w:r>
      <w:r w:rsidRPr="005B1CCB">
        <w:rPr>
          <w:rFonts w:cstheme="minorHAnsi"/>
          <w:sz w:val="22"/>
          <w:szCs w:val="22"/>
        </w:rPr>
        <w:t>: Reaction setup using HotStarTaq Plus DNA Polymerase</w:t>
      </w:r>
      <w:bookmarkEnd w:id="81"/>
    </w:p>
    <w:tbl>
      <w:tblPr>
        <w:tblW w:w="0" w:type="auto"/>
        <w:tblLook w:val="04A0" w:firstRow="1" w:lastRow="0" w:firstColumn="1" w:lastColumn="0" w:noHBand="0" w:noVBand="1"/>
      </w:tblPr>
      <w:tblGrid>
        <w:gridCol w:w="3350"/>
        <w:gridCol w:w="2144"/>
        <w:gridCol w:w="3010"/>
      </w:tblGrid>
      <w:tr w:rsidR="00743664" w:rsidRPr="005B1CCB" w14:paraId="6F4C83E3" w14:textId="77777777" w:rsidTr="009C541B">
        <w:tc>
          <w:tcPr>
            <w:tcW w:w="3823" w:type="dxa"/>
          </w:tcPr>
          <w:p w14:paraId="04D79D99" w14:textId="77777777" w:rsidR="00743664" w:rsidRPr="005B1CCB" w:rsidRDefault="00743664" w:rsidP="0052183A">
            <w:pPr>
              <w:spacing w:line="360" w:lineRule="auto"/>
              <w:jc w:val="center"/>
              <w:rPr>
                <w:rFonts w:ascii="Palatino Linotype" w:hAnsi="Palatino Linotype" w:cs="Times New Roman"/>
                <w:b/>
              </w:rPr>
            </w:pPr>
            <w:r w:rsidRPr="005B1CCB">
              <w:rPr>
                <w:rFonts w:ascii="Palatino Linotype" w:hAnsi="Palatino Linotype" w:cs="Times New Roman"/>
                <w:b/>
              </w:rPr>
              <w:t>Component</w:t>
            </w:r>
          </w:p>
        </w:tc>
        <w:tc>
          <w:tcPr>
            <w:tcW w:w="2187" w:type="dxa"/>
          </w:tcPr>
          <w:p w14:paraId="5EC5AF60" w14:textId="77777777" w:rsidR="00743664" w:rsidRPr="005B1CCB" w:rsidRDefault="00743664" w:rsidP="0052183A">
            <w:pPr>
              <w:spacing w:line="360" w:lineRule="auto"/>
              <w:jc w:val="center"/>
              <w:rPr>
                <w:rFonts w:ascii="Palatino Linotype" w:hAnsi="Palatino Linotype" w:cs="Times New Roman"/>
                <w:b/>
              </w:rPr>
            </w:pPr>
            <w:r w:rsidRPr="005B1CCB">
              <w:rPr>
                <w:rFonts w:ascii="Palatino Linotype" w:hAnsi="Palatino Linotype" w:cs="Times New Roman"/>
                <w:b/>
              </w:rPr>
              <w:t>Volume/Reaction</w:t>
            </w:r>
          </w:p>
        </w:tc>
        <w:tc>
          <w:tcPr>
            <w:tcW w:w="3341" w:type="dxa"/>
          </w:tcPr>
          <w:p w14:paraId="60E5E9F0" w14:textId="77777777" w:rsidR="00743664" w:rsidRPr="005B1CCB" w:rsidRDefault="00743664" w:rsidP="0052183A">
            <w:pPr>
              <w:spacing w:line="360" w:lineRule="auto"/>
              <w:jc w:val="center"/>
              <w:rPr>
                <w:rFonts w:ascii="Palatino Linotype" w:hAnsi="Palatino Linotype" w:cs="Times New Roman"/>
                <w:b/>
              </w:rPr>
            </w:pPr>
            <w:r w:rsidRPr="005B1CCB">
              <w:rPr>
                <w:rFonts w:ascii="Palatino Linotype" w:hAnsi="Palatino Linotype" w:cs="Times New Roman"/>
                <w:b/>
              </w:rPr>
              <w:t>Final Concentration</w:t>
            </w:r>
          </w:p>
        </w:tc>
      </w:tr>
      <w:tr w:rsidR="00743664" w:rsidRPr="005B1CCB" w14:paraId="661F8891" w14:textId="77777777" w:rsidTr="009C541B">
        <w:tc>
          <w:tcPr>
            <w:tcW w:w="3823" w:type="dxa"/>
          </w:tcPr>
          <w:p w14:paraId="656C844A"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Reaction mix (10x PCR Buffer* or  Optional: 10x CoralLoad PCR Buffer)</w:t>
            </w:r>
          </w:p>
        </w:tc>
        <w:tc>
          <w:tcPr>
            <w:tcW w:w="2187" w:type="dxa"/>
          </w:tcPr>
          <w:p w14:paraId="0F1BE939"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10μl</w:t>
            </w:r>
          </w:p>
        </w:tc>
        <w:tc>
          <w:tcPr>
            <w:tcW w:w="3341" w:type="dxa"/>
          </w:tcPr>
          <w:p w14:paraId="3CCED71F"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1x</w:t>
            </w:r>
          </w:p>
        </w:tc>
      </w:tr>
      <w:tr w:rsidR="00743664" w:rsidRPr="005B1CCB" w14:paraId="685CB794" w14:textId="77777777" w:rsidTr="009C541B">
        <w:tc>
          <w:tcPr>
            <w:tcW w:w="3823" w:type="dxa"/>
          </w:tcPr>
          <w:p w14:paraId="62C70761"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 xml:space="preserve">dNTP mix </w:t>
            </w:r>
          </w:p>
        </w:tc>
        <w:tc>
          <w:tcPr>
            <w:tcW w:w="2187" w:type="dxa"/>
          </w:tcPr>
          <w:p w14:paraId="0872F2E0"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2 μl</w:t>
            </w:r>
          </w:p>
        </w:tc>
        <w:tc>
          <w:tcPr>
            <w:tcW w:w="3341" w:type="dxa"/>
          </w:tcPr>
          <w:p w14:paraId="3CDC3EA9"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200 μM of each dNTP</w:t>
            </w:r>
          </w:p>
        </w:tc>
      </w:tr>
      <w:tr w:rsidR="00743664" w:rsidRPr="005B1CCB" w14:paraId="46109215" w14:textId="77777777" w:rsidTr="009C541B">
        <w:tc>
          <w:tcPr>
            <w:tcW w:w="3823" w:type="dxa"/>
          </w:tcPr>
          <w:p w14:paraId="47FB8EF8"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Primer (Forward Wildtype)</w:t>
            </w:r>
          </w:p>
        </w:tc>
        <w:tc>
          <w:tcPr>
            <w:tcW w:w="2187" w:type="dxa"/>
          </w:tcPr>
          <w:p w14:paraId="18A890A5"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25 μl</w:t>
            </w:r>
          </w:p>
        </w:tc>
        <w:tc>
          <w:tcPr>
            <w:tcW w:w="3341" w:type="dxa"/>
          </w:tcPr>
          <w:p w14:paraId="15C1C789"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0.5 μM</w:t>
            </w:r>
          </w:p>
        </w:tc>
      </w:tr>
      <w:tr w:rsidR="00743664" w:rsidRPr="005B1CCB" w14:paraId="607A2D95" w14:textId="77777777" w:rsidTr="009C541B">
        <w:tc>
          <w:tcPr>
            <w:tcW w:w="3823" w:type="dxa"/>
          </w:tcPr>
          <w:p w14:paraId="04C11C21"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Primer (Forward Mutant)</w:t>
            </w:r>
          </w:p>
        </w:tc>
        <w:tc>
          <w:tcPr>
            <w:tcW w:w="2187" w:type="dxa"/>
          </w:tcPr>
          <w:p w14:paraId="7F60D20F"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25 μl</w:t>
            </w:r>
          </w:p>
        </w:tc>
        <w:tc>
          <w:tcPr>
            <w:tcW w:w="3341" w:type="dxa"/>
          </w:tcPr>
          <w:p w14:paraId="406792DE"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0.5 μM</w:t>
            </w:r>
          </w:p>
        </w:tc>
      </w:tr>
      <w:tr w:rsidR="00743664" w:rsidRPr="005B1CCB" w14:paraId="5332DCD7" w14:textId="77777777" w:rsidTr="009C541B">
        <w:tc>
          <w:tcPr>
            <w:tcW w:w="3823" w:type="dxa"/>
          </w:tcPr>
          <w:p w14:paraId="4A338C4A"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Primer (Reverse)</w:t>
            </w:r>
          </w:p>
        </w:tc>
        <w:tc>
          <w:tcPr>
            <w:tcW w:w="2187" w:type="dxa"/>
          </w:tcPr>
          <w:p w14:paraId="3699C096"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25 μl</w:t>
            </w:r>
          </w:p>
        </w:tc>
        <w:tc>
          <w:tcPr>
            <w:tcW w:w="3341" w:type="dxa"/>
          </w:tcPr>
          <w:p w14:paraId="437DFBD4"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0.5 μM</w:t>
            </w:r>
          </w:p>
        </w:tc>
      </w:tr>
      <w:tr w:rsidR="00743664" w:rsidRPr="005B1CCB" w14:paraId="5C29BD4A" w14:textId="77777777" w:rsidTr="009C541B">
        <w:tc>
          <w:tcPr>
            <w:tcW w:w="3823" w:type="dxa"/>
          </w:tcPr>
          <w:p w14:paraId="614F025D"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HotStarTaq Plus DNA Polymerase</w:t>
            </w:r>
          </w:p>
        </w:tc>
        <w:tc>
          <w:tcPr>
            <w:tcW w:w="2187" w:type="dxa"/>
          </w:tcPr>
          <w:p w14:paraId="2F1A96F5"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0.5 μl</w:t>
            </w:r>
          </w:p>
        </w:tc>
        <w:tc>
          <w:tcPr>
            <w:tcW w:w="3341" w:type="dxa"/>
          </w:tcPr>
          <w:p w14:paraId="2A1E016F"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2.5 units/reaction</w:t>
            </w:r>
          </w:p>
        </w:tc>
      </w:tr>
      <w:tr w:rsidR="00743664" w:rsidRPr="005B1CCB" w14:paraId="3D658AB9" w14:textId="77777777" w:rsidTr="009C541B">
        <w:tc>
          <w:tcPr>
            <w:tcW w:w="3823" w:type="dxa"/>
          </w:tcPr>
          <w:p w14:paraId="484FA20A"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5x Q-Solution</w:t>
            </w:r>
          </w:p>
        </w:tc>
        <w:tc>
          <w:tcPr>
            <w:tcW w:w="2187" w:type="dxa"/>
          </w:tcPr>
          <w:p w14:paraId="32083186"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20 μl</w:t>
            </w:r>
          </w:p>
        </w:tc>
        <w:tc>
          <w:tcPr>
            <w:tcW w:w="3341" w:type="dxa"/>
          </w:tcPr>
          <w:p w14:paraId="7F60BDFD"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1x</w:t>
            </w:r>
          </w:p>
        </w:tc>
      </w:tr>
      <w:tr w:rsidR="00743664" w:rsidRPr="005B1CCB" w14:paraId="6585EAFD" w14:textId="77777777" w:rsidTr="009C541B">
        <w:tc>
          <w:tcPr>
            <w:tcW w:w="3823" w:type="dxa"/>
          </w:tcPr>
          <w:p w14:paraId="7B879FC3"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Template DNA</w:t>
            </w:r>
          </w:p>
        </w:tc>
        <w:tc>
          <w:tcPr>
            <w:tcW w:w="2187" w:type="dxa"/>
          </w:tcPr>
          <w:p w14:paraId="1D0903C3"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15 μl</w:t>
            </w:r>
          </w:p>
        </w:tc>
        <w:tc>
          <w:tcPr>
            <w:tcW w:w="3341" w:type="dxa"/>
          </w:tcPr>
          <w:p w14:paraId="7DE2167E"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1 μg/reaction</w:t>
            </w:r>
          </w:p>
        </w:tc>
      </w:tr>
      <w:tr w:rsidR="00743664" w:rsidRPr="005B1CCB" w14:paraId="7D32CD11" w14:textId="77777777" w:rsidTr="009C541B">
        <w:tc>
          <w:tcPr>
            <w:tcW w:w="3823" w:type="dxa"/>
          </w:tcPr>
          <w:p w14:paraId="5D94D8A1" w14:textId="77777777" w:rsidR="00743664" w:rsidRPr="005B1CCB" w:rsidRDefault="00743664" w:rsidP="0052183A">
            <w:pPr>
              <w:spacing w:line="360" w:lineRule="auto"/>
              <w:rPr>
                <w:rFonts w:ascii="Palatino Linotype" w:hAnsi="Palatino Linotype" w:cs="Times New Roman"/>
              </w:rPr>
            </w:pPr>
            <w:r w:rsidRPr="005B1CCB">
              <w:rPr>
                <w:rFonts w:ascii="Palatino Linotype" w:hAnsi="Palatino Linotype" w:cs="Times New Roman"/>
              </w:rPr>
              <w:t>Total reaction volume</w:t>
            </w:r>
          </w:p>
        </w:tc>
        <w:tc>
          <w:tcPr>
            <w:tcW w:w="5528" w:type="dxa"/>
            <w:gridSpan w:val="2"/>
          </w:tcPr>
          <w:p w14:paraId="324787D5" w14:textId="77777777" w:rsidR="00743664" w:rsidRPr="005B1CCB" w:rsidRDefault="00743664" w:rsidP="0052183A">
            <w:pPr>
              <w:spacing w:line="360" w:lineRule="auto"/>
              <w:rPr>
                <w:rFonts w:ascii="Palatino Linotype" w:hAnsi="Palatino Linotype" w:cs="Times New Roman"/>
                <w:vertAlign w:val="superscript"/>
              </w:rPr>
            </w:pPr>
            <w:r w:rsidRPr="005B1CCB">
              <w:rPr>
                <w:rFonts w:ascii="Palatino Linotype" w:hAnsi="Palatino Linotype" w:cs="Times New Roman"/>
              </w:rPr>
              <w:t>100 μl</w:t>
            </w:r>
            <w:r w:rsidRPr="005B1CCB">
              <w:rPr>
                <w:rFonts w:ascii="Palatino Linotype" w:hAnsi="Palatino Linotype" w:cs="Times New Roman"/>
                <w:vertAlign w:val="superscript"/>
              </w:rPr>
              <w:t>2</w:t>
            </w:r>
          </w:p>
        </w:tc>
      </w:tr>
    </w:tbl>
    <w:p w14:paraId="20F20B73" w14:textId="77777777" w:rsidR="00743664" w:rsidRPr="005B1CCB" w:rsidRDefault="00743664" w:rsidP="0052183A">
      <w:pPr>
        <w:spacing w:line="360" w:lineRule="auto"/>
        <w:rPr>
          <w:rFonts w:ascii="Palatino Linotype" w:hAnsi="Palatino Linotype" w:cs="Times New Roman"/>
        </w:rPr>
      </w:pPr>
    </w:p>
    <w:p w14:paraId="00AE0170" w14:textId="5D68DF40" w:rsidR="00575201" w:rsidRPr="005B1CCB" w:rsidRDefault="00575201" w:rsidP="00575201">
      <w:pPr>
        <w:pStyle w:val="Caption"/>
        <w:keepNext/>
        <w:jc w:val="center"/>
        <w:rPr>
          <w:sz w:val="22"/>
          <w:szCs w:val="22"/>
        </w:rPr>
      </w:pPr>
      <w:bookmarkStart w:id="82" w:name="_Toc84272325"/>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4</w:t>
      </w:r>
      <w:r w:rsidRPr="005B1CCB">
        <w:rPr>
          <w:sz w:val="22"/>
          <w:szCs w:val="22"/>
        </w:rPr>
        <w:fldChar w:fldCharType="end"/>
      </w:r>
      <w:r w:rsidRPr="005B1CCB">
        <w:rPr>
          <w:sz w:val="22"/>
          <w:szCs w:val="22"/>
        </w:rPr>
        <w:t>: PCR cycling protocol</w:t>
      </w:r>
      <w:bookmarkEnd w:id="82"/>
    </w:p>
    <w:tbl>
      <w:tblPr>
        <w:tblW w:w="9351" w:type="dxa"/>
        <w:jc w:val="center"/>
        <w:tblLook w:val="04A0" w:firstRow="1" w:lastRow="0" w:firstColumn="1" w:lastColumn="0" w:noHBand="0" w:noVBand="1"/>
      </w:tblPr>
      <w:tblGrid>
        <w:gridCol w:w="2254"/>
        <w:gridCol w:w="2254"/>
        <w:gridCol w:w="1583"/>
        <w:gridCol w:w="3260"/>
      </w:tblGrid>
      <w:tr w:rsidR="00823839" w:rsidRPr="005B1CCB" w14:paraId="3002A98F" w14:textId="77777777" w:rsidTr="00047041">
        <w:trPr>
          <w:jc w:val="center"/>
        </w:trPr>
        <w:tc>
          <w:tcPr>
            <w:tcW w:w="2254" w:type="dxa"/>
          </w:tcPr>
          <w:p w14:paraId="2E79E42E" w14:textId="77777777" w:rsidR="00823839" w:rsidRPr="005B1CCB" w:rsidRDefault="00823839" w:rsidP="00823839">
            <w:pPr>
              <w:spacing w:line="360" w:lineRule="auto"/>
              <w:jc w:val="center"/>
              <w:rPr>
                <w:rFonts w:ascii="Palatino Linotype" w:hAnsi="Palatino Linotype" w:cs="Times New Roman"/>
                <w:b/>
              </w:rPr>
            </w:pPr>
            <w:r w:rsidRPr="005B1CCB">
              <w:rPr>
                <w:rFonts w:ascii="Palatino Linotype" w:hAnsi="Palatino Linotype" w:cs="Times New Roman"/>
                <w:b/>
              </w:rPr>
              <w:t>Step</w:t>
            </w:r>
          </w:p>
        </w:tc>
        <w:tc>
          <w:tcPr>
            <w:tcW w:w="2254" w:type="dxa"/>
          </w:tcPr>
          <w:p w14:paraId="15337EEC" w14:textId="77777777" w:rsidR="00823839" w:rsidRPr="005B1CCB" w:rsidRDefault="00823839" w:rsidP="00823839">
            <w:pPr>
              <w:spacing w:line="360" w:lineRule="auto"/>
              <w:jc w:val="center"/>
              <w:rPr>
                <w:rFonts w:ascii="Palatino Linotype" w:hAnsi="Palatino Linotype" w:cs="Times New Roman"/>
                <w:b/>
              </w:rPr>
            </w:pPr>
            <w:r w:rsidRPr="005B1CCB">
              <w:rPr>
                <w:rFonts w:ascii="Palatino Linotype" w:hAnsi="Palatino Linotype" w:cs="Times New Roman"/>
                <w:b/>
              </w:rPr>
              <w:t>Time</w:t>
            </w:r>
          </w:p>
        </w:tc>
        <w:tc>
          <w:tcPr>
            <w:tcW w:w="1583" w:type="dxa"/>
          </w:tcPr>
          <w:p w14:paraId="7398EA47" w14:textId="77777777" w:rsidR="00823839" w:rsidRPr="005B1CCB" w:rsidRDefault="00823839" w:rsidP="00823839">
            <w:pPr>
              <w:spacing w:line="360" w:lineRule="auto"/>
              <w:jc w:val="center"/>
              <w:rPr>
                <w:rFonts w:ascii="Palatino Linotype" w:hAnsi="Palatino Linotype" w:cs="Times New Roman"/>
                <w:b/>
              </w:rPr>
            </w:pPr>
            <w:r w:rsidRPr="005B1CCB">
              <w:rPr>
                <w:rFonts w:ascii="Palatino Linotype" w:hAnsi="Palatino Linotype" w:cs="Times New Roman"/>
                <w:b/>
              </w:rPr>
              <w:t>Temperature</w:t>
            </w:r>
          </w:p>
        </w:tc>
        <w:tc>
          <w:tcPr>
            <w:tcW w:w="3260" w:type="dxa"/>
          </w:tcPr>
          <w:p w14:paraId="4C609360" w14:textId="77777777" w:rsidR="00823839" w:rsidRPr="005B1CCB" w:rsidRDefault="00823839" w:rsidP="00823839">
            <w:pPr>
              <w:spacing w:line="360" w:lineRule="auto"/>
              <w:jc w:val="center"/>
              <w:rPr>
                <w:rFonts w:ascii="Palatino Linotype" w:hAnsi="Palatino Linotype" w:cs="Times New Roman"/>
                <w:b/>
              </w:rPr>
            </w:pPr>
            <w:r w:rsidRPr="005B1CCB">
              <w:rPr>
                <w:rFonts w:ascii="Palatino Linotype" w:hAnsi="Palatino Linotype" w:cs="Times New Roman"/>
                <w:b/>
              </w:rPr>
              <w:t>Comment</w:t>
            </w:r>
          </w:p>
        </w:tc>
      </w:tr>
      <w:tr w:rsidR="00823839" w:rsidRPr="005B1CCB" w14:paraId="7AD8B603" w14:textId="77777777" w:rsidTr="00047041">
        <w:trPr>
          <w:jc w:val="center"/>
        </w:trPr>
        <w:tc>
          <w:tcPr>
            <w:tcW w:w="2254" w:type="dxa"/>
          </w:tcPr>
          <w:p w14:paraId="712FAB10"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Initial heat activation</w:t>
            </w:r>
          </w:p>
        </w:tc>
        <w:tc>
          <w:tcPr>
            <w:tcW w:w="2254" w:type="dxa"/>
          </w:tcPr>
          <w:p w14:paraId="4CC27607"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5 min</w:t>
            </w:r>
          </w:p>
        </w:tc>
        <w:tc>
          <w:tcPr>
            <w:tcW w:w="1583" w:type="dxa"/>
          </w:tcPr>
          <w:p w14:paraId="5B36D610"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95</w:t>
            </w:r>
            <w:r w:rsidRPr="005B1CCB">
              <w:rPr>
                <w:rFonts w:ascii="Palatino Linotype" w:hAnsi="Palatino Linotype" w:cs="Times New Roman"/>
                <w:vertAlign w:val="superscript"/>
              </w:rPr>
              <w:t>0</w:t>
            </w:r>
            <w:r w:rsidRPr="005B1CCB">
              <w:rPr>
                <w:rFonts w:ascii="Palatino Linotype" w:hAnsi="Palatino Linotype" w:cs="Times New Roman"/>
              </w:rPr>
              <w:t>C</w:t>
            </w:r>
          </w:p>
        </w:tc>
        <w:tc>
          <w:tcPr>
            <w:tcW w:w="3260" w:type="dxa"/>
          </w:tcPr>
          <w:p w14:paraId="61BF16C0"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Activates HotStarTaq Plus DNA Polymerase.</w:t>
            </w:r>
          </w:p>
        </w:tc>
      </w:tr>
      <w:tr w:rsidR="00823839" w:rsidRPr="005B1CCB" w14:paraId="2A949BCA" w14:textId="77777777" w:rsidTr="00047041">
        <w:trPr>
          <w:jc w:val="center"/>
        </w:trPr>
        <w:tc>
          <w:tcPr>
            <w:tcW w:w="9351" w:type="dxa"/>
            <w:gridSpan w:val="4"/>
          </w:tcPr>
          <w:p w14:paraId="66CB915D" w14:textId="77777777" w:rsidR="00823839" w:rsidRPr="005B1CCB" w:rsidRDefault="00823839" w:rsidP="00823839">
            <w:pPr>
              <w:spacing w:line="360" w:lineRule="auto"/>
              <w:jc w:val="center"/>
              <w:rPr>
                <w:rFonts w:ascii="Palatino Linotype" w:hAnsi="Palatino Linotype" w:cs="Times New Roman"/>
              </w:rPr>
            </w:pPr>
            <w:r w:rsidRPr="005B1CCB">
              <w:rPr>
                <w:rFonts w:ascii="Palatino Linotype" w:hAnsi="Palatino Linotype" w:cs="Times New Roman"/>
              </w:rPr>
              <w:t>3-step cycling</w:t>
            </w:r>
          </w:p>
        </w:tc>
      </w:tr>
      <w:tr w:rsidR="00823839" w:rsidRPr="005B1CCB" w14:paraId="56CCE8B9" w14:textId="77777777" w:rsidTr="00047041">
        <w:trPr>
          <w:jc w:val="center"/>
        </w:trPr>
        <w:tc>
          <w:tcPr>
            <w:tcW w:w="2254" w:type="dxa"/>
          </w:tcPr>
          <w:p w14:paraId="222969A7"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Denaturation</w:t>
            </w:r>
          </w:p>
        </w:tc>
        <w:tc>
          <w:tcPr>
            <w:tcW w:w="2254" w:type="dxa"/>
          </w:tcPr>
          <w:p w14:paraId="29C6FA45"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0.5-1 min</w:t>
            </w:r>
          </w:p>
        </w:tc>
        <w:tc>
          <w:tcPr>
            <w:tcW w:w="1583" w:type="dxa"/>
          </w:tcPr>
          <w:p w14:paraId="517BF14C"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94</w:t>
            </w:r>
            <w:r w:rsidRPr="005B1CCB">
              <w:rPr>
                <w:rFonts w:ascii="Palatino Linotype" w:hAnsi="Palatino Linotype" w:cs="Times New Roman"/>
                <w:vertAlign w:val="superscript"/>
              </w:rPr>
              <w:t>0</w:t>
            </w:r>
            <w:r w:rsidRPr="005B1CCB">
              <w:rPr>
                <w:rFonts w:ascii="Palatino Linotype" w:hAnsi="Palatino Linotype" w:cs="Times New Roman"/>
              </w:rPr>
              <w:t>C</w:t>
            </w:r>
          </w:p>
        </w:tc>
        <w:tc>
          <w:tcPr>
            <w:tcW w:w="3260" w:type="dxa"/>
          </w:tcPr>
          <w:p w14:paraId="1AE4CE59" w14:textId="77777777" w:rsidR="00823839" w:rsidRPr="005B1CCB" w:rsidRDefault="00823839" w:rsidP="00823839">
            <w:pPr>
              <w:spacing w:line="360" w:lineRule="auto"/>
              <w:rPr>
                <w:rFonts w:ascii="Palatino Linotype" w:hAnsi="Palatino Linotype" w:cs="Times New Roman"/>
              </w:rPr>
            </w:pPr>
          </w:p>
        </w:tc>
      </w:tr>
      <w:tr w:rsidR="00823839" w:rsidRPr="005B1CCB" w14:paraId="029E4583" w14:textId="77777777" w:rsidTr="00047041">
        <w:trPr>
          <w:jc w:val="center"/>
        </w:trPr>
        <w:tc>
          <w:tcPr>
            <w:tcW w:w="2254" w:type="dxa"/>
          </w:tcPr>
          <w:p w14:paraId="0E08EA7C"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Annealing</w:t>
            </w:r>
          </w:p>
        </w:tc>
        <w:tc>
          <w:tcPr>
            <w:tcW w:w="2254" w:type="dxa"/>
          </w:tcPr>
          <w:p w14:paraId="07185265"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0.5-1 min</w:t>
            </w:r>
          </w:p>
        </w:tc>
        <w:tc>
          <w:tcPr>
            <w:tcW w:w="1583" w:type="dxa"/>
          </w:tcPr>
          <w:p w14:paraId="4B1D9AC6"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50-68</w:t>
            </w:r>
            <w:r w:rsidRPr="005B1CCB">
              <w:rPr>
                <w:rFonts w:ascii="Palatino Linotype" w:hAnsi="Palatino Linotype" w:cs="Times New Roman"/>
                <w:vertAlign w:val="superscript"/>
              </w:rPr>
              <w:t>0</w:t>
            </w:r>
            <w:r w:rsidRPr="005B1CCB">
              <w:rPr>
                <w:rFonts w:ascii="Palatino Linotype" w:hAnsi="Palatino Linotype" w:cs="Times New Roman"/>
              </w:rPr>
              <w:t>C</w:t>
            </w:r>
          </w:p>
        </w:tc>
        <w:tc>
          <w:tcPr>
            <w:tcW w:w="3260" w:type="dxa"/>
          </w:tcPr>
          <w:p w14:paraId="49C76C9B"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Approximately 5°C below Tm of primers.</w:t>
            </w:r>
          </w:p>
        </w:tc>
      </w:tr>
      <w:tr w:rsidR="00823839" w:rsidRPr="005B1CCB" w14:paraId="348B7EA7" w14:textId="77777777" w:rsidTr="00047041">
        <w:trPr>
          <w:jc w:val="center"/>
        </w:trPr>
        <w:tc>
          <w:tcPr>
            <w:tcW w:w="2254" w:type="dxa"/>
          </w:tcPr>
          <w:p w14:paraId="0CDD65D8"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Extension</w:t>
            </w:r>
          </w:p>
        </w:tc>
        <w:tc>
          <w:tcPr>
            <w:tcW w:w="2254" w:type="dxa"/>
          </w:tcPr>
          <w:p w14:paraId="2498CC3D"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1 minute</w:t>
            </w:r>
          </w:p>
        </w:tc>
        <w:tc>
          <w:tcPr>
            <w:tcW w:w="1583" w:type="dxa"/>
          </w:tcPr>
          <w:p w14:paraId="14E0168C"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72</w:t>
            </w:r>
            <w:r w:rsidRPr="005B1CCB">
              <w:rPr>
                <w:rFonts w:ascii="Palatino Linotype" w:hAnsi="Palatino Linotype" w:cs="Times New Roman"/>
                <w:vertAlign w:val="superscript"/>
              </w:rPr>
              <w:t>0</w:t>
            </w:r>
            <w:r w:rsidRPr="005B1CCB">
              <w:rPr>
                <w:rFonts w:ascii="Palatino Linotype" w:hAnsi="Palatino Linotype" w:cs="Times New Roman"/>
              </w:rPr>
              <w:t>C</w:t>
            </w:r>
          </w:p>
        </w:tc>
        <w:tc>
          <w:tcPr>
            <w:tcW w:w="3260" w:type="dxa"/>
          </w:tcPr>
          <w:p w14:paraId="73CDADA5"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For PCR products longer than 1 kb, use an extension time of approximately 1 min per kb DNA.</w:t>
            </w:r>
          </w:p>
        </w:tc>
      </w:tr>
      <w:tr w:rsidR="00823839" w:rsidRPr="005B1CCB" w14:paraId="14D84B09" w14:textId="77777777" w:rsidTr="00047041">
        <w:trPr>
          <w:jc w:val="center"/>
        </w:trPr>
        <w:tc>
          <w:tcPr>
            <w:tcW w:w="2254" w:type="dxa"/>
          </w:tcPr>
          <w:p w14:paraId="66869785"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Number of cycles</w:t>
            </w:r>
          </w:p>
        </w:tc>
        <w:tc>
          <w:tcPr>
            <w:tcW w:w="2254" w:type="dxa"/>
          </w:tcPr>
          <w:p w14:paraId="546FB4C3"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25-35</w:t>
            </w:r>
          </w:p>
        </w:tc>
        <w:tc>
          <w:tcPr>
            <w:tcW w:w="1583" w:type="dxa"/>
          </w:tcPr>
          <w:p w14:paraId="5C7688CF" w14:textId="77777777" w:rsidR="00823839" w:rsidRPr="005B1CCB" w:rsidRDefault="00823839" w:rsidP="00823839">
            <w:pPr>
              <w:spacing w:line="360" w:lineRule="auto"/>
              <w:rPr>
                <w:rFonts w:ascii="Palatino Linotype" w:hAnsi="Palatino Linotype" w:cs="Times New Roman"/>
              </w:rPr>
            </w:pPr>
          </w:p>
        </w:tc>
        <w:tc>
          <w:tcPr>
            <w:tcW w:w="3260" w:type="dxa"/>
          </w:tcPr>
          <w:p w14:paraId="4A6B6396" w14:textId="77777777" w:rsidR="00823839" w:rsidRPr="005B1CCB" w:rsidRDefault="00823839" w:rsidP="00823839">
            <w:pPr>
              <w:spacing w:line="360" w:lineRule="auto"/>
              <w:rPr>
                <w:rFonts w:ascii="Palatino Linotype" w:hAnsi="Palatino Linotype" w:cs="Times New Roman"/>
              </w:rPr>
            </w:pPr>
          </w:p>
        </w:tc>
      </w:tr>
      <w:tr w:rsidR="00823839" w:rsidRPr="005B1CCB" w14:paraId="28191312" w14:textId="77777777" w:rsidTr="00047041">
        <w:trPr>
          <w:jc w:val="center"/>
        </w:trPr>
        <w:tc>
          <w:tcPr>
            <w:tcW w:w="2254" w:type="dxa"/>
          </w:tcPr>
          <w:p w14:paraId="48C34E11" w14:textId="77777777" w:rsidR="00823839" w:rsidRPr="005B1CCB" w:rsidRDefault="00823839" w:rsidP="00823839">
            <w:pPr>
              <w:spacing w:line="360" w:lineRule="auto"/>
              <w:rPr>
                <w:rFonts w:ascii="Palatino Linotype" w:hAnsi="Palatino Linotype" w:cs="Times New Roman"/>
                <w:b/>
              </w:rPr>
            </w:pPr>
            <w:r w:rsidRPr="005B1CCB">
              <w:rPr>
                <w:rFonts w:ascii="Palatino Linotype" w:hAnsi="Palatino Linotype" w:cs="Times New Roman"/>
                <w:b/>
              </w:rPr>
              <w:t>Final extension</w:t>
            </w:r>
          </w:p>
        </w:tc>
        <w:tc>
          <w:tcPr>
            <w:tcW w:w="2254" w:type="dxa"/>
          </w:tcPr>
          <w:p w14:paraId="0796CC0E"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10 mins</w:t>
            </w:r>
          </w:p>
        </w:tc>
        <w:tc>
          <w:tcPr>
            <w:tcW w:w="1583" w:type="dxa"/>
          </w:tcPr>
          <w:p w14:paraId="3F1EDB73" w14:textId="77777777" w:rsidR="00823839" w:rsidRPr="005B1CCB" w:rsidRDefault="00823839" w:rsidP="00823839">
            <w:pPr>
              <w:spacing w:line="360" w:lineRule="auto"/>
              <w:rPr>
                <w:rFonts w:ascii="Palatino Linotype" w:hAnsi="Palatino Linotype" w:cs="Times New Roman"/>
              </w:rPr>
            </w:pPr>
            <w:r w:rsidRPr="005B1CCB">
              <w:rPr>
                <w:rFonts w:ascii="Palatino Linotype" w:hAnsi="Palatino Linotype" w:cs="Times New Roman"/>
              </w:rPr>
              <w:t>72</w:t>
            </w:r>
            <w:r w:rsidRPr="005B1CCB">
              <w:rPr>
                <w:rFonts w:ascii="Palatino Linotype" w:hAnsi="Palatino Linotype" w:cs="Times New Roman"/>
                <w:vertAlign w:val="superscript"/>
              </w:rPr>
              <w:t>0</w:t>
            </w:r>
            <w:r w:rsidRPr="005B1CCB">
              <w:rPr>
                <w:rFonts w:ascii="Palatino Linotype" w:hAnsi="Palatino Linotype" w:cs="Times New Roman"/>
              </w:rPr>
              <w:t>C</w:t>
            </w:r>
          </w:p>
        </w:tc>
        <w:tc>
          <w:tcPr>
            <w:tcW w:w="3260" w:type="dxa"/>
          </w:tcPr>
          <w:p w14:paraId="1DD5A49E" w14:textId="77777777" w:rsidR="00823839" w:rsidRPr="005B1CCB" w:rsidRDefault="00823839" w:rsidP="00823839">
            <w:pPr>
              <w:spacing w:line="360" w:lineRule="auto"/>
              <w:rPr>
                <w:rFonts w:ascii="Palatino Linotype" w:hAnsi="Palatino Linotype" w:cs="Times New Roman"/>
              </w:rPr>
            </w:pPr>
          </w:p>
        </w:tc>
      </w:tr>
    </w:tbl>
    <w:p w14:paraId="64FD72ED" w14:textId="77777777" w:rsidR="002174DA" w:rsidRPr="005B1CCB" w:rsidRDefault="002174DA" w:rsidP="0052183A">
      <w:pPr>
        <w:spacing w:line="360" w:lineRule="auto"/>
        <w:rPr>
          <w:rFonts w:ascii="Palatino Linotype" w:hAnsi="Palatino Linotype" w:cs="Times New Roman"/>
        </w:rPr>
      </w:pPr>
    </w:p>
    <w:p w14:paraId="6A2EE2AF" w14:textId="77777777" w:rsidR="00BC4E9F" w:rsidRPr="005B1CCB" w:rsidRDefault="00B13B5B" w:rsidP="00B13B5B">
      <w:pPr>
        <w:pStyle w:val="Heading4"/>
      </w:pPr>
      <w:r w:rsidRPr="005B1CCB">
        <w:rPr>
          <w:lang w:bidi="en-US"/>
        </w:rPr>
        <w:t>SSOFast EvaGreen supermix</w:t>
      </w:r>
    </w:p>
    <w:p w14:paraId="23BB45B1" w14:textId="77777777" w:rsidR="00BC4E9F" w:rsidRPr="005B1CCB" w:rsidRDefault="00CD4340" w:rsidP="009C541B">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BC4E9F" w:rsidRPr="005B1CCB">
        <w:rPr>
          <w:rFonts w:ascii="Palatino Linotype" w:hAnsi="Palatino Linotype"/>
          <w:sz w:val="24"/>
          <w:szCs w:val="24"/>
          <w:lang w:bidi="en-US"/>
        </w:rPr>
        <w:t>SSOFast EvaGreen supermix from BIO-RAD containing the sso7d-fusion polymerase was used for amplifying the KRAS DNA in each plasma sample. The mixture has been specially optimised to deliver maximum PCR efficiency and sensitivity for dye-based detection in qPCR. Other components used for amplification involved primers and DNA template. All components were thawed at room temperature and mixed thoroughly by inverting the tube/bottle several times to ensure homogeneity. The final concentrations and qPCR cycling conditions are given below:</w:t>
      </w:r>
    </w:p>
    <w:p w14:paraId="626D6347" w14:textId="4805D2F9" w:rsidR="00A9023A" w:rsidRPr="005B1CCB" w:rsidRDefault="00A9023A" w:rsidP="00A9023A">
      <w:pPr>
        <w:pStyle w:val="Caption"/>
        <w:keepNext/>
        <w:jc w:val="center"/>
        <w:rPr>
          <w:sz w:val="22"/>
          <w:szCs w:val="22"/>
        </w:rPr>
      </w:pPr>
      <w:bookmarkStart w:id="83" w:name="_Toc84272326"/>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5</w:t>
      </w:r>
      <w:r w:rsidRPr="005B1CCB">
        <w:rPr>
          <w:sz w:val="22"/>
          <w:szCs w:val="22"/>
        </w:rPr>
        <w:fldChar w:fldCharType="end"/>
      </w:r>
      <w:r w:rsidRPr="005B1CCB">
        <w:rPr>
          <w:sz w:val="22"/>
          <w:szCs w:val="22"/>
        </w:rPr>
        <w:t>: Reaction setup using sso7d-fusion polymerase</w:t>
      </w:r>
      <w:bookmarkEnd w:id="83"/>
    </w:p>
    <w:tbl>
      <w:tblPr>
        <w:tblW w:w="0" w:type="auto"/>
        <w:tblLook w:val="04A0" w:firstRow="1" w:lastRow="0" w:firstColumn="1" w:lastColumn="0" w:noHBand="0" w:noVBand="1"/>
      </w:tblPr>
      <w:tblGrid>
        <w:gridCol w:w="3334"/>
        <w:gridCol w:w="2309"/>
        <w:gridCol w:w="2861"/>
      </w:tblGrid>
      <w:tr w:rsidR="00B13B5B" w:rsidRPr="005B1CCB" w14:paraId="5743705E" w14:textId="77777777" w:rsidTr="00B13B5B">
        <w:trPr>
          <w:trHeight w:val="496"/>
        </w:trPr>
        <w:tc>
          <w:tcPr>
            <w:tcW w:w="9016" w:type="dxa"/>
            <w:gridSpan w:val="3"/>
          </w:tcPr>
          <w:p w14:paraId="19867BAE" w14:textId="77777777" w:rsidR="00B13B5B" w:rsidRPr="005B1CCB" w:rsidRDefault="00B13B5B" w:rsidP="00B13B5B">
            <w:pPr>
              <w:jc w:val="center"/>
              <w:rPr>
                <w:rFonts w:ascii="Palatino Linotype" w:hAnsi="Palatino Linotype"/>
                <w:b/>
                <w:sz w:val="24"/>
                <w:szCs w:val="24"/>
                <w:lang w:bidi="en-US"/>
              </w:rPr>
            </w:pPr>
            <w:r w:rsidRPr="005B1CCB">
              <w:rPr>
                <w:rFonts w:ascii="Palatino Linotype" w:hAnsi="Palatino Linotype"/>
                <w:b/>
                <w:sz w:val="24"/>
                <w:szCs w:val="24"/>
                <w:lang w:bidi="en-US"/>
              </w:rPr>
              <w:t>Reaction setup using sso7d-fusion polymerase</w:t>
            </w:r>
          </w:p>
        </w:tc>
      </w:tr>
      <w:tr w:rsidR="00B13B5B" w:rsidRPr="005B1CCB" w14:paraId="3A257830" w14:textId="77777777" w:rsidTr="00B13B5B">
        <w:trPr>
          <w:trHeight w:val="454"/>
        </w:trPr>
        <w:tc>
          <w:tcPr>
            <w:tcW w:w="3539" w:type="dxa"/>
          </w:tcPr>
          <w:p w14:paraId="513A9BCA" w14:textId="77777777" w:rsidR="00B13B5B" w:rsidRPr="005B1CCB" w:rsidRDefault="00B13B5B" w:rsidP="00B13B5B">
            <w:pPr>
              <w:jc w:val="center"/>
              <w:rPr>
                <w:rFonts w:ascii="Palatino Linotype" w:hAnsi="Palatino Linotype"/>
                <w:b/>
                <w:sz w:val="24"/>
                <w:szCs w:val="24"/>
                <w:lang w:bidi="en-US"/>
              </w:rPr>
            </w:pPr>
            <w:r w:rsidRPr="005B1CCB">
              <w:rPr>
                <w:rFonts w:ascii="Palatino Linotype" w:hAnsi="Palatino Linotype"/>
                <w:b/>
                <w:sz w:val="24"/>
                <w:szCs w:val="24"/>
                <w:lang w:bidi="en-US"/>
              </w:rPr>
              <w:t>Components</w:t>
            </w:r>
          </w:p>
        </w:tc>
        <w:tc>
          <w:tcPr>
            <w:tcW w:w="2471" w:type="dxa"/>
          </w:tcPr>
          <w:p w14:paraId="507785D3" w14:textId="77777777" w:rsidR="00B13B5B" w:rsidRPr="005B1CCB" w:rsidRDefault="00B13B5B" w:rsidP="00B13B5B">
            <w:pPr>
              <w:jc w:val="center"/>
              <w:rPr>
                <w:rFonts w:ascii="Palatino Linotype" w:hAnsi="Palatino Linotype"/>
                <w:b/>
                <w:sz w:val="24"/>
                <w:szCs w:val="24"/>
                <w:lang w:bidi="en-US"/>
              </w:rPr>
            </w:pPr>
            <w:r w:rsidRPr="005B1CCB">
              <w:rPr>
                <w:rFonts w:ascii="Palatino Linotype" w:hAnsi="Palatino Linotype"/>
                <w:b/>
                <w:sz w:val="24"/>
                <w:szCs w:val="24"/>
                <w:lang w:bidi="en-US"/>
              </w:rPr>
              <w:t>Volume per reaction</w:t>
            </w:r>
          </w:p>
        </w:tc>
        <w:tc>
          <w:tcPr>
            <w:tcW w:w="3006" w:type="dxa"/>
          </w:tcPr>
          <w:p w14:paraId="1455C9A5" w14:textId="77777777" w:rsidR="00B13B5B" w:rsidRPr="005B1CCB" w:rsidRDefault="00B13B5B" w:rsidP="00B13B5B">
            <w:pPr>
              <w:jc w:val="center"/>
              <w:rPr>
                <w:rFonts w:ascii="Palatino Linotype" w:hAnsi="Palatino Linotype"/>
                <w:b/>
                <w:sz w:val="24"/>
                <w:szCs w:val="24"/>
                <w:lang w:bidi="en-US"/>
              </w:rPr>
            </w:pPr>
            <w:r w:rsidRPr="005B1CCB">
              <w:rPr>
                <w:rFonts w:ascii="Palatino Linotype" w:hAnsi="Palatino Linotype"/>
                <w:b/>
                <w:sz w:val="24"/>
                <w:szCs w:val="24"/>
                <w:lang w:bidi="en-US"/>
              </w:rPr>
              <w:t>Final Concentration</w:t>
            </w:r>
          </w:p>
        </w:tc>
      </w:tr>
      <w:tr w:rsidR="00BC4E9F" w:rsidRPr="005B1CCB" w14:paraId="33308C78" w14:textId="77777777" w:rsidTr="005A7A6A">
        <w:trPr>
          <w:trHeight w:val="371"/>
        </w:trPr>
        <w:tc>
          <w:tcPr>
            <w:tcW w:w="3539" w:type="dxa"/>
          </w:tcPr>
          <w:p w14:paraId="4A809A96"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SSO fast evergreen supermix</w:t>
            </w:r>
          </w:p>
        </w:tc>
        <w:tc>
          <w:tcPr>
            <w:tcW w:w="2471" w:type="dxa"/>
          </w:tcPr>
          <w:p w14:paraId="42B73B77"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10μl</w:t>
            </w:r>
          </w:p>
        </w:tc>
        <w:tc>
          <w:tcPr>
            <w:tcW w:w="3006" w:type="dxa"/>
          </w:tcPr>
          <w:p w14:paraId="0A712F4E"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1x</w:t>
            </w:r>
          </w:p>
        </w:tc>
      </w:tr>
      <w:tr w:rsidR="00BC4E9F" w:rsidRPr="005B1CCB" w14:paraId="28462027" w14:textId="77777777" w:rsidTr="005A7A6A">
        <w:tc>
          <w:tcPr>
            <w:tcW w:w="3539" w:type="dxa"/>
          </w:tcPr>
          <w:p w14:paraId="688995DB"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Forward primer</w:t>
            </w:r>
          </w:p>
        </w:tc>
        <w:tc>
          <w:tcPr>
            <w:tcW w:w="2471" w:type="dxa"/>
          </w:tcPr>
          <w:p w14:paraId="0146F098"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3μl</w:t>
            </w:r>
          </w:p>
        </w:tc>
        <w:tc>
          <w:tcPr>
            <w:tcW w:w="3006" w:type="dxa"/>
          </w:tcPr>
          <w:p w14:paraId="19889844"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400 nM</w:t>
            </w:r>
          </w:p>
        </w:tc>
      </w:tr>
      <w:tr w:rsidR="00BC4E9F" w:rsidRPr="005B1CCB" w14:paraId="3D36800C" w14:textId="77777777" w:rsidTr="005A7A6A">
        <w:tc>
          <w:tcPr>
            <w:tcW w:w="3539" w:type="dxa"/>
          </w:tcPr>
          <w:p w14:paraId="254C4708"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Reverse primer</w:t>
            </w:r>
          </w:p>
        </w:tc>
        <w:tc>
          <w:tcPr>
            <w:tcW w:w="2471" w:type="dxa"/>
          </w:tcPr>
          <w:p w14:paraId="7A4DCB57"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3μl</w:t>
            </w:r>
          </w:p>
        </w:tc>
        <w:tc>
          <w:tcPr>
            <w:tcW w:w="3006" w:type="dxa"/>
          </w:tcPr>
          <w:p w14:paraId="157ED177"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400 nM</w:t>
            </w:r>
          </w:p>
        </w:tc>
      </w:tr>
      <w:tr w:rsidR="00BC4E9F" w:rsidRPr="005B1CCB" w14:paraId="1EFD3343" w14:textId="77777777" w:rsidTr="005A7A6A">
        <w:tc>
          <w:tcPr>
            <w:tcW w:w="3539" w:type="dxa"/>
          </w:tcPr>
          <w:p w14:paraId="6EDB2094"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RNase/DNase-free water</w:t>
            </w:r>
          </w:p>
        </w:tc>
        <w:tc>
          <w:tcPr>
            <w:tcW w:w="2471" w:type="dxa"/>
          </w:tcPr>
          <w:p w14:paraId="677DADE6"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2μl</w:t>
            </w:r>
          </w:p>
        </w:tc>
        <w:tc>
          <w:tcPr>
            <w:tcW w:w="3006" w:type="dxa"/>
          </w:tcPr>
          <w:p w14:paraId="5B852C31"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w:t>
            </w:r>
          </w:p>
        </w:tc>
      </w:tr>
      <w:tr w:rsidR="00BC4E9F" w:rsidRPr="005B1CCB" w14:paraId="2202A644" w14:textId="77777777" w:rsidTr="005A7A6A">
        <w:tc>
          <w:tcPr>
            <w:tcW w:w="3539" w:type="dxa"/>
          </w:tcPr>
          <w:p w14:paraId="72A4548C"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DNA template</w:t>
            </w:r>
          </w:p>
        </w:tc>
        <w:tc>
          <w:tcPr>
            <w:tcW w:w="2471" w:type="dxa"/>
          </w:tcPr>
          <w:p w14:paraId="254C7C71"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2μl</w:t>
            </w:r>
          </w:p>
        </w:tc>
        <w:tc>
          <w:tcPr>
            <w:tcW w:w="3006" w:type="dxa"/>
          </w:tcPr>
          <w:p w14:paraId="024EBF04" w14:textId="77777777" w:rsidR="00BC4E9F" w:rsidRPr="005B1CCB" w:rsidRDefault="00145428" w:rsidP="00121F90">
            <w:pPr>
              <w:jc w:val="center"/>
              <w:rPr>
                <w:rFonts w:ascii="Palatino Linotype" w:hAnsi="Palatino Linotype"/>
                <w:sz w:val="24"/>
                <w:szCs w:val="24"/>
                <w:lang w:bidi="en-US"/>
              </w:rPr>
            </w:pPr>
            <w:r w:rsidRPr="005B1CCB">
              <w:rPr>
                <w:rFonts w:ascii="Palatino Linotype" w:hAnsi="Palatino Linotype"/>
                <w:sz w:val="24"/>
                <w:szCs w:val="24"/>
                <w:lang w:bidi="en-US"/>
              </w:rPr>
              <w:t>Varies</w:t>
            </w:r>
          </w:p>
        </w:tc>
      </w:tr>
      <w:tr w:rsidR="00BC4E9F" w:rsidRPr="005B1CCB" w14:paraId="257327D6" w14:textId="77777777" w:rsidTr="005A7A6A">
        <w:tc>
          <w:tcPr>
            <w:tcW w:w="3539" w:type="dxa"/>
          </w:tcPr>
          <w:p w14:paraId="5AB13FD1"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Total volume</w:t>
            </w:r>
          </w:p>
        </w:tc>
        <w:tc>
          <w:tcPr>
            <w:tcW w:w="2471" w:type="dxa"/>
          </w:tcPr>
          <w:p w14:paraId="5CEA1FD9"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20μl</w:t>
            </w:r>
          </w:p>
        </w:tc>
        <w:tc>
          <w:tcPr>
            <w:tcW w:w="3006" w:type="dxa"/>
          </w:tcPr>
          <w:p w14:paraId="1CD4A964"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w:t>
            </w:r>
          </w:p>
        </w:tc>
      </w:tr>
    </w:tbl>
    <w:p w14:paraId="4DCC13A9" w14:textId="77777777" w:rsidR="00BC4E9F" w:rsidRPr="005B1CCB" w:rsidRDefault="00BC4E9F" w:rsidP="00BC4E9F">
      <w:pPr>
        <w:jc w:val="both"/>
        <w:rPr>
          <w:rFonts w:ascii="Palatino Linotype" w:hAnsi="Palatino Linotype"/>
          <w:sz w:val="24"/>
          <w:szCs w:val="24"/>
          <w:lang w:bidi="en-US"/>
        </w:rPr>
      </w:pPr>
    </w:p>
    <w:p w14:paraId="291B08D9" w14:textId="3DBFC485" w:rsidR="00995DED" w:rsidRPr="005B1CCB" w:rsidRDefault="00995DED" w:rsidP="00995DED">
      <w:pPr>
        <w:pStyle w:val="Caption"/>
        <w:keepNext/>
        <w:jc w:val="center"/>
        <w:rPr>
          <w:sz w:val="22"/>
          <w:szCs w:val="22"/>
        </w:rPr>
      </w:pPr>
      <w:bookmarkStart w:id="84" w:name="_Toc84272327"/>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6</w:t>
      </w:r>
      <w:r w:rsidRPr="005B1CCB">
        <w:rPr>
          <w:sz w:val="22"/>
          <w:szCs w:val="22"/>
        </w:rPr>
        <w:fldChar w:fldCharType="end"/>
      </w:r>
      <w:r w:rsidRPr="005B1CCB">
        <w:rPr>
          <w:sz w:val="22"/>
          <w:szCs w:val="22"/>
        </w:rPr>
        <w:t>: qPCR cycling protocol</w:t>
      </w:r>
      <w:bookmarkEnd w:id="84"/>
    </w:p>
    <w:tbl>
      <w:tblPr>
        <w:tblW w:w="0" w:type="auto"/>
        <w:jc w:val="center"/>
        <w:tblLook w:val="04A0" w:firstRow="1" w:lastRow="0" w:firstColumn="1" w:lastColumn="0" w:noHBand="0" w:noVBand="1"/>
      </w:tblPr>
      <w:tblGrid>
        <w:gridCol w:w="2500"/>
        <w:gridCol w:w="1940"/>
        <w:gridCol w:w="2105"/>
        <w:gridCol w:w="1959"/>
      </w:tblGrid>
      <w:tr w:rsidR="00BC4E9F" w:rsidRPr="005B1CCB" w14:paraId="6A941798" w14:textId="77777777" w:rsidTr="005A7A6A">
        <w:trPr>
          <w:jc w:val="center"/>
        </w:trPr>
        <w:tc>
          <w:tcPr>
            <w:tcW w:w="2500" w:type="dxa"/>
          </w:tcPr>
          <w:p w14:paraId="0D2F2721" w14:textId="77777777" w:rsidR="00BC4E9F" w:rsidRPr="005B1CCB" w:rsidRDefault="00BC4E9F" w:rsidP="005A7A6A">
            <w:pPr>
              <w:jc w:val="center"/>
              <w:rPr>
                <w:rFonts w:ascii="Palatino Linotype" w:hAnsi="Palatino Linotype"/>
                <w:sz w:val="24"/>
                <w:szCs w:val="24"/>
                <w:lang w:bidi="en-US"/>
              </w:rPr>
            </w:pPr>
          </w:p>
        </w:tc>
        <w:tc>
          <w:tcPr>
            <w:tcW w:w="2156" w:type="dxa"/>
          </w:tcPr>
          <w:p w14:paraId="64FCDC9A" w14:textId="77777777" w:rsidR="00BC4E9F" w:rsidRPr="005B1CCB" w:rsidRDefault="00BC4E9F" w:rsidP="005A7A6A">
            <w:pPr>
              <w:jc w:val="center"/>
              <w:rPr>
                <w:rFonts w:ascii="Palatino Linotype" w:hAnsi="Palatino Linotype"/>
                <w:sz w:val="24"/>
                <w:szCs w:val="24"/>
                <w:lang w:bidi="en-US"/>
              </w:rPr>
            </w:pPr>
          </w:p>
        </w:tc>
        <w:tc>
          <w:tcPr>
            <w:tcW w:w="4360" w:type="dxa"/>
            <w:gridSpan w:val="2"/>
          </w:tcPr>
          <w:p w14:paraId="53A7E1F3"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Genomic DNA</w:t>
            </w:r>
          </w:p>
        </w:tc>
      </w:tr>
      <w:tr w:rsidR="00BC4E9F" w:rsidRPr="005B1CCB" w14:paraId="716D6DB5" w14:textId="77777777" w:rsidTr="005A7A6A">
        <w:trPr>
          <w:jc w:val="center"/>
        </w:trPr>
        <w:tc>
          <w:tcPr>
            <w:tcW w:w="2500" w:type="dxa"/>
          </w:tcPr>
          <w:p w14:paraId="4E5A06C6"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Cycling step</w:t>
            </w:r>
          </w:p>
        </w:tc>
        <w:tc>
          <w:tcPr>
            <w:tcW w:w="2156" w:type="dxa"/>
          </w:tcPr>
          <w:p w14:paraId="6EC2AAA0"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Cycles</w:t>
            </w:r>
          </w:p>
        </w:tc>
        <w:tc>
          <w:tcPr>
            <w:tcW w:w="2207" w:type="dxa"/>
          </w:tcPr>
          <w:p w14:paraId="3D18AE04"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Temperature</w:t>
            </w:r>
          </w:p>
        </w:tc>
        <w:tc>
          <w:tcPr>
            <w:tcW w:w="2153" w:type="dxa"/>
          </w:tcPr>
          <w:p w14:paraId="76D8ACE3"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Time</w:t>
            </w:r>
          </w:p>
        </w:tc>
      </w:tr>
      <w:tr w:rsidR="00BC4E9F" w:rsidRPr="005B1CCB" w14:paraId="2CF186ED" w14:textId="77777777" w:rsidTr="005A7A6A">
        <w:trPr>
          <w:jc w:val="center"/>
        </w:trPr>
        <w:tc>
          <w:tcPr>
            <w:tcW w:w="2500" w:type="dxa"/>
          </w:tcPr>
          <w:p w14:paraId="0E16B2AA"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Enzyme activation</w:t>
            </w:r>
          </w:p>
        </w:tc>
        <w:tc>
          <w:tcPr>
            <w:tcW w:w="2156" w:type="dxa"/>
          </w:tcPr>
          <w:p w14:paraId="17D0EB9E"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1</w:t>
            </w:r>
          </w:p>
        </w:tc>
        <w:tc>
          <w:tcPr>
            <w:tcW w:w="2207" w:type="dxa"/>
          </w:tcPr>
          <w:p w14:paraId="44EBC74B"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98</w:t>
            </w:r>
          </w:p>
        </w:tc>
        <w:tc>
          <w:tcPr>
            <w:tcW w:w="2153" w:type="dxa"/>
          </w:tcPr>
          <w:p w14:paraId="2449593F"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2 mins</w:t>
            </w:r>
          </w:p>
        </w:tc>
      </w:tr>
      <w:tr w:rsidR="00BC4E9F" w:rsidRPr="005B1CCB" w14:paraId="188CEA2C" w14:textId="77777777" w:rsidTr="005A7A6A">
        <w:trPr>
          <w:jc w:val="center"/>
        </w:trPr>
        <w:tc>
          <w:tcPr>
            <w:tcW w:w="2500" w:type="dxa"/>
          </w:tcPr>
          <w:p w14:paraId="48D1FF0C"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Denaturation</w:t>
            </w:r>
          </w:p>
        </w:tc>
        <w:tc>
          <w:tcPr>
            <w:tcW w:w="2156" w:type="dxa"/>
            <w:vMerge w:val="restart"/>
          </w:tcPr>
          <w:p w14:paraId="3B325E1B"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30-40</w:t>
            </w:r>
          </w:p>
        </w:tc>
        <w:tc>
          <w:tcPr>
            <w:tcW w:w="2207" w:type="dxa"/>
          </w:tcPr>
          <w:p w14:paraId="1650F71F"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98</w:t>
            </w:r>
          </w:p>
        </w:tc>
        <w:tc>
          <w:tcPr>
            <w:tcW w:w="2153" w:type="dxa"/>
          </w:tcPr>
          <w:p w14:paraId="3B25146A"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1-5 sec</w:t>
            </w:r>
          </w:p>
        </w:tc>
      </w:tr>
      <w:tr w:rsidR="00BC4E9F" w:rsidRPr="005B1CCB" w14:paraId="31ADB0FC" w14:textId="77777777" w:rsidTr="005A7A6A">
        <w:trPr>
          <w:jc w:val="center"/>
        </w:trPr>
        <w:tc>
          <w:tcPr>
            <w:tcW w:w="2500" w:type="dxa"/>
          </w:tcPr>
          <w:p w14:paraId="71004E48"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Annealing/extension</w:t>
            </w:r>
          </w:p>
        </w:tc>
        <w:tc>
          <w:tcPr>
            <w:tcW w:w="2156" w:type="dxa"/>
            <w:vMerge/>
          </w:tcPr>
          <w:p w14:paraId="33C8181E" w14:textId="77777777" w:rsidR="00BC4E9F" w:rsidRPr="005B1CCB" w:rsidRDefault="00BC4E9F" w:rsidP="005A7A6A">
            <w:pPr>
              <w:jc w:val="center"/>
              <w:rPr>
                <w:rFonts w:ascii="Palatino Linotype" w:hAnsi="Palatino Linotype"/>
                <w:sz w:val="24"/>
                <w:szCs w:val="24"/>
                <w:lang w:bidi="en-US"/>
              </w:rPr>
            </w:pPr>
          </w:p>
        </w:tc>
        <w:tc>
          <w:tcPr>
            <w:tcW w:w="2207" w:type="dxa"/>
          </w:tcPr>
          <w:p w14:paraId="1E520966"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55-60</w:t>
            </w:r>
          </w:p>
        </w:tc>
        <w:tc>
          <w:tcPr>
            <w:tcW w:w="2153" w:type="dxa"/>
          </w:tcPr>
          <w:p w14:paraId="4C3F4101"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1-5 sec</w:t>
            </w:r>
          </w:p>
        </w:tc>
      </w:tr>
      <w:tr w:rsidR="00BC4E9F" w:rsidRPr="005B1CCB" w14:paraId="7F9C1755" w14:textId="77777777" w:rsidTr="005A7A6A">
        <w:trPr>
          <w:jc w:val="center"/>
        </w:trPr>
        <w:tc>
          <w:tcPr>
            <w:tcW w:w="2500" w:type="dxa"/>
          </w:tcPr>
          <w:p w14:paraId="6F6B836B" w14:textId="77777777" w:rsidR="00BC4E9F" w:rsidRPr="005B1CCB" w:rsidRDefault="00BC4E9F" w:rsidP="005A7A6A">
            <w:pPr>
              <w:jc w:val="center"/>
              <w:rPr>
                <w:rFonts w:ascii="Palatino Linotype" w:hAnsi="Palatino Linotype"/>
                <w:b/>
                <w:sz w:val="24"/>
                <w:szCs w:val="24"/>
                <w:lang w:bidi="en-US"/>
              </w:rPr>
            </w:pPr>
            <w:r w:rsidRPr="005B1CCB">
              <w:rPr>
                <w:rFonts w:ascii="Palatino Linotype" w:hAnsi="Palatino Linotype"/>
                <w:b/>
                <w:sz w:val="24"/>
                <w:szCs w:val="24"/>
                <w:lang w:bidi="en-US"/>
              </w:rPr>
              <w:t>Melt curve</w:t>
            </w:r>
          </w:p>
        </w:tc>
        <w:tc>
          <w:tcPr>
            <w:tcW w:w="2156" w:type="dxa"/>
          </w:tcPr>
          <w:p w14:paraId="0A9D91D7"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1</w:t>
            </w:r>
          </w:p>
        </w:tc>
        <w:tc>
          <w:tcPr>
            <w:tcW w:w="2207" w:type="dxa"/>
          </w:tcPr>
          <w:p w14:paraId="59F0A338"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65-95</w:t>
            </w:r>
          </w:p>
        </w:tc>
        <w:tc>
          <w:tcPr>
            <w:tcW w:w="2153" w:type="dxa"/>
          </w:tcPr>
          <w:p w14:paraId="7FB28B6F" w14:textId="77777777" w:rsidR="00BC4E9F" w:rsidRPr="005B1CCB" w:rsidRDefault="00BC4E9F" w:rsidP="005A7A6A">
            <w:pPr>
              <w:jc w:val="center"/>
              <w:rPr>
                <w:rFonts w:ascii="Palatino Linotype" w:hAnsi="Palatino Linotype"/>
                <w:sz w:val="24"/>
                <w:szCs w:val="24"/>
                <w:lang w:bidi="en-US"/>
              </w:rPr>
            </w:pPr>
            <w:r w:rsidRPr="005B1CCB">
              <w:rPr>
                <w:rFonts w:ascii="Palatino Linotype" w:hAnsi="Palatino Linotype"/>
                <w:sz w:val="24"/>
                <w:szCs w:val="24"/>
                <w:lang w:bidi="en-US"/>
              </w:rPr>
              <w:t>2-5 sec/step</w:t>
            </w:r>
          </w:p>
        </w:tc>
      </w:tr>
    </w:tbl>
    <w:p w14:paraId="22381B61" w14:textId="77777777" w:rsidR="00064D27" w:rsidRPr="005B1CCB" w:rsidRDefault="00064D27" w:rsidP="0052183A">
      <w:pPr>
        <w:spacing w:line="360" w:lineRule="auto"/>
        <w:rPr>
          <w:rFonts w:ascii="Palatino Linotype" w:hAnsi="Palatino Linotype" w:cs="Times New Roman"/>
        </w:rPr>
      </w:pPr>
    </w:p>
    <w:p w14:paraId="5D7F29AF" w14:textId="77777777" w:rsidR="00D315FD" w:rsidRPr="005B1CCB" w:rsidRDefault="009A25EA" w:rsidP="00D71969">
      <w:pPr>
        <w:pStyle w:val="Heading3"/>
      </w:pPr>
      <w:bookmarkStart w:id="85" w:name="_Toc84528080"/>
      <w:r w:rsidRPr="005B1CCB">
        <w:t>Recombinase Polymerase Amplification (</w:t>
      </w:r>
      <w:r w:rsidR="00D315FD" w:rsidRPr="005B1CCB">
        <w:t>RPA</w:t>
      </w:r>
      <w:r w:rsidRPr="005B1CCB">
        <w:t>)</w:t>
      </w:r>
      <w:r w:rsidR="00D315FD" w:rsidRPr="005B1CCB">
        <w:t xml:space="preserve"> Isothermal Amplification</w:t>
      </w:r>
      <w:bookmarkEnd w:id="85"/>
    </w:p>
    <w:p w14:paraId="726F096B" w14:textId="782716A8" w:rsidR="00BF0EFF" w:rsidRPr="005B1CCB" w:rsidRDefault="005B3F93" w:rsidP="00867C14">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4C48CC" w:rsidRPr="00101B10">
        <w:rPr>
          <w:rFonts w:ascii="Palatino Linotype" w:hAnsi="Palatino Linotype"/>
          <w:sz w:val="24"/>
          <w:szCs w:val="24"/>
          <w:lang w:bidi="en-US"/>
        </w:rPr>
        <w:t xml:space="preserve">RPA is a </w:t>
      </w:r>
      <w:r w:rsidR="004C441E" w:rsidRPr="00101B10">
        <w:rPr>
          <w:rFonts w:ascii="Palatino Linotype" w:hAnsi="Palatino Linotype"/>
          <w:sz w:val="24"/>
          <w:szCs w:val="24"/>
          <w:lang w:bidi="en-US"/>
        </w:rPr>
        <w:t xml:space="preserve">useful </w:t>
      </w:r>
      <w:r w:rsidR="004C48CC" w:rsidRPr="00101B10">
        <w:rPr>
          <w:rFonts w:ascii="Palatino Linotype" w:hAnsi="Palatino Linotype"/>
          <w:sz w:val="24"/>
          <w:szCs w:val="24"/>
          <w:lang w:bidi="en-US"/>
        </w:rPr>
        <w:t>great and versatile alternative to PCR for the development of rapid and portable nucleic acid detection assays</w:t>
      </w:r>
      <w:r w:rsidR="001D0DD4" w:rsidRPr="005B1CCB">
        <w:rPr>
          <w:rFonts w:ascii="Palatino Linotype" w:hAnsi="Palatino Linotype"/>
          <w:sz w:val="24"/>
          <w:szCs w:val="24"/>
          <w:lang w:bidi="en-US"/>
        </w:rPr>
        <w:t xml:space="preserve"> </w:t>
      </w:r>
      <w:r w:rsidR="001D0DD4"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URL":"https://www.twistdx.co.uk/en/rpa","author":[{"dropping-particle":"","family":"Limited","given":"TwistDx","non-dropping-particle":"","parse-names":false,"suffix":""}],"id":"ITEM-1","issued":{"date-parts":[["2020"]]},"title":"TwistDx","type":"webpage"},"uris":["http://www.mendeley.com/documents/?uuid=240a0d9c-e2fa-43a2-9f77-e0134080973e"]}],"mendeley":{"formattedCitation":"[139]","plainTextFormattedCitation":"[139]","previouslyFormattedCitation":"[139]"},"properties":{"noteIndex":0},"schema":"https://github.com/citation-style-language/schema/raw/master/csl-citation.json"}</w:instrText>
      </w:r>
      <w:r w:rsidR="001D0DD4"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[139]</w:t>
      </w:r>
      <w:r w:rsidR="001D0DD4" w:rsidRPr="005B1CCB">
        <w:rPr>
          <w:rFonts w:ascii="Palatino Linotype" w:hAnsi="Palatino Linotype"/>
          <w:sz w:val="24"/>
          <w:szCs w:val="24"/>
          <w:lang w:bidi="en-US"/>
        </w:rPr>
        <w:fldChar w:fldCharType="end"/>
      </w:r>
      <w:r w:rsidR="004C48CC" w:rsidRPr="005B1CCB">
        <w:rPr>
          <w:rFonts w:ascii="Palatino Linotype" w:hAnsi="Palatino Linotype"/>
          <w:sz w:val="24"/>
          <w:szCs w:val="24"/>
          <w:lang w:bidi="en-US"/>
        </w:rPr>
        <w:t xml:space="preserve">. </w:t>
      </w:r>
      <w:r w:rsidR="00B43FDB" w:rsidRPr="005B1CCB">
        <w:rPr>
          <w:rFonts w:ascii="Palatino Linotype" w:hAnsi="Palatino Linotype"/>
          <w:sz w:val="24"/>
          <w:szCs w:val="24"/>
          <w:lang w:bidi="en-US"/>
        </w:rPr>
        <w:t xml:space="preserve">RPA does not require thermal or chemical melting so the reaction </w:t>
      </w:r>
      <w:r w:rsidR="00B43FDB" w:rsidRPr="00101B10">
        <w:rPr>
          <w:rFonts w:ascii="Palatino Linotype" w:hAnsi="Palatino Linotype"/>
          <w:sz w:val="24"/>
          <w:szCs w:val="24"/>
          <w:lang w:bidi="en-US"/>
        </w:rPr>
        <w:t xml:space="preserve">does not need </w:t>
      </w:r>
      <w:r w:rsidR="00391035" w:rsidRPr="00101B10">
        <w:rPr>
          <w:rFonts w:ascii="Palatino Linotype" w:hAnsi="Palatino Linotype"/>
          <w:sz w:val="24"/>
          <w:szCs w:val="24"/>
          <w:lang w:bidi="en-US"/>
        </w:rPr>
        <w:t>to be therm</w:t>
      </w:r>
      <w:r w:rsidR="00C46CE8" w:rsidRPr="00101B10">
        <w:rPr>
          <w:rFonts w:ascii="Palatino Linotype" w:hAnsi="Palatino Linotype"/>
          <w:sz w:val="24"/>
          <w:szCs w:val="24"/>
          <w:lang w:bidi="en-US"/>
        </w:rPr>
        <w:t>al</w:t>
      </w:r>
      <w:r w:rsidR="00391035" w:rsidRPr="00101B10">
        <w:rPr>
          <w:rFonts w:ascii="Palatino Linotype" w:hAnsi="Palatino Linotype"/>
          <w:sz w:val="24"/>
          <w:szCs w:val="24"/>
          <w:lang w:bidi="en-US"/>
        </w:rPr>
        <w:t xml:space="preserve"> cycled</w:t>
      </w:r>
      <w:r w:rsidR="00B43FDB" w:rsidRPr="00101B10">
        <w:rPr>
          <w:rFonts w:ascii="Palatino Linotype" w:hAnsi="Palatino Linotype"/>
          <w:sz w:val="24"/>
          <w:szCs w:val="24"/>
          <w:lang w:bidi="en-US"/>
        </w:rPr>
        <w:t xml:space="preserve"> making it </w:t>
      </w:r>
      <w:r w:rsidR="004C48CC" w:rsidRPr="00101B10">
        <w:rPr>
          <w:rFonts w:ascii="Palatino Linotype" w:hAnsi="Palatino Linotype"/>
          <w:sz w:val="24"/>
          <w:szCs w:val="24"/>
          <w:lang w:bidi="en-US"/>
        </w:rPr>
        <w:t xml:space="preserve">well suited </w:t>
      </w:r>
      <w:r w:rsidR="00B43FDB" w:rsidRPr="00101B10">
        <w:rPr>
          <w:rFonts w:ascii="Palatino Linotype" w:hAnsi="Palatino Linotype"/>
          <w:sz w:val="24"/>
          <w:szCs w:val="24"/>
          <w:lang w:bidi="en-US"/>
        </w:rPr>
        <w:t>for</w:t>
      </w:r>
      <w:r w:rsidR="004C48CC" w:rsidRPr="00101B10">
        <w:rPr>
          <w:rFonts w:ascii="Palatino Linotype" w:hAnsi="Palatino Linotype"/>
          <w:sz w:val="24"/>
          <w:szCs w:val="24"/>
          <w:lang w:bidi="en-US"/>
        </w:rPr>
        <w:t xml:space="preserve"> point-of-care settings where speed is essential</w:t>
      </w:r>
      <w:r w:rsidR="004C48CC" w:rsidRPr="005B1CCB">
        <w:rPr>
          <w:rFonts w:ascii="Palatino Linotype" w:hAnsi="Palatino Linotype"/>
          <w:sz w:val="24"/>
          <w:szCs w:val="24"/>
          <w:lang w:bidi="en-US"/>
        </w:rPr>
        <w:t>.</w:t>
      </w:r>
      <w:r w:rsidR="005F38C7" w:rsidRPr="005B1CCB">
        <w:rPr>
          <w:rFonts w:ascii="Palatino Linotype" w:hAnsi="Palatino Linotype"/>
          <w:sz w:val="24"/>
          <w:szCs w:val="24"/>
          <w:lang w:bidi="en-US"/>
        </w:rPr>
        <w:t xml:space="preserve"> </w:t>
      </w:r>
      <w:r w:rsidR="00C46CE8" w:rsidRPr="005B1CCB">
        <w:rPr>
          <w:rFonts w:ascii="Palatino Linotype" w:hAnsi="Palatino Linotype"/>
          <w:sz w:val="24"/>
          <w:szCs w:val="24"/>
          <w:lang w:bidi="en-US"/>
        </w:rPr>
        <w:t xml:space="preserve">It also has an </w:t>
      </w:r>
      <w:r w:rsidR="00C46CE8" w:rsidRPr="00101B10">
        <w:rPr>
          <w:rFonts w:ascii="Palatino Linotype" w:hAnsi="Palatino Linotype"/>
          <w:sz w:val="24"/>
          <w:szCs w:val="24"/>
          <w:lang w:bidi="en-US"/>
        </w:rPr>
        <w:t>advantage of minimal sample preparation, high sensitivity, and compatibility with multiplexing without the need for multiple primers</w:t>
      </w:r>
      <w:r w:rsidR="00C46CE8" w:rsidRPr="005B1CCB">
        <w:rPr>
          <w:rFonts w:ascii="Palatino Linotype" w:hAnsi="Palatino Linotype"/>
          <w:sz w:val="24"/>
          <w:szCs w:val="24"/>
          <w:lang w:bidi="en-US"/>
        </w:rPr>
        <w:t xml:space="preserve"> </w:t>
      </w:r>
      <w:r w:rsidR="00C46CE8"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{"citationItems":[{"id":"ITEM-1","itemData":{"DOI":"https://doi.org/10.1016/j.trac.2017.10.015","ISSN":"0165-9936","abstract":"Recombinase polymerase amplification (RPA) is a highly sensitive and selective isothermal amplification technique, operating at 37–42°C, with minimal sample preparation and capable of amplifying as low as 1–10 DNA target copies in less than 20 min. It has been used to amplify diverse targets, including RNA, miRNA, ssDNA and dsDNA from a wide variety of organisms and samples. An ever increasing number of publications detailing the use of RPA are appearing and amplification has been carried out in solution phase, solid phase as well as in a bridge amplification format. Furthermore, RPA has been successfully integrated with different detection strategies, from end-point lateral flow strips to real-time fluorescent detection amongst others. This review focuses on the different methodologies and advances related to RPA technology, as well as highlighting some of the advantages and drawbacks of the technique.","author":[{"dropping-particle":"","family":"Lobato","given":"Ivan Magriñá","non-dropping-particle":"","parse-names":false,"suffix":""},{"dropping-particle":"","family":"O'Sullivan","given":"Ciara K","non-dropping-particle":"","parse-names":false,"suffix":""}],"container-title":"TrAC Trends in Analytical Chemistry","id":"ITEM-1","issued":{"date-parts":[["2018"]]},"page":"19-35","title":"Recombinase polymerase amplification: Basics, applications and recent advances","type":"article-journal","volume":"98"},"uris":["http://www.mendeley.com/documents/?uuid=7eebe9e6-6965-4734-bbbe-ca889eebf49f"]}],"mendeley":{"formattedCitation":"[192]","plainTextFormattedCitation":"[192]","previouslyFormattedCitation":"[192]"},"properties":{"noteIndex":0},"schema":"https://github.com/citation-style-language/schema/raw/master/csl-citation.json"}</w:instrText>
      </w:r>
      <w:r w:rsidR="00C46CE8"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[192]</w:t>
      </w:r>
      <w:r w:rsidR="00C46CE8" w:rsidRPr="005B1CCB">
        <w:rPr>
          <w:rFonts w:ascii="Palatino Linotype" w:hAnsi="Palatino Linotype"/>
          <w:sz w:val="24"/>
          <w:szCs w:val="24"/>
          <w:lang w:bidi="en-US"/>
        </w:rPr>
        <w:fldChar w:fldCharType="end"/>
      </w:r>
      <w:r w:rsidR="00C46CE8" w:rsidRPr="005B1CCB">
        <w:rPr>
          <w:rFonts w:ascii="Palatino Linotype" w:hAnsi="Palatino Linotype"/>
          <w:sz w:val="24"/>
          <w:szCs w:val="24"/>
          <w:lang w:bidi="en-US"/>
        </w:rPr>
        <w:t xml:space="preserve">. </w:t>
      </w:r>
      <w:r w:rsidR="005F38C7" w:rsidRPr="005B1CCB">
        <w:rPr>
          <w:rFonts w:ascii="Palatino Linotype" w:hAnsi="Palatino Linotype"/>
          <w:sz w:val="24"/>
          <w:szCs w:val="24"/>
          <w:lang w:bidi="en-US"/>
        </w:rPr>
        <w:t xml:space="preserve">Optimal temperatures for the reaction are around </w:t>
      </w:r>
      <w:r w:rsidR="005F38C7" w:rsidRPr="00101B10">
        <w:rPr>
          <w:rFonts w:ascii="Palatino Linotype" w:hAnsi="Palatino Linotype"/>
          <w:sz w:val="24"/>
          <w:szCs w:val="24"/>
          <w:lang w:bidi="en-US"/>
        </w:rPr>
        <w:t>37-42</w:t>
      </w:r>
      <w:r w:rsidR="005F072F" w:rsidRPr="00101B10">
        <w:rPr>
          <w:rFonts w:ascii="Palatino Linotype" w:hAnsi="Palatino Linotype"/>
          <w:sz w:val="24"/>
          <w:szCs w:val="24"/>
          <w:lang w:bidi="en-US"/>
        </w:rPr>
        <w:t xml:space="preserve"> </w:t>
      </w:r>
      <w:r w:rsidR="005F38C7" w:rsidRPr="00101B10">
        <w:rPr>
          <w:rFonts w:ascii="Palatino Linotype" w:hAnsi="Palatino Linotype"/>
          <w:sz w:val="24"/>
          <w:szCs w:val="24"/>
          <w:vertAlign w:val="superscript"/>
          <w:lang w:bidi="en-US"/>
        </w:rPr>
        <w:t>o</w:t>
      </w:r>
      <w:r w:rsidR="005F38C7" w:rsidRPr="00101B10">
        <w:rPr>
          <w:rFonts w:ascii="Palatino Linotype" w:hAnsi="Palatino Linotype"/>
          <w:sz w:val="24"/>
          <w:szCs w:val="24"/>
          <w:lang w:bidi="en-US"/>
        </w:rPr>
        <w:t>C</w:t>
      </w:r>
      <w:r w:rsidR="005F38C7" w:rsidRPr="005B1CCB">
        <w:rPr>
          <w:rFonts w:ascii="Palatino Linotype" w:hAnsi="Palatino Linotype"/>
          <w:sz w:val="24"/>
          <w:szCs w:val="24"/>
          <w:lang w:bidi="en-US"/>
        </w:rPr>
        <w:t xml:space="preserve"> and</w:t>
      </w:r>
      <w:r w:rsidR="004C48CC" w:rsidRPr="005B1CCB">
        <w:rPr>
          <w:rFonts w:ascii="Palatino Linotype" w:hAnsi="Palatino Linotype"/>
          <w:sz w:val="24"/>
          <w:szCs w:val="24"/>
          <w:lang w:bidi="en-US"/>
        </w:rPr>
        <w:t xml:space="preserve"> </w:t>
      </w:r>
      <w:r w:rsidR="005F38C7" w:rsidRPr="005B1CCB">
        <w:rPr>
          <w:rFonts w:ascii="Palatino Linotype" w:hAnsi="Palatino Linotype"/>
          <w:sz w:val="24"/>
          <w:szCs w:val="24"/>
          <w:lang w:bidi="en-US"/>
        </w:rPr>
        <w:t>r</w:t>
      </w:r>
      <w:r w:rsidR="004C48CC" w:rsidRPr="005B1CCB">
        <w:rPr>
          <w:rFonts w:ascii="Palatino Linotype" w:hAnsi="Palatino Linotype"/>
          <w:sz w:val="24"/>
          <w:szCs w:val="24"/>
          <w:lang w:bidi="en-US"/>
        </w:rPr>
        <w:t>esults are typica</w:t>
      </w:r>
      <w:r w:rsidR="005F072F" w:rsidRPr="005B1CCB">
        <w:rPr>
          <w:rFonts w:ascii="Palatino Linotype" w:hAnsi="Palatino Linotype"/>
          <w:sz w:val="24"/>
          <w:szCs w:val="24"/>
          <w:lang w:bidi="en-US"/>
        </w:rPr>
        <w:t xml:space="preserve">lly generated within 10 minutes </w:t>
      </w:r>
      <w:r w:rsidR="003B52C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{"citationItems":[{"id":"ITEM-1","itemData":{"DOI":"https://doi.org/10.1016/j.jviromet.2019.02.006","ISSN":"0166-0934","abstract":"Potato virus Y (PVY) is a global challenge for potato production and the leading cause of seed crop downgrading and rejection for certification. Accurate and timely diagnosis is key to effective control of PVY. Here we optimized the isothermal recombinase polymerase amplification (RPA) for accurate detection of different PVY O and N types that were tested, present in different tissues of potato plants including tubers with a primer set that specifically targets the highly conserved pipo region within the viral genome. Combined with a simplified preparation of the template by tissue homogenization, we established a rapid RPA procedure, which can allow real time detection in less than 10 min with a fluorescent probe. Specificity of the reaction was determined by the lack of cross-reactivity with other common potato viruses. Although RPA reagents remain more expensive than PCR reagents, RPA technology is equivalent in that results can be visualized by gel electrophoresis or with a fluorescent probe with greater sensitivity; and it is superior to the common PCR-based assay in its versatility, speed, and lack of need for a highly purified RNA template.","author":[{"dropping-particle":"","family":"Babujee","given":"Lavanya","non-dropping-particle":"","parse-names":false,"suffix":""},{"dropping-particle":"","family":"Witherell","given":"Robert A","non-dropping-particle":"","parse-names":false,"suffix":""},{"dropping-particle":"","family":"Mikami","given":"Kakeru","non-dropping-particle":"","parse-names":false,"suffix":""},{"dropping-particle":"","family":"Aiuchi","given":"Daigo","non-dropping-particle":"","parse-names":false,"suffix":""},{"dropping-particle":"","family":"Charkowski","given":"Amy O","non-dropping-particle":"","parse-names":false,"suffix":""},{"dropping-particle":"","family":"Rakotondrafara","given":"Aurélie M","non-dropping-particle":"","parse-names":false,"suffix":""}],"container-title":"Journal of Virological Methods","id":"ITEM-1","issued":{"date-parts":[["2019"]]},"page":"16-21","title":"Optimization of an isothermal recombinase polymerase amplification method for real-time detection of Potato virus Y O and N types in potato","type":"article-journal","volume":"267"},"uris":["http://www.mendeley.com/documents/?uuid=f1b5e5a9-b730-45fa-9948-9bd2f62fcd35"]}],"mendeley":{"formattedCitation":"[193]","plainTextFormattedCitation":"[193]","previouslyFormattedCitation":"[193]"},"properties":{"noteIndex":0},"schema":"https://github.com/citation-style-language/schema/raw/master/csl-citation.json"}</w:instrText>
      </w:r>
      <w:r w:rsidR="003B52C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[193]</w:t>
      </w:r>
      <w:r w:rsidR="003B52C1" w:rsidRPr="005B1CCB">
        <w:rPr>
          <w:rFonts w:ascii="Palatino Linotype" w:hAnsi="Palatino Linotype"/>
          <w:sz w:val="24"/>
          <w:szCs w:val="24"/>
          <w:lang w:bidi="en-US"/>
        </w:rPr>
        <w:fldChar w:fldCharType="end"/>
      </w:r>
      <w:r w:rsidR="003B52C1"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{"citationItems":[{"id":"ITEM-1","itemData":{"DOI":"10.1186/s12879-019-3762-4","ISSN":"1471-2334","abstract":"Emerging antimicrobial resistance is a significant threat to human health. However, methods for rapidly diagnosing antimicrobial resistance generally require multi-day culture-based assays. Macrolide efflux gene A, mef(A), provides resistance against erythromycin and azithromycin and is known to be laterally transferred among a wide range of bacterial species.","author":[{"dropping-particle":"","family":"Nelson","given":"Megan M","non-dropping-particle":"","parse-names":false,"suffix":""},{"dropping-particle":"","family":"Waldron","given":"Christopher L","non-dropping-particle":"","parse-names":false,"suffix":""},{"dropping-particle":"","family":"Bracht","given":"John R","non-dropping-particle":"","parse-names":false,"suffix":""}],"container-title":"BMC Infectious Diseases","id":"ITEM-1","issue":"1","issued":{"date-parts":[["2019"]]},"page":"144","title":"Rapid molecular detection of macrolide resistance","type":"article-journal","volume":"19"},"uris":["http://www.mendeley.com/documents/?uuid=7c584580-1d57-4ac7-99ef-3224b9556293"]}],"mendeley":{"formattedCitation":"[194]","plainTextFormattedCitation":"[194]","previouslyFormattedCitation":"[194]"},"properties":{"noteIndex":0},"schema":"https://github.com/citation-style-language/schema/raw/master/csl-citation.json"}</w:instrText>
      </w:r>
      <w:r w:rsidR="003B52C1"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[194]</w:t>
      </w:r>
      <w:r w:rsidR="003B52C1" w:rsidRPr="005B1CCB">
        <w:rPr>
          <w:rFonts w:ascii="Palatino Linotype" w:hAnsi="Palatino Linotype"/>
          <w:sz w:val="24"/>
          <w:szCs w:val="24"/>
          <w:lang w:bidi="en-US"/>
        </w:rPr>
        <w:fldChar w:fldCharType="end"/>
      </w:r>
      <w:r w:rsidR="004C48CC" w:rsidRPr="005B1CCB">
        <w:rPr>
          <w:rFonts w:ascii="Palatino Linotype" w:hAnsi="Palatino Linotype"/>
          <w:sz w:val="24"/>
          <w:szCs w:val="24"/>
          <w:lang w:bidi="en-US"/>
        </w:rPr>
        <w:t xml:space="preserve">. </w:t>
      </w:r>
      <w:r w:rsidR="00C46CE8" w:rsidRPr="005B1CCB">
        <w:rPr>
          <w:rFonts w:ascii="Palatino Linotype" w:hAnsi="Palatino Linotype"/>
          <w:sz w:val="24"/>
          <w:szCs w:val="24"/>
          <w:lang w:bidi="en-US"/>
        </w:rPr>
        <w:t xml:space="preserve">Figure 14 </w:t>
      </w:r>
      <w:r w:rsidR="001A1A4C" w:rsidRPr="005B1CCB">
        <w:rPr>
          <w:rFonts w:ascii="Palatino Linotype" w:hAnsi="Palatino Linotype"/>
          <w:sz w:val="24"/>
          <w:szCs w:val="24"/>
          <w:lang w:bidi="en-US"/>
        </w:rPr>
        <w:t>shows the RPA amplification process.</w:t>
      </w:r>
    </w:p>
    <w:p w14:paraId="28C94ED3" w14:textId="77777777" w:rsidR="00C46CE8" w:rsidRPr="005B1CCB" w:rsidRDefault="00C46CE8" w:rsidP="00C46CE8">
      <w:pPr>
        <w:keepNext/>
        <w:spacing w:line="360" w:lineRule="auto"/>
        <w:jc w:val="both"/>
      </w:pPr>
      <w:r w:rsidRPr="005B1CCB">
        <w:rPr>
          <w:noProof/>
          <w:lang w:eastAsia="en-GB"/>
        </w:rPr>
        <w:drawing>
          <wp:inline distT="0" distB="0" distL="0" distR="0" wp14:anchorId="38C106B1" wp14:editId="602A867F">
            <wp:extent cx="5760085" cy="4936062"/>
            <wp:effectExtent l="0" t="0" r="0" b="0"/>
            <wp:docPr id="59" name="Picture 59" descr="https://ars.els-cdn.com/content/image/1-s2.0-S0165993617302583-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s.els-cdn.com/content/image/1-s2.0-S0165993617302583-gr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4936062"/>
                    </a:xfrm>
                    <a:prstGeom prst="rect">
                      <a:avLst/>
                    </a:prstGeom>
                    <a:noFill/>
                    <a:ln>
                      <a:noFill/>
                    </a:ln>
                  </pic:spPr>
                </pic:pic>
              </a:graphicData>
            </a:graphic>
          </wp:inline>
        </w:drawing>
      </w:r>
    </w:p>
    <w:p w14:paraId="4DE1BF5B" w14:textId="152C4D6E" w:rsidR="00BF0EFF" w:rsidRPr="005B1CCB" w:rsidRDefault="00C46CE8" w:rsidP="00C46CE8">
      <w:pPr>
        <w:pStyle w:val="Caption"/>
        <w:jc w:val="center"/>
        <w:rPr>
          <w:rFonts w:ascii="Palatino Linotype" w:hAnsi="Palatino Linotype"/>
          <w:sz w:val="22"/>
          <w:szCs w:val="22"/>
          <w:lang w:bidi="en-US"/>
        </w:rPr>
      </w:pPr>
      <w:bookmarkStart w:id="86" w:name="_Toc84519609"/>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14</w:t>
      </w:r>
      <w:r w:rsidRPr="005B1CCB">
        <w:rPr>
          <w:sz w:val="22"/>
          <w:szCs w:val="22"/>
        </w:rPr>
        <w:fldChar w:fldCharType="end"/>
      </w:r>
      <w:r w:rsidRPr="005B1CCB">
        <w:rPr>
          <w:sz w:val="22"/>
          <w:szCs w:val="22"/>
        </w:rPr>
        <w:t xml:space="preserve">: RPA amplification process showing RPA amplification scheme. Recombinase proteins form complexes with each primer (A), which scans DNA for </w:t>
      </w:r>
      <w:r w:rsidR="00682085" w:rsidRPr="005B1CCB">
        <w:rPr>
          <w:sz w:val="22"/>
          <w:szCs w:val="22"/>
        </w:rPr>
        <w:t>similar</w:t>
      </w:r>
      <w:r w:rsidRPr="005B1CCB">
        <w:rPr>
          <w:sz w:val="22"/>
          <w:szCs w:val="22"/>
        </w:rPr>
        <w:t xml:space="preserve"> sequences (B). The primers are then inserted at the cognate site by the strand-displacement activity of the recombinase (C) and single stranded binding proteins stabilise the displaced DNA chain (D). The recombinase then disassembles leaving the 3′-end of the primers accessible to a strand displacing DNA polymerase (E), which elongates the primer (F). Exponential amplification is achieved by cyclic repetition of this process</w:t>
      </w:r>
      <w:r w:rsidR="00682085" w:rsidRPr="005B1CCB">
        <w:rPr>
          <w:sz w:val="22"/>
          <w:szCs w:val="22"/>
        </w:rPr>
        <w:t xml:space="preserve"> </w:t>
      </w:r>
      <w:r w:rsidR="00682085" w:rsidRPr="005B1CCB">
        <w:rPr>
          <w:sz w:val="22"/>
          <w:szCs w:val="22"/>
        </w:rPr>
        <w:fldChar w:fldCharType="begin" w:fldLock="1"/>
      </w:r>
      <w:r w:rsidR="000766C5">
        <w:rPr>
          <w:sz w:val="22"/>
          <w:szCs w:val="22"/>
        </w:rPr>
        <w:instrText>ADDIN CSL_CITATION {"citationItems":[{"id":"ITEM-1","itemData":{"DOI":"https://doi.org/10.1016/j.trac.2017.10.015","ISSN":"0165-9936","abstract":"Recombinase polymerase amplification (RPA) is a highly sensitive and selective isothermal amplification technique, operating at 37–42°C, with minimal sample preparation and capable of amplifying as low as 1–10 DNA target copies in less than 20 min. It has been used to amplify diverse targets, including RNA, miRNA, ssDNA and dsDNA from a wide variety of organisms and samples. An ever increasing number of publications detailing the use of RPA are appearing and amplification has been carried out in solution phase, solid phase as well as in a bridge amplification format. Furthermore, RPA has been successfully integrated with different detection strategies, from end-point lateral flow strips to real-time fluorescent detection amongst others. This review focuses on the different methodologies and advances related to RPA technology, as well as highlighting some of the advantages and drawbacks of the technique.","author":[{"dropping-particle":"","family":"Lobato","given":"Ivan Magriñá","non-dropping-particle":"","parse-names":false,"suffix":""},{"dropping-particle":"","family":"O'Sullivan","given":"Ciara K","non-dropping-particle":"","parse-names":false,"suffix":""}],"container-title":"TrAC Trends in Analytical Chemistry","id":"ITEM-1","issued":{"date-parts":[["2018"]]},"page":"19-35","title":"Recombinase polymerase amplification: Basics, applications and recent advances","type":"article-journal","volume":"98"},"uris":["http://www.mendeley.com/documents/?uuid=7eebe9e6-6965-4734-bbbe-ca889eebf49f"]}],"mendeley":{"formattedCitation":"[192]","plainTextFormattedCitation":"[192]","previouslyFormattedCitation":"[192]"},"properties":{"noteIndex":0},"schema":"https://github.com/citation-style-language/schema/raw/master/csl-citation.json"}</w:instrText>
      </w:r>
      <w:r w:rsidR="00682085" w:rsidRPr="005B1CCB">
        <w:rPr>
          <w:sz w:val="22"/>
          <w:szCs w:val="22"/>
        </w:rPr>
        <w:fldChar w:fldCharType="separate"/>
      </w:r>
      <w:r w:rsidR="005F2946" w:rsidRPr="005F2946">
        <w:rPr>
          <w:i w:val="0"/>
          <w:noProof/>
          <w:sz w:val="22"/>
          <w:szCs w:val="22"/>
        </w:rPr>
        <w:t>[192]</w:t>
      </w:r>
      <w:r w:rsidR="00682085" w:rsidRPr="005B1CCB">
        <w:rPr>
          <w:sz w:val="22"/>
          <w:szCs w:val="22"/>
        </w:rPr>
        <w:fldChar w:fldCharType="end"/>
      </w:r>
      <w:r w:rsidRPr="005B1CCB">
        <w:rPr>
          <w:sz w:val="22"/>
          <w:szCs w:val="22"/>
        </w:rPr>
        <w:t>.</w:t>
      </w:r>
      <w:bookmarkEnd w:id="86"/>
    </w:p>
    <w:p w14:paraId="6876E391" w14:textId="77777777" w:rsidR="00835C77" w:rsidRPr="005B1CCB" w:rsidRDefault="00835C77" w:rsidP="00867C14">
      <w:pPr>
        <w:spacing w:line="360" w:lineRule="auto"/>
        <w:jc w:val="both"/>
        <w:rPr>
          <w:rFonts w:ascii="Palatino Linotype" w:hAnsi="Palatino Linotype"/>
          <w:sz w:val="24"/>
          <w:szCs w:val="24"/>
          <w:lang w:bidi="en-US"/>
        </w:rPr>
      </w:pPr>
    </w:p>
    <w:p w14:paraId="340525E4" w14:textId="77777777" w:rsidR="004E414F" w:rsidRPr="005B1CCB" w:rsidRDefault="00270B8D" w:rsidP="00867C14">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The RPA protocol used in this study is given below:</w:t>
      </w:r>
    </w:p>
    <w:p w14:paraId="448B6B1A" w14:textId="77777777" w:rsidR="00720703" w:rsidRPr="005B1CCB" w:rsidRDefault="00720703" w:rsidP="005351A0">
      <w:pPr>
        <w:jc w:val="center"/>
        <w:rPr>
          <w:rFonts w:ascii="Palatino Linotype" w:hAnsi="Palatino Linotype" w:cs="Times New Roman"/>
          <w:b/>
          <w:sz w:val="24"/>
          <w:szCs w:val="24"/>
        </w:rPr>
      </w:pPr>
      <w:r w:rsidRPr="005B1CCB">
        <w:rPr>
          <w:rStyle w:val="A8"/>
          <w:rFonts w:ascii="Palatino Linotype" w:hAnsi="Palatino Linotype" w:cs="Times New Roman"/>
          <w:b/>
          <w:sz w:val="24"/>
          <w:szCs w:val="24"/>
        </w:rPr>
        <w:t>Primer screen set-up (single-plex)</w:t>
      </w:r>
    </w:p>
    <w:p w14:paraId="3398A507" w14:textId="77777777" w:rsidR="00720703" w:rsidRPr="005B1CCB" w:rsidRDefault="00720703" w:rsidP="00690AE9">
      <w:pPr>
        <w:pStyle w:val="ListParagraph"/>
        <w:numPr>
          <w:ilvl w:val="0"/>
          <w:numId w:val="36"/>
        </w:numPr>
        <w:rPr>
          <w:rFonts w:ascii="Palatino Linotype" w:hAnsi="Palatino Linotype" w:cs="Times New Roman"/>
          <w:sz w:val="24"/>
          <w:szCs w:val="24"/>
        </w:rPr>
      </w:pPr>
      <w:r w:rsidRPr="005B1CCB">
        <w:rPr>
          <w:rStyle w:val="A8"/>
          <w:rFonts w:ascii="Palatino Linotype" w:hAnsi="Palatino Linotype" w:cs="Times New Roman"/>
          <w:sz w:val="24"/>
          <w:szCs w:val="24"/>
        </w:rPr>
        <w:t>Add 2.4 μl of each primer at 10μM concentration to 0.2 ml PCR tubes.</w:t>
      </w:r>
    </w:p>
    <w:p w14:paraId="01FFDC8E" w14:textId="77777777" w:rsidR="00720703" w:rsidRPr="005B1CCB" w:rsidRDefault="00720703" w:rsidP="00690AE9">
      <w:pPr>
        <w:pStyle w:val="ListParagraph"/>
        <w:numPr>
          <w:ilvl w:val="0"/>
          <w:numId w:val="36"/>
        </w:numPr>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 xml:space="preserve">Prepare a pre-master mix (per reaction) in the order below: </w:t>
      </w:r>
    </w:p>
    <w:p w14:paraId="4FBCF359" w14:textId="77777777" w:rsidR="00720703" w:rsidRPr="005B1CCB" w:rsidRDefault="00323C6D"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2x Reaction Buffer 25 μl</w:t>
      </w:r>
    </w:p>
    <w:p w14:paraId="1ED08D48" w14:textId="77777777" w:rsidR="00720703" w:rsidRPr="005B1CCB" w:rsidRDefault="00720703"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dNTPs</w:t>
      </w:r>
      <w:r w:rsidRPr="005B1CCB">
        <w:rPr>
          <w:rStyle w:val="A9"/>
          <w:rFonts w:ascii="Palatino Linotype" w:hAnsi="Palatino Linotype" w:cs="Times New Roman"/>
          <w:sz w:val="24"/>
          <w:szCs w:val="24"/>
        </w:rPr>
        <w:t xml:space="preserve">2 </w:t>
      </w:r>
      <w:r w:rsidRPr="005B1CCB">
        <w:rPr>
          <w:rStyle w:val="A8"/>
          <w:rFonts w:ascii="Palatino Linotype" w:hAnsi="Palatino Linotype" w:cs="Times New Roman"/>
          <w:sz w:val="24"/>
          <w:szCs w:val="24"/>
        </w:rPr>
        <w:t>+ water</w:t>
      </w:r>
      <w:r w:rsidRPr="005B1CCB">
        <w:rPr>
          <w:rStyle w:val="A9"/>
          <w:rFonts w:ascii="Palatino Linotype" w:hAnsi="Palatino Linotype" w:cs="Times New Roman"/>
          <w:sz w:val="24"/>
          <w:szCs w:val="24"/>
        </w:rPr>
        <w:t xml:space="preserve">3 </w:t>
      </w:r>
      <w:r w:rsidRPr="005B1CCB">
        <w:rPr>
          <w:rStyle w:val="A8"/>
          <w:rFonts w:ascii="Palatino Linotype" w:hAnsi="Palatino Linotype" w:cs="Times New Roman"/>
          <w:sz w:val="24"/>
          <w:szCs w:val="24"/>
        </w:rPr>
        <w:t xml:space="preserve">to 9.2 μl </w:t>
      </w:r>
    </w:p>
    <w:p w14:paraId="41C8B582" w14:textId="77777777" w:rsidR="00720703" w:rsidRPr="005B1CCB" w:rsidRDefault="00720703"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 xml:space="preserve">10x Probe E-mix 5 μl </w:t>
      </w:r>
    </w:p>
    <w:p w14:paraId="4BE81876" w14:textId="77777777" w:rsidR="00720703" w:rsidRPr="005B1CCB" w:rsidRDefault="00720703" w:rsidP="005A0CD7">
      <w:pPr>
        <w:pStyle w:val="ListParagraph"/>
        <w:numPr>
          <w:ilvl w:val="0"/>
          <w:numId w:val="36"/>
        </w:numPr>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Vortex and spin briefly.</w:t>
      </w:r>
    </w:p>
    <w:p w14:paraId="21FF57B6" w14:textId="77777777" w:rsidR="00D315FD" w:rsidRPr="005B1CCB" w:rsidRDefault="00720703" w:rsidP="005A0CD7">
      <w:pPr>
        <w:pStyle w:val="ListParagraph"/>
        <w:numPr>
          <w:ilvl w:val="0"/>
          <w:numId w:val="36"/>
        </w:numPr>
        <w:spacing w:line="360" w:lineRule="auto"/>
        <w:rPr>
          <w:rStyle w:val="A8"/>
          <w:rFonts w:ascii="Palatino Linotype" w:hAnsi="Palatino Linotype" w:cs="Times New Roman"/>
          <w:sz w:val="24"/>
          <w:szCs w:val="24"/>
        </w:rPr>
      </w:pPr>
      <w:r w:rsidRPr="005B1CCB">
        <w:rPr>
          <w:rStyle w:val="A8"/>
          <w:rFonts w:ascii="Palatino Linotype" w:hAnsi="Palatino Linotype" w:cs="Times New Roman"/>
          <w:sz w:val="24"/>
          <w:szCs w:val="24"/>
        </w:rPr>
        <w:t>To the pre-master mix, add 2.5 μl 20x Core Reaction Mix</w:t>
      </w:r>
      <w:r w:rsidRPr="005B1CCB">
        <w:rPr>
          <w:rStyle w:val="A9"/>
          <w:rFonts w:ascii="Palatino Linotype" w:hAnsi="Palatino Linotype" w:cs="Times New Roman"/>
          <w:sz w:val="24"/>
          <w:szCs w:val="24"/>
        </w:rPr>
        <w:t xml:space="preserve">4 </w:t>
      </w:r>
      <w:r w:rsidRPr="005B1CCB">
        <w:rPr>
          <w:rStyle w:val="A8"/>
          <w:rFonts w:ascii="Palatino Linotype" w:hAnsi="Palatino Linotype" w:cs="Times New Roman"/>
          <w:sz w:val="24"/>
          <w:szCs w:val="24"/>
        </w:rPr>
        <w:t>(per reaction) to tube lid. Mix by 10x full inversions and spin briefly. Master mix is now complete</w:t>
      </w:r>
      <w:r w:rsidRPr="005B1CCB">
        <w:rPr>
          <w:rStyle w:val="A9"/>
          <w:rFonts w:ascii="Palatino Linotype" w:hAnsi="Palatino Linotype" w:cs="Times New Roman"/>
          <w:sz w:val="24"/>
          <w:szCs w:val="24"/>
        </w:rPr>
        <w:t>5</w:t>
      </w:r>
      <w:r w:rsidRPr="005B1CCB">
        <w:rPr>
          <w:rStyle w:val="A8"/>
          <w:rFonts w:ascii="Palatino Linotype" w:hAnsi="Palatino Linotype" w:cs="Times New Roman"/>
          <w:sz w:val="24"/>
          <w:szCs w:val="24"/>
        </w:rPr>
        <w:t>. Pipette mix before use.</w:t>
      </w:r>
    </w:p>
    <w:p w14:paraId="5BD4A9B9" w14:textId="77777777" w:rsidR="00720703" w:rsidRPr="005B1CCB" w:rsidRDefault="00720703" w:rsidP="00690AE9">
      <w:pPr>
        <w:pStyle w:val="ListParagraph"/>
        <w:numPr>
          <w:ilvl w:val="0"/>
          <w:numId w:val="36"/>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Add 41.7 μl3 of master mix to primers prepared in tubes (step 1) and pipette mix.</w:t>
      </w:r>
    </w:p>
    <w:p w14:paraId="087FF86D" w14:textId="74CE4065" w:rsidR="00720703" w:rsidRPr="005B1CCB" w:rsidRDefault="00720703" w:rsidP="00690AE9">
      <w:pPr>
        <w:pStyle w:val="ListParagraph"/>
        <w:numPr>
          <w:ilvl w:val="0"/>
          <w:numId w:val="36"/>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Add 2.5 μl of 280mM MgOAc (supplied) and 1 μl template to tube lids. DNA and MgOAc should be kept separate in the tube lid prior to spin</w:t>
      </w:r>
      <w:r w:rsidR="00D6528B"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down. Spin in MgOAc/template and mix well (6x inversions) to start reaction. Spin briefly.</w:t>
      </w:r>
    </w:p>
    <w:p w14:paraId="306A1563" w14:textId="77777777" w:rsidR="00720703" w:rsidRPr="005B1CCB" w:rsidRDefault="00720703" w:rsidP="00690AE9">
      <w:pPr>
        <w:pStyle w:val="ListParagraph"/>
        <w:numPr>
          <w:ilvl w:val="0"/>
          <w:numId w:val="36"/>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Incubate at 37-42°C for 20-40 minutes. For low template copies, remove strip after 4 mins, mix by 6x full inversions and spin briefly, replace in heating device.</w:t>
      </w:r>
    </w:p>
    <w:p w14:paraId="70C33BBF" w14:textId="77777777" w:rsidR="00720703" w:rsidRPr="005B1CCB" w:rsidRDefault="00720703" w:rsidP="00690AE9">
      <w:pPr>
        <w:pStyle w:val="ListParagraph"/>
        <w:numPr>
          <w:ilvl w:val="0"/>
          <w:numId w:val="36"/>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After step 6, clean amplicons before running on an agarose gel.</w:t>
      </w:r>
    </w:p>
    <w:p w14:paraId="0CD804DA" w14:textId="77777777" w:rsidR="00323C6D" w:rsidRPr="005B1CCB" w:rsidRDefault="00323C6D" w:rsidP="005351A0">
      <w:pPr>
        <w:rPr>
          <w:rFonts w:ascii="Palatino Linotype" w:hAnsi="Palatino Linotype" w:cs="Times New Roman"/>
          <w:sz w:val="24"/>
          <w:szCs w:val="24"/>
        </w:rPr>
      </w:pPr>
    </w:p>
    <w:p w14:paraId="563ED96A" w14:textId="77777777" w:rsidR="00323C6D" w:rsidRPr="005B1CCB" w:rsidRDefault="00323C6D" w:rsidP="005351A0">
      <w:pPr>
        <w:jc w:val="center"/>
        <w:rPr>
          <w:rFonts w:ascii="Palatino Linotype" w:hAnsi="Palatino Linotype" w:cs="Times New Roman"/>
          <w:b/>
          <w:sz w:val="24"/>
          <w:szCs w:val="24"/>
        </w:rPr>
      </w:pPr>
      <w:r w:rsidRPr="005B1CCB">
        <w:rPr>
          <w:rStyle w:val="A8"/>
          <w:rFonts w:ascii="Palatino Linotype" w:hAnsi="Palatino Linotype" w:cs="Times New Roman"/>
          <w:b/>
          <w:sz w:val="24"/>
          <w:szCs w:val="24"/>
        </w:rPr>
        <w:t>Template screen set-up (single-plex)</w:t>
      </w:r>
    </w:p>
    <w:p w14:paraId="44279684" w14:textId="77777777" w:rsidR="00323C6D" w:rsidRPr="005B1CCB" w:rsidRDefault="00323C6D" w:rsidP="00690AE9">
      <w:pPr>
        <w:pStyle w:val="ListParagraph"/>
        <w:numPr>
          <w:ilvl w:val="0"/>
          <w:numId w:val="34"/>
        </w:numPr>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 xml:space="preserve">Prepare a primer pre-master mix (per reaction) in the following order: </w:t>
      </w:r>
    </w:p>
    <w:p w14:paraId="3DC62C15" w14:textId="77777777" w:rsidR="00323C6D" w:rsidRPr="005B1CCB" w:rsidRDefault="00323C6D"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 xml:space="preserve">2x Reaction Buffer 25 μl </w:t>
      </w:r>
    </w:p>
    <w:p w14:paraId="7695EB35" w14:textId="5A42585B" w:rsidR="00323C6D" w:rsidRPr="005B1CCB" w:rsidRDefault="00323C6D"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dNTPs</w:t>
      </w:r>
      <w:r w:rsidRPr="005B1CCB">
        <w:rPr>
          <w:rStyle w:val="A9"/>
          <w:rFonts w:ascii="Palatino Linotype" w:hAnsi="Palatino Linotype" w:cs="Times New Roman"/>
          <w:sz w:val="24"/>
          <w:szCs w:val="24"/>
        </w:rPr>
        <w:t xml:space="preserve"> </w:t>
      </w:r>
      <w:r w:rsidRPr="005B1CCB">
        <w:rPr>
          <w:rStyle w:val="A8"/>
          <w:rFonts w:ascii="Palatino Linotype" w:hAnsi="Palatino Linotype" w:cs="Times New Roman"/>
          <w:sz w:val="24"/>
          <w:szCs w:val="24"/>
        </w:rPr>
        <w:t>+ water</w:t>
      </w:r>
      <w:r w:rsidRPr="005B1CCB">
        <w:rPr>
          <w:rStyle w:val="A9"/>
          <w:rFonts w:ascii="Palatino Linotype" w:hAnsi="Palatino Linotype" w:cs="Times New Roman"/>
          <w:sz w:val="24"/>
          <w:szCs w:val="24"/>
        </w:rPr>
        <w:t xml:space="preserve"> </w:t>
      </w:r>
      <w:r w:rsidRPr="005B1CCB">
        <w:rPr>
          <w:rStyle w:val="A8"/>
          <w:rFonts w:ascii="Palatino Linotype" w:hAnsi="Palatino Linotype" w:cs="Times New Roman"/>
          <w:sz w:val="24"/>
          <w:szCs w:val="24"/>
        </w:rPr>
        <w:t xml:space="preserve">to 9.2 μl </w:t>
      </w:r>
    </w:p>
    <w:p w14:paraId="706D3854" w14:textId="77777777" w:rsidR="00323C6D" w:rsidRPr="005B1CCB" w:rsidRDefault="00323C6D"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 xml:space="preserve">10x Basic E-mix 5 μl </w:t>
      </w:r>
    </w:p>
    <w:p w14:paraId="2916D3E5" w14:textId="77777777" w:rsidR="00323C6D" w:rsidRPr="005B1CCB" w:rsidRDefault="00323C6D"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 xml:space="preserve">Primer A (10μM) 2.4 μl </w:t>
      </w:r>
    </w:p>
    <w:p w14:paraId="6BCBC8E3" w14:textId="77777777" w:rsidR="00323C6D" w:rsidRPr="005B1CCB" w:rsidRDefault="00323C6D" w:rsidP="00690AE9">
      <w:pPr>
        <w:pStyle w:val="ListParagraph"/>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 xml:space="preserve">Primer B (10μM) 2.4 μl </w:t>
      </w:r>
    </w:p>
    <w:p w14:paraId="03E69E5C" w14:textId="77777777" w:rsidR="00323C6D" w:rsidRPr="005B1CCB" w:rsidRDefault="00323C6D" w:rsidP="00690AE9">
      <w:pPr>
        <w:pStyle w:val="ListParagraph"/>
        <w:numPr>
          <w:ilvl w:val="0"/>
          <w:numId w:val="34"/>
        </w:numPr>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Vortex and spin briefly.</w:t>
      </w:r>
    </w:p>
    <w:p w14:paraId="4155E67F" w14:textId="3E4472BA" w:rsidR="00323C6D" w:rsidRPr="005B1CCB" w:rsidRDefault="00323C6D" w:rsidP="00690AE9">
      <w:pPr>
        <w:pStyle w:val="ListParagraph"/>
        <w:numPr>
          <w:ilvl w:val="0"/>
          <w:numId w:val="34"/>
        </w:numPr>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Add 2.5 μl 20x Core Reaction Mix</w:t>
      </w:r>
      <w:r w:rsidR="00D90C06" w:rsidRPr="005B1CCB">
        <w:rPr>
          <w:rStyle w:val="A8"/>
          <w:rFonts w:ascii="Palatino Linotype" w:hAnsi="Palatino Linotype" w:cs="Times New Roman"/>
          <w:sz w:val="24"/>
          <w:szCs w:val="24"/>
        </w:rPr>
        <w:t xml:space="preserve"> </w:t>
      </w:r>
      <w:r w:rsidRPr="005B1CCB">
        <w:rPr>
          <w:rStyle w:val="A9"/>
          <w:rFonts w:ascii="Palatino Linotype" w:hAnsi="Palatino Linotype" w:cs="Times New Roman"/>
          <w:sz w:val="24"/>
          <w:szCs w:val="24"/>
        </w:rPr>
        <w:t xml:space="preserve">4 </w:t>
      </w:r>
      <w:r w:rsidRPr="005B1CCB">
        <w:rPr>
          <w:rStyle w:val="A8"/>
          <w:rFonts w:ascii="Palatino Linotype" w:hAnsi="Palatino Linotype" w:cs="Times New Roman"/>
          <w:sz w:val="24"/>
          <w:szCs w:val="24"/>
        </w:rPr>
        <w:t>(per reaction) to tube lid. Mix by 10x full inversions and spin briefly. Mas</w:t>
      </w:r>
      <w:r w:rsidRPr="005B1CCB">
        <w:rPr>
          <w:rStyle w:val="A8"/>
          <w:rFonts w:ascii="Palatino Linotype" w:hAnsi="Palatino Linotype" w:cs="Times New Roman"/>
          <w:sz w:val="24"/>
          <w:szCs w:val="24"/>
        </w:rPr>
        <w:softHyphen/>
        <w:t>ter mix is now complete. Pipette mix before use.</w:t>
      </w:r>
    </w:p>
    <w:p w14:paraId="17785D06" w14:textId="62F210FA" w:rsidR="00323C6D" w:rsidRPr="005B1CCB" w:rsidRDefault="00323C6D" w:rsidP="00690AE9">
      <w:pPr>
        <w:pStyle w:val="ListParagraph"/>
        <w:numPr>
          <w:ilvl w:val="0"/>
          <w:numId w:val="34"/>
        </w:numPr>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Add 46.5 μl</w:t>
      </w:r>
      <w:r w:rsidRPr="005B1CCB">
        <w:rPr>
          <w:rStyle w:val="A9"/>
          <w:rFonts w:ascii="Palatino Linotype" w:hAnsi="Palatino Linotype" w:cs="Times New Roman"/>
          <w:sz w:val="24"/>
          <w:szCs w:val="24"/>
        </w:rPr>
        <w:t xml:space="preserve"> </w:t>
      </w:r>
      <w:r w:rsidRPr="005B1CCB">
        <w:rPr>
          <w:rStyle w:val="A8"/>
          <w:rFonts w:ascii="Palatino Linotype" w:hAnsi="Palatino Linotype" w:cs="Times New Roman"/>
          <w:sz w:val="24"/>
          <w:szCs w:val="24"/>
        </w:rPr>
        <w:t>master mix to 0.2 ml PCR tubes.</w:t>
      </w:r>
    </w:p>
    <w:p w14:paraId="7F955C35" w14:textId="7B8224A1" w:rsidR="00323C6D" w:rsidRPr="005B1CCB" w:rsidRDefault="00323C6D" w:rsidP="00690AE9">
      <w:pPr>
        <w:pStyle w:val="ListParagraph"/>
        <w:numPr>
          <w:ilvl w:val="0"/>
          <w:numId w:val="34"/>
        </w:numPr>
        <w:spacing w:line="360" w:lineRule="auto"/>
        <w:rPr>
          <w:rFonts w:ascii="Palatino Linotype" w:hAnsi="Palatino Linotype" w:cs="Times New Roman"/>
          <w:sz w:val="24"/>
          <w:szCs w:val="24"/>
        </w:rPr>
      </w:pPr>
      <w:r w:rsidRPr="005B1CCB">
        <w:rPr>
          <w:rStyle w:val="A8"/>
          <w:rFonts w:ascii="Palatino Linotype" w:hAnsi="Palatino Linotype" w:cs="Times New Roman"/>
          <w:sz w:val="24"/>
          <w:szCs w:val="24"/>
        </w:rPr>
        <w:t>Add 2.5 μl of 280mM MgOAc and 1 μl template to tube lid. DNA and MgOAc should be kept separate in the tube lid prior to spin-down. Spin in MgOAc/template, mix well (6x inversions) to start reaction. Spin briefly.</w:t>
      </w:r>
    </w:p>
    <w:p w14:paraId="1FFF63D4" w14:textId="77777777" w:rsidR="00323C6D" w:rsidRPr="005B1CCB" w:rsidRDefault="00323C6D" w:rsidP="00690AE9">
      <w:pPr>
        <w:pStyle w:val="ListParagraph"/>
        <w:numPr>
          <w:ilvl w:val="0"/>
          <w:numId w:val="34"/>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Incubate at 37-42°C for 20-40 minutes. For low template copies, remove strip after 4 mins, mix by 6x full inversions and spin briefly, replace in heating device.</w:t>
      </w:r>
    </w:p>
    <w:p w14:paraId="23A5782F" w14:textId="77777777" w:rsidR="00323C6D" w:rsidRPr="005B1CCB" w:rsidRDefault="00323C6D" w:rsidP="00690AE9">
      <w:pPr>
        <w:pStyle w:val="ListParagraph"/>
        <w:numPr>
          <w:ilvl w:val="0"/>
          <w:numId w:val="34"/>
        </w:numPr>
        <w:spacing w:line="360" w:lineRule="auto"/>
        <w:rPr>
          <w:rFonts w:ascii="Palatino Linotype" w:hAnsi="Palatino Linotype" w:cs="Times New Roman"/>
          <w:sz w:val="24"/>
          <w:szCs w:val="24"/>
        </w:rPr>
      </w:pPr>
      <w:r w:rsidRPr="005B1CCB">
        <w:rPr>
          <w:rFonts w:ascii="Palatino Linotype" w:hAnsi="Palatino Linotype" w:cs="Times New Roman"/>
          <w:sz w:val="24"/>
          <w:szCs w:val="24"/>
        </w:rPr>
        <w:t>After step 5, clean amplicons before running on an agarose gel.</w:t>
      </w:r>
    </w:p>
    <w:p w14:paraId="1E007772" w14:textId="77777777" w:rsidR="005351A0" w:rsidRPr="005B1CCB" w:rsidRDefault="005351A0" w:rsidP="005351A0">
      <w:pPr>
        <w:rPr>
          <w:rFonts w:ascii="Palatino Linotype" w:hAnsi="Palatino Linotype" w:cs="Times New Roman"/>
          <w:sz w:val="24"/>
          <w:szCs w:val="24"/>
        </w:rPr>
      </w:pPr>
    </w:p>
    <w:p w14:paraId="12F31820" w14:textId="77777777" w:rsidR="00ED6C15" w:rsidRPr="005B1CCB" w:rsidRDefault="00ED6C15" w:rsidP="00D71969">
      <w:pPr>
        <w:pStyle w:val="Heading3"/>
      </w:pPr>
      <w:bookmarkStart w:id="87" w:name="_Toc84528081"/>
      <w:r w:rsidRPr="005B1CCB">
        <w:t>Phusion direct PCR protocol</w:t>
      </w:r>
      <w:bookmarkEnd w:id="87"/>
    </w:p>
    <w:p w14:paraId="12F13096" w14:textId="57F15C9B" w:rsidR="00341DF8" w:rsidRPr="005B1CCB" w:rsidRDefault="00145428" w:rsidP="00045627">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6F329B" w:rsidRPr="00101B10">
        <w:rPr>
          <w:rFonts w:ascii="Palatino Linotype" w:hAnsi="Palatino Linotype" w:cs="Times New Roman"/>
          <w:sz w:val="24"/>
          <w:szCs w:val="24"/>
        </w:rPr>
        <w:t xml:space="preserve">The phusion blood PCR kit is developed for amplification </w:t>
      </w:r>
      <w:r w:rsidR="00382CF5" w:rsidRPr="00101B10">
        <w:rPr>
          <w:rFonts w:ascii="Palatino Linotype" w:hAnsi="Palatino Linotype" w:cs="Times New Roman"/>
          <w:sz w:val="24"/>
          <w:szCs w:val="24"/>
        </w:rPr>
        <w:t>o</w:t>
      </w:r>
      <w:r w:rsidR="006F329B" w:rsidRPr="00101B10">
        <w:rPr>
          <w:rFonts w:ascii="Palatino Linotype" w:hAnsi="Palatino Linotype" w:cs="Times New Roman"/>
          <w:sz w:val="24"/>
          <w:szCs w:val="24"/>
        </w:rPr>
        <w:t>f DNA from whole blood, thus eliminating the need for separate DNA purification</w:t>
      </w:r>
      <w:r w:rsidR="00C96700" w:rsidRPr="005B1CCB">
        <w:rPr>
          <w:rFonts w:ascii="Palatino Linotype" w:hAnsi="Palatino Linotype" w:cs="Times New Roman"/>
          <w:sz w:val="24"/>
          <w:szCs w:val="24"/>
        </w:rPr>
        <w:t xml:space="preserve">. The phusion hot start II PCR polymerase has a high resistance to PCR inhibitors found in blood and retains polymerase activity with samples containing about 40% of whole blood </w:t>
      </w:r>
      <w:r w:rsidR="00270B8D"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{"citationItems":[{"id":"ITEM-1","itemData":{"URL":"https://www.thermofisher.com/order/catalog/product/F547S#/F547S","author":[{"dropping-particle":"","family":"Thermofisher Scientific","given":"","non-dropping-particle":"","parse-names":false,"suffix":""}],"id":"ITEM-1","issued":{"date-parts":[["2019"]]},"title":"Phusion Blood Direct PCR Kit","type":"webpage"},"uris":["http://www.mendeley.com/documents/?uuid=325db232-d7b7-479b-8e1c-dae023ccaa49"]}],"mendeley":{"formattedCitation":"[195]","plainTextFormattedCitation":"[195]","previouslyFormattedCitation":"[195]"},"properties":{"noteIndex":0},"schema":"https://github.com/citation-style-language/schema/raw/master/csl-citation.json"}</w:instrText>
      </w:r>
      <w:r w:rsidR="00270B8D"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[195]</w:t>
      </w:r>
      <w:r w:rsidR="00270B8D" w:rsidRPr="005B1CCB">
        <w:rPr>
          <w:rFonts w:ascii="Palatino Linotype" w:hAnsi="Palatino Linotype" w:cs="Times New Roman"/>
          <w:sz w:val="24"/>
          <w:szCs w:val="24"/>
        </w:rPr>
        <w:fldChar w:fldCharType="end"/>
      </w:r>
      <w:r w:rsidR="006F329B" w:rsidRPr="005B1CCB">
        <w:rPr>
          <w:rFonts w:ascii="Palatino Linotype" w:hAnsi="Palatino Linotype" w:cs="Times New Roman"/>
          <w:sz w:val="24"/>
          <w:szCs w:val="24"/>
        </w:rPr>
        <w:t>.</w:t>
      </w:r>
      <w:r w:rsidR="00D0022B" w:rsidRPr="005B1CCB">
        <w:rPr>
          <w:rFonts w:ascii="Palatino Linotype" w:hAnsi="Palatino Linotype" w:cs="Times New Roman"/>
          <w:sz w:val="24"/>
          <w:szCs w:val="24"/>
        </w:rPr>
        <w:t xml:space="preserve"> </w:t>
      </w:r>
      <w:r w:rsidR="00D0022B" w:rsidRPr="00101B10">
        <w:rPr>
          <w:rFonts w:ascii="Palatino Linotype" w:hAnsi="Palatino Linotype" w:cs="Times New Roman"/>
          <w:sz w:val="24"/>
          <w:szCs w:val="24"/>
        </w:rPr>
        <w:t xml:space="preserve">Advantages include a simple </w:t>
      </w:r>
      <w:r w:rsidR="00045627" w:rsidRPr="00101B10">
        <w:rPr>
          <w:rFonts w:ascii="Palatino Linotype" w:hAnsi="Palatino Linotype" w:cs="Times New Roman"/>
          <w:sz w:val="24"/>
          <w:szCs w:val="24"/>
        </w:rPr>
        <w:t>protocol, a shorter protocol time compared to regular PCR</w:t>
      </w:r>
      <w:r w:rsidR="00341DF8" w:rsidRPr="00101B10">
        <w:rPr>
          <w:rFonts w:ascii="Palatino Linotype" w:hAnsi="Palatino Linotype" w:cs="Times New Roman"/>
          <w:sz w:val="24"/>
          <w:szCs w:val="24"/>
        </w:rPr>
        <w:t xml:space="preserve"> (Figure 1</w:t>
      </w:r>
      <w:r w:rsidR="00682085" w:rsidRPr="00101B10">
        <w:rPr>
          <w:rFonts w:ascii="Palatino Linotype" w:hAnsi="Palatino Linotype" w:cs="Times New Roman"/>
          <w:sz w:val="24"/>
          <w:szCs w:val="24"/>
        </w:rPr>
        <w:t>5</w:t>
      </w:r>
      <w:r w:rsidR="00341DF8" w:rsidRPr="00101B10">
        <w:rPr>
          <w:rFonts w:ascii="Palatino Linotype" w:hAnsi="Palatino Linotype" w:cs="Times New Roman"/>
          <w:sz w:val="24"/>
          <w:szCs w:val="24"/>
        </w:rPr>
        <w:t>)</w:t>
      </w:r>
      <w:r w:rsidR="00045627" w:rsidRPr="00101B10">
        <w:rPr>
          <w:rFonts w:ascii="Palatino Linotype" w:hAnsi="Palatino Linotype" w:cs="Times New Roman"/>
          <w:sz w:val="24"/>
          <w:szCs w:val="24"/>
        </w:rPr>
        <w:t>, and a large yield of specific product</w:t>
      </w:r>
      <w:r w:rsidR="00045627" w:rsidRPr="005B1CCB">
        <w:rPr>
          <w:rFonts w:ascii="Palatino Linotype" w:hAnsi="Palatino Linotype" w:cs="Times New Roman"/>
          <w:sz w:val="24"/>
          <w:szCs w:val="24"/>
        </w:rPr>
        <w:t xml:space="preserve"> </w:t>
      </w:r>
      <w:r w:rsidR="00045627"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{"citationItems":[{"id":"ITEM-1","itemData":{"DOI":"10.3390/bios11020042","ISSN":"2079-6374","abstract":"Circulating tumour DNA (ctDNA) is widely used in liquid biopsies due to having a presence in the blood that is typically in proportion to the stage of the cancer and because it may present a quick and practical method of capturing tumour heterogeneity. This paper outlines a simple electrochemical technique adapted towards point-of-care cancer detection and treatment monitoring from biofluids using a label-free detection strategy. The mutations used for analysis were the KRAS G12D and G13D mutations, which are both important in the initiation, progression and drug resistance of many human cancers, leading to a high mortality rate. A low-cost DNA sensor was developed to specifically investigate these common circulating tumour markers. Initially, we report on some developments made in carbon surface pre-treatment and the electrochemical detection scheme which ensure the most sensitive measurement technique is employed. Following pre-treatment of the sensor to ensure homogeneity, DNA probes developed specifically for detection of the KRAS G12D and G13D mutations were immobilized onto low-cost screen printed carbon electrodes using diazonium chemistry and 1-ethyl-3-(3-dimethylaminopropyl) carbodiimide hydrochloride/N-hydroxysuccinimide coupling. Prior to electrochemical detection, the sensor was functionalised with target DNA amplified by standard and specialist PCR methodologies (6.3% increase). Assay development steps and DNA detection experiments were performed using standard voltammetry techniques. Sensitivity (as low as 0.58 ng/μL) and specificity (&gt;300%) was achieved by detecting mutant KRAS G13D PCR amplicons against a background of wild-type KRAS DNA from the representative cancer sample and our findings give rise to the basis of a simple and very low-cost system for measuring ctDNA biomarkers in patient samples. The current time to receive results from the system was 3.5 h with appreciable scope for optimisation, thus far comparing favourably to the UK National Health Service biopsy service where patients can wait for weeks for biopsy results.","author":[{"dropping-particle":"","family":"Attoye","given":"Bukola","non-dropping-particle":"","parse-names":false,"suffix":""},{"dropping-particle":"","family":"Baker","given":"Matthew J.","non-dropping-particle":"","parse-names":false,"suffix":""},{"dropping-particle":"","family":"Thomson","given":"Fiona","non-dropping-particle":"","parse-names":false,"suffix":""},{"dropping-particle":"","family":"Pou","given":"Chantevy","non-dropping-particle":"","parse-names":false,"suffix":""},{"dropping-particle":"","family":"Corrigan","given":"Damion K.","non-dropping-particle":"","parse-names":false,"suffix":""}],"container-title":"Biosensors","id":"ITEM-1","issue":"2","issued":{"date-parts":[["2021"]]},"page":"42","title":"Optimisation of an Electrochemical DNA Sensor for Measuring KRAS G12D and G13D Point Mutations in Different Tumour Types","type":"article-journal","volume":"11"},"uris":["http://www.mendeley.com/documents/?uuid=940e1da5-3316-4f11-a80c-c945a5c1cb95"]}],"mendeley":{"formattedCitation":"[182]","plainTextFormattedCitation":"[182]","previouslyFormattedCitation":"[182]"},"properties":{"noteIndex":0},"schema":"https://github.com/citation-style-language/schema/raw/master/csl-citation.json"}</w:instrText>
      </w:r>
      <w:r w:rsidR="00045627"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[182]</w:t>
      </w:r>
      <w:r w:rsidR="00045627" w:rsidRPr="005B1CCB">
        <w:rPr>
          <w:rFonts w:ascii="Palatino Linotype" w:hAnsi="Palatino Linotype" w:cs="Times New Roman"/>
          <w:sz w:val="24"/>
          <w:szCs w:val="24"/>
        </w:rPr>
        <w:fldChar w:fldCharType="end"/>
      </w:r>
      <w:r w:rsidR="00045627" w:rsidRPr="005B1CCB">
        <w:rPr>
          <w:rFonts w:ascii="Palatino Linotype" w:hAnsi="Palatino Linotype" w:cs="Times New Roman"/>
          <w:sz w:val="24"/>
          <w:szCs w:val="24"/>
        </w:rPr>
        <w:t xml:space="preserve">. </w:t>
      </w:r>
    </w:p>
    <w:p w14:paraId="49E19D5E" w14:textId="77777777" w:rsidR="00341DF8" w:rsidRPr="005B1CCB" w:rsidRDefault="00341DF8" w:rsidP="00341DF8">
      <w:pPr>
        <w:keepNext/>
        <w:jc w:val="center"/>
      </w:pPr>
      <w:r w:rsidRPr="005B1CCB">
        <w:rPr>
          <w:noProof/>
          <w:lang w:eastAsia="en-GB"/>
        </w:rPr>
        <w:drawing>
          <wp:inline distT="0" distB="0" distL="0" distR="0" wp14:anchorId="5A7699F1" wp14:editId="12FC8A4B">
            <wp:extent cx="5674636" cy="3447685"/>
            <wp:effectExtent l="0" t="0" r="254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186" t="7149" r="2016" b="4966"/>
                    <a:stretch/>
                  </pic:blipFill>
                  <pic:spPr bwMode="auto">
                    <a:xfrm>
                      <a:off x="0" y="0"/>
                      <a:ext cx="5778418" cy="3510739"/>
                    </a:xfrm>
                    <a:prstGeom prst="rect">
                      <a:avLst/>
                    </a:prstGeom>
                    <a:ln>
                      <a:noFill/>
                    </a:ln>
                    <a:extLst>
                      <a:ext uri="{53640926-AAD7-44D8-BBD7-CCE9431645EC}">
                        <a14:shadowObscured xmlns:a14="http://schemas.microsoft.com/office/drawing/2010/main"/>
                      </a:ext>
                    </a:extLst>
                  </pic:spPr>
                </pic:pic>
              </a:graphicData>
            </a:graphic>
          </wp:inline>
        </w:drawing>
      </w:r>
    </w:p>
    <w:p w14:paraId="6F5F05CC" w14:textId="77777777" w:rsidR="00341DF8" w:rsidRPr="005B1CCB" w:rsidRDefault="00341DF8" w:rsidP="00341DF8">
      <w:pPr>
        <w:pStyle w:val="Caption"/>
        <w:jc w:val="center"/>
      </w:pPr>
      <w:bookmarkStart w:id="88" w:name="_Toc84519610"/>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15</w:t>
      </w:r>
      <w:r w:rsidRPr="005B1CCB">
        <w:rPr>
          <w:sz w:val="22"/>
          <w:szCs w:val="22"/>
        </w:rPr>
        <w:fldChar w:fldCharType="end"/>
      </w:r>
      <w:r w:rsidRPr="005B1CCB">
        <w:rPr>
          <w:sz w:val="22"/>
          <w:szCs w:val="22"/>
        </w:rPr>
        <w:t>: Mini-PCR thermal cycling graph</w:t>
      </w:r>
      <w:r w:rsidR="00FB3276" w:rsidRPr="005B1CCB">
        <w:rPr>
          <w:sz w:val="22"/>
          <w:szCs w:val="22"/>
        </w:rPr>
        <w:t xml:space="preserve"> showing a phusion PCR protocol</w:t>
      </w:r>
      <w:bookmarkEnd w:id="88"/>
    </w:p>
    <w:p w14:paraId="2B6E5D78" w14:textId="77777777" w:rsidR="006F329B" w:rsidRPr="005B1CCB" w:rsidRDefault="00045627" w:rsidP="00045627">
      <w:pPr>
        <w:spacing w:line="360" w:lineRule="auto"/>
        <w:jc w:val="both"/>
        <w:rPr>
          <w:rFonts w:ascii="Palatino Linotype" w:hAnsi="Palatino Linotype"/>
        </w:rPr>
      </w:pPr>
      <w:r w:rsidRPr="005B1CCB">
        <w:rPr>
          <w:rFonts w:ascii="Palatino Linotype" w:hAnsi="Palatino Linotype" w:cs="Times New Roman"/>
          <w:sz w:val="24"/>
          <w:szCs w:val="24"/>
        </w:rPr>
        <w:t>The phusion PCR protocol used in this study is given below:</w:t>
      </w:r>
    </w:p>
    <w:p w14:paraId="44048FE6" w14:textId="4AC41E36" w:rsidR="00995DED" w:rsidRPr="005B1CCB" w:rsidRDefault="00995DED" w:rsidP="00995DED">
      <w:pPr>
        <w:pStyle w:val="Caption"/>
        <w:keepNext/>
        <w:jc w:val="center"/>
        <w:rPr>
          <w:sz w:val="22"/>
          <w:szCs w:val="22"/>
        </w:rPr>
      </w:pPr>
      <w:bookmarkStart w:id="89" w:name="_Toc84272328"/>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7</w:t>
      </w:r>
      <w:r w:rsidRPr="005B1CCB">
        <w:rPr>
          <w:sz w:val="22"/>
          <w:szCs w:val="22"/>
        </w:rPr>
        <w:fldChar w:fldCharType="end"/>
      </w:r>
      <w:r w:rsidRPr="005B1CCB">
        <w:rPr>
          <w:sz w:val="22"/>
          <w:szCs w:val="22"/>
        </w:rPr>
        <w:t>: phusion PCR protocol</w:t>
      </w:r>
      <w:bookmarkEnd w:id="89"/>
    </w:p>
    <w:tbl>
      <w:tblPr>
        <w:tblW w:w="0" w:type="auto"/>
        <w:tblLook w:val="04A0" w:firstRow="1" w:lastRow="0" w:firstColumn="1" w:lastColumn="0" w:noHBand="0" w:noVBand="1"/>
      </w:tblPr>
      <w:tblGrid>
        <w:gridCol w:w="2196"/>
        <w:gridCol w:w="2093"/>
        <w:gridCol w:w="2126"/>
        <w:gridCol w:w="2089"/>
      </w:tblGrid>
      <w:tr w:rsidR="005B38B6" w:rsidRPr="005B1CCB" w14:paraId="2938BBAE" w14:textId="77777777" w:rsidTr="005B38B6">
        <w:tc>
          <w:tcPr>
            <w:tcW w:w="2348" w:type="dxa"/>
          </w:tcPr>
          <w:p w14:paraId="7E113315" w14:textId="77777777" w:rsidR="005B38B6" w:rsidRPr="005B1CCB" w:rsidRDefault="005B38B6" w:rsidP="00225739">
            <w:pPr>
              <w:spacing w:line="360" w:lineRule="auto"/>
              <w:jc w:val="center"/>
              <w:rPr>
                <w:rFonts w:ascii="Palatino Linotype" w:hAnsi="Palatino Linotype" w:cs="Times New Roman"/>
                <w:b/>
              </w:rPr>
            </w:pPr>
            <w:r w:rsidRPr="005B1CCB">
              <w:rPr>
                <w:rFonts w:ascii="Palatino Linotype" w:hAnsi="Palatino Linotype" w:cs="Times New Roman"/>
                <w:b/>
              </w:rPr>
              <w:t>Component</w:t>
            </w:r>
          </w:p>
        </w:tc>
        <w:tc>
          <w:tcPr>
            <w:tcW w:w="2349" w:type="dxa"/>
          </w:tcPr>
          <w:p w14:paraId="74E1A63C" w14:textId="77777777" w:rsidR="005B38B6" w:rsidRPr="005B1CCB" w:rsidRDefault="005B38B6" w:rsidP="00225739">
            <w:pPr>
              <w:spacing w:line="360" w:lineRule="auto"/>
              <w:jc w:val="center"/>
              <w:rPr>
                <w:rFonts w:ascii="Palatino Linotype" w:hAnsi="Palatino Linotype" w:cs="Times New Roman"/>
                <w:b/>
              </w:rPr>
            </w:pPr>
            <w:r w:rsidRPr="005B1CCB">
              <w:rPr>
                <w:rFonts w:ascii="Palatino Linotype" w:hAnsi="Palatino Linotype" w:cs="Times New Roman"/>
                <w:b/>
              </w:rPr>
              <w:t>20uL (rxn)</w:t>
            </w:r>
          </w:p>
        </w:tc>
        <w:tc>
          <w:tcPr>
            <w:tcW w:w="2349" w:type="dxa"/>
          </w:tcPr>
          <w:p w14:paraId="0FB34482" w14:textId="77777777" w:rsidR="005B38B6" w:rsidRPr="005B1CCB" w:rsidRDefault="005B38B6" w:rsidP="00225739">
            <w:pPr>
              <w:spacing w:line="360" w:lineRule="auto"/>
              <w:jc w:val="center"/>
              <w:rPr>
                <w:rFonts w:ascii="Palatino Linotype" w:hAnsi="Palatino Linotype" w:cs="Times New Roman"/>
                <w:b/>
              </w:rPr>
            </w:pPr>
            <w:r w:rsidRPr="005B1CCB">
              <w:rPr>
                <w:rFonts w:ascii="Palatino Linotype" w:hAnsi="Palatino Linotype" w:cs="Times New Roman"/>
                <w:b/>
              </w:rPr>
              <w:t>50 uL(rxn)</w:t>
            </w:r>
          </w:p>
        </w:tc>
        <w:tc>
          <w:tcPr>
            <w:tcW w:w="2349" w:type="dxa"/>
          </w:tcPr>
          <w:p w14:paraId="6B57FAAD" w14:textId="77777777" w:rsidR="005B38B6" w:rsidRPr="005B1CCB" w:rsidRDefault="005B38B6" w:rsidP="00225739">
            <w:pPr>
              <w:spacing w:line="360" w:lineRule="auto"/>
              <w:jc w:val="center"/>
              <w:rPr>
                <w:rFonts w:ascii="Palatino Linotype" w:hAnsi="Palatino Linotype" w:cs="Times New Roman"/>
                <w:b/>
              </w:rPr>
            </w:pPr>
            <w:r w:rsidRPr="005B1CCB">
              <w:rPr>
                <w:rFonts w:ascii="Palatino Linotype" w:hAnsi="Palatino Linotype" w:cs="Times New Roman"/>
                <w:b/>
              </w:rPr>
              <w:t>Final conc.</w:t>
            </w:r>
          </w:p>
        </w:tc>
      </w:tr>
      <w:tr w:rsidR="005B38B6" w:rsidRPr="005B1CCB" w14:paraId="3009712C" w14:textId="77777777" w:rsidTr="005B38B6">
        <w:tc>
          <w:tcPr>
            <w:tcW w:w="2348" w:type="dxa"/>
          </w:tcPr>
          <w:p w14:paraId="0084CD5E" w14:textId="77777777" w:rsidR="005B38B6" w:rsidRPr="005B1CCB" w:rsidRDefault="005B38B6" w:rsidP="0052183A">
            <w:pPr>
              <w:spacing w:line="360" w:lineRule="auto"/>
              <w:rPr>
                <w:rFonts w:ascii="Palatino Linotype" w:hAnsi="Palatino Linotype" w:cs="Times New Roman"/>
              </w:rPr>
            </w:pPr>
            <w:r w:rsidRPr="005B1CCB">
              <w:rPr>
                <w:rFonts w:ascii="Palatino Linotype" w:hAnsi="Palatino Linotype" w:cs="Times New Roman"/>
              </w:rPr>
              <w:t>H2O</w:t>
            </w:r>
          </w:p>
        </w:tc>
        <w:tc>
          <w:tcPr>
            <w:tcW w:w="2349" w:type="dxa"/>
          </w:tcPr>
          <w:p w14:paraId="01C749BF" w14:textId="77777777" w:rsidR="005B38B6" w:rsidRPr="005B1CCB" w:rsidRDefault="005B38B6" w:rsidP="0052183A">
            <w:pPr>
              <w:spacing w:line="360" w:lineRule="auto"/>
              <w:rPr>
                <w:rFonts w:ascii="Palatino Linotype" w:hAnsi="Palatino Linotype" w:cs="Times New Roman"/>
              </w:rPr>
            </w:pPr>
            <w:r w:rsidRPr="005B1CCB">
              <w:rPr>
                <w:rFonts w:ascii="Palatino Linotype" w:hAnsi="Palatino Linotype" w:cs="Times New Roman"/>
              </w:rPr>
              <w:t>Add to 20 uL</w:t>
            </w:r>
          </w:p>
        </w:tc>
        <w:tc>
          <w:tcPr>
            <w:tcW w:w="2349" w:type="dxa"/>
          </w:tcPr>
          <w:p w14:paraId="5564D983"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Add to 50 uL</w:t>
            </w:r>
          </w:p>
        </w:tc>
        <w:tc>
          <w:tcPr>
            <w:tcW w:w="2349" w:type="dxa"/>
          </w:tcPr>
          <w:p w14:paraId="18F9539D" w14:textId="77777777" w:rsidR="005B38B6" w:rsidRPr="005B1CCB" w:rsidRDefault="005B38B6" w:rsidP="0052183A">
            <w:pPr>
              <w:spacing w:line="360" w:lineRule="auto"/>
              <w:rPr>
                <w:rFonts w:ascii="Palatino Linotype" w:hAnsi="Palatino Linotype" w:cs="Times New Roman"/>
              </w:rPr>
            </w:pPr>
          </w:p>
        </w:tc>
      </w:tr>
      <w:tr w:rsidR="005B38B6" w:rsidRPr="005B1CCB" w14:paraId="3BBAE283" w14:textId="77777777" w:rsidTr="005B38B6">
        <w:tc>
          <w:tcPr>
            <w:tcW w:w="2348" w:type="dxa"/>
          </w:tcPr>
          <w:p w14:paraId="7547753B" w14:textId="77777777" w:rsidR="005B38B6" w:rsidRPr="005B1CCB" w:rsidRDefault="005B38B6" w:rsidP="0052183A">
            <w:pPr>
              <w:spacing w:line="360" w:lineRule="auto"/>
              <w:rPr>
                <w:rFonts w:ascii="Palatino Linotype" w:hAnsi="Palatino Linotype" w:cs="Times New Roman"/>
              </w:rPr>
            </w:pPr>
            <w:r w:rsidRPr="005B1CCB">
              <w:rPr>
                <w:rFonts w:ascii="Palatino Linotype" w:hAnsi="Palatino Linotype" w:cs="Times New Roman"/>
              </w:rPr>
              <w:t>2X Phusion Blood PCR Buffer</w:t>
            </w:r>
          </w:p>
        </w:tc>
        <w:tc>
          <w:tcPr>
            <w:tcW w:w="2349" w:type="dxa"/>
          </w:tcPr>
          <w:p w14:paraId="516946E1"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10uL</w:t>
            </w:r>
          </w:p>
        </w:tc>
        <w:tc>
          <w:tcPr>
            <w:tcW w:w="2349" w:type="dxa"/>
          </w:tcPr>
          <w:p w14:paraId="4ED0F5B0"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25 uL</w:t>
            </w:r>
          </w:p>
        </w:tc>
        <w:tc>
          <w:tcPr>
            <w:tcW w:w="2349" w:type="dxa"/>
          </w:tcPr>
          <w:p w14:paraId="416E3382"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1X</w:t>
            </w:r>
          </w:p>
        </w:tc>
      </w:tr>
      <w:tr w:rsidR="005B38B6" w:rsidRPr="005B1CCB" w14:paraId="19DEA6B3" w14:textId="77777777" w:rsidTr="005B38B6">
        <w:tc>
          <w:tcPr>
            <w:tcW w:w="2348" w:type="dxa"/>
          </w:tcPr>
          <w:p w14:paraId="0B907EBB" w14:textId="77777777" w:rsidR="005B38B6" w:rsidRPr="005B1CCB" w:rsidRDefault="005B38B6" w:rsidP="0052183A">
            <w:pPr>
              <w:spacing w:line="360" w:lineRule="auto"/>
              <w:rPr>
                <w:rFonts w:ascii="Palatino Linotype" w:hAnsi="Palatino Linotype" w:cs="Times New Roman"/>
              </w:rPr>
            </w:pPr>
            <w:r w:rsidRPr="005B1CCB">
              <w:rPr>
                <w:rFonts w:ascii="Palatino Linotype" w:hAnsi="Palatino Linotype" w:cs="Times New Roman"/>
              </w:rPr>
              <w:t>Primer A</w:t>
            </w:r>
          </w:p>
        </w:tc>
        <w:tc>
          <w:tcPr>
            <w:tcW w:w="2349" w:type="dxa"/>
          </w:tcPr>
          <w:p w14:paraId="415A75D2" w14:textId="77777777" w:rsidR="005B38B6" w:rsidRPr="005B1CCB" w:rsidRDefault="00145428" w:rsidP="0052183A">
            <w:pPr>
              <w:spacing w:line="360" w:lineRule="auto"/>
              <w:rPr>
                <w:rFonts w:ascii="Palatino Linotype" w:hAnsi="Palatino Linotype" w:cs="Times New Roman"/>
              </w:rPr>
            </w:pPr>
            <w:r w:rsidRPr="005B1CCB">
              <w:rPr>
                <w:rFonts w:ascii="Palatino Linotype" w:hAnsi="Palatino Linotype" w:cs="Times New Roman"/>
              </w:rPr>
              <w:t>3</w:t>
            </w:r>
            <w:r w:rsidR="00225739" w:rsidRPr="005B1CCB">
              <w:rPr>
                <w:rFonts w:ascii="Palatino Linotype" w:hAnsi="Palatino Linotype" w:cs="Times New Roman"/>
              </w:rPr>
              <w:t xml:space="preserve"> uL</w:t>
            </w:r>
          </w:p>
        </w:tc>
        <w:tc>
          <w:tcPr>
            <w:tcW w:w="2349" w:type="dxa"/>
          </w:tcPr>
          <w:p w14:paraId="4666C15F" w14:textId="77777777" w:rsidR="005B38B6" w:rsidRPr="005B1CCB" w:rsidRDefault="005C3C25" w:rsidP="0052183A">
            <w:pPr>
              <w:spacing w:line="360" w:lineRule="auto"/>
              <w:rPr>
                <w:rFonts w:ascii="Palatino Linotype" w:hAnsi="Palatino Linotype" w:cs="Times New Roman"/>
              </w:rPr>
            </w:pPr>
            <w:r w:rsidRPr="005B1CCB">
              <w:rPr>
                <w:rFonts w:ascii="Palatino Linotype" w:hAnsi="Palatino Linotype" w:cs="Times New Roman"/>
              </w:rPr>
              <w:t>7</w:t>
            </w:r>
            <w:r w:rsidR="00225739" w:rsidRPr="005B1CCB">
              <w:rPr>
                <w:rFonts w:ascii="Palatino Linotype" w:hAnsi="Palatino Linotype" w:cs="Times New Roman"/>
              </w:rPr>
              <w:t xml:space="preserve"> uL</w:t>
            </w:r>
          </w:p>
        </w:tc>
        <w:tc>
          <w:tcPr>
            <w:tcW w:w="2349" w:type="dxa"/>
          </w:tcPr>
          <w:p w14:paraId="6F15294F"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0.5 uM</w:t>
            </w:r>
          </w:p>
        </w:tc>
      </w:tr>
      <w:tr w:rsidR="005B38B6" w:rsidRPr="005B1CCB" w14:paraId="37839757" w14:textId="77777777" w:rsidTr="005B38B6">
        <w:tc>
          <w:tcPr>
            <w:tcW w:w="2348" w:type="dxa"/>
          </w:tcPr>
          <w:p w14:paraId="0DADE331" w14:textId="77777777" w:rsidR="005B38B6" w:rsidRPr="005B1CCB" w:rsidRDefault="005B38B6" w:rsidP="0052183A">
            <w:pPr>
              <w:spacing w:line="360" w:lineRule="auto"/>
              <w:rPr>
                <w:rFonts w:ascii="Palatino Linotype" w:hAnsi="Palatino Linotype" w:cs="Times New Roman"/>
              </w:rPr>
            </w:pPr>
            <w:r w:rsidRPr="005B1CCB">
              <w:rPr>
                <w:rFonts w:ascii="Palatino Linotype" w:hAnsi="Palatino Linotype" w:cs="Times New Roman"/>
              </w:rPr>
              <w:t>Primer B</w:t>
            </w:r>
          </w:p>
        </w:tc>
        <w:tc>
          <w:tcPr>
            <w:tcW w:w="2349" w:type="dxa"/>
          </w:tcPr>
          <w:p w14:paraId="62F1912F" w14:textId="77777777" w:rsidR="005B38B6" w:rsidRPr="005B1CCB" w:rsidRDefault="00145428" w:rsidP="0052183A">
            <w:pPr>
              <w:spacing w:line="360" w:lineRule="auto"/>
              <w:rPr>
                <w:rFonts w:ascii="Palatino Linotype" w:hAnsi="Palatino Linotype" w:cs="Times New Roman"/>
              </w:rPr>
            </w:pPr>
            <w:r w:rsidRPr="005B1CCB">
              <w:rPr>
                <w:rFonts w:ascii="Palatino Linotype" w:hAnsi="Palatino Linotype" w:cs="Times New Roman"/>
              </w:rPr>
              <w:t>3</w:t>
            </w:r>
            <w:r w:rsidR="00225739" w:rsidRPr="005B1CCB">
              <w:rPr>
                <w:rFonts w:ascii="Palatino Linotype" w:hAnsi="Palatino Linotype" w:cs="Times New Roman"/>
              </w:rPr>
              <w:t xml:space="preserve"> uL</w:t>
            </w:r>
          </w:p>
        </w:tc>
        <w:tc>
          <w:tcPr>
            <w:tcW w:w="2349" w:type="dxa"/>
          </w:tcPr>
          <w:p w14:paraId="685BB5BA" w14:textId="77777777" w:rsidR="005B38B6" w:rsidRPr="005B1CCB" w:rsidRDefault="005C3C25" w:rsidP="0052183A">
            <w:pPr>
              <w:spacing w:line="360" w:lineRule="auto"/>
              <w:rPr>
                <w:rFonts w:ascii="Palatino Linotype" w:hAnsi="Palatino Linotype" w:cs="Times New Roman"/>
              </w:rPr>
            </w:pPr>
            <w:r w:rsidRPr="005B1CCB">
              <w:rPr>
                <w:rFonts w:ascii="Palatino Linotype" w:hAnsi="Palatino Linotype" w:cs="Times New Roman"/>
              </w:rPr>
              <w:t>7</w:t>
            </w:r>
            <w:r w:rsidR="00225739" w:rsidRPr="005B1CCB">
              <w:rPr>
                <w:rFonts w:ascii="Palatino Linotype" w:hAnsi="Palatino Linotype" w:cs="Times New Roman"/>
              </w:rPr>
              <w:t xml:space="preserve"> uL</w:t>
            </w:r>
          </w:p>
        </w:tc>
        <w:tc>
          <w:tcPr>
            <w:tcW w:w="2349" w:type="dxa"/>
          </w:tcPr>
          <w:p w14:paraId="215791DD"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0.5 uM</w:t>
            </w:r>
          </w:p>
        </w:tc>
      </w:tr>
      <w:tr w:rsidR="005B38B6" w:rsidRPr="005B1CCB" w14:paraId="41BF3CEB" w14:textId="77777777" w:rsidTr="005B38B6">
        <w:tc>
          <w:tcPr>
            <w:tcW w:w="2348" w:type="dxa"/>
          </w:tcPr>
          <w:p w14:paraId="4E51A618" w14:textId="77777777" w:rsidR="005B38B6" w:rsidRPr="005B1CCB" w:rsidRDefault="005B38B6" w:rsidP="0052183A">
            <w:pPr>
              <w:spacing w:line="360" w:lineRule="auto"/>
              <w:rPr>
                <w:rFonts w:ascii="Palatino Linotype" w:hAnsi="Palatino Linotype" w:cs="Times New Roman"/>
              </w:rPr>
            </w:pPr>
            <w:r w:rsidRPr="005B1CCB">
              <w:rPr>
                <w:rFonts w:ascii="Palatino Linotype" w:hAnsi="Palatino Linotype" w:cs="Times New Roman"/>
              </w:rPr>
              <w:t>Phusion Blood II DNA Polymerase</w:t>
            </w:r>
          </w:p>
        </w:tc>
        <w:tc>
          <w:tcPr>
            <w:tcW w:w="2349" w:type="dxa"/>
          </w:tcPr>
          <w:p w14:paraId="2D5DB71E"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0.4uL</w:t>
            </w:r>
          </w:p>
        </w:tc>
        <w:tc>
          <w:tcPr>
            <w:tcW w:w="2349" w:type="dxa"/>
          </w:tcPr>
          <w:p w14:paraId="7F46CFEA"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1 uL</w:t>
            </w:r>
          </w:p>
        </w:tc>
        <w:tc>
          <w:tcPr>
            <w:tcW w:w="2349" w:type="dxa"/>
          </w:tcPr>
          <w:p w14:paraId="5AA331ED" w14:textId="77777777" w:rsidR="005B38B6" w:rsidRPr="005B1CCB" w:rsidRDefault="005B38B6" w:rsidP="0052183A">
            <w:pPr>
              <w:spacing w:line="360" w:lineRule="auto"/>
              <w:rPr>
                <w:rFonts w:ascii="Palatino Linotype" w:hAnsi="Palatino Linotype" w:cs="Times New Roman"/>
              </w:rPr>
            </w:pPr>
          </w:p>
        </w:tc>
      </w:tr>
      <w:tr w:rsidR="005B38B6" w:rsidRPr="005B1CCB" w14:paraId="1DDDAEBE" w14:textId="77777777" w:rsidTr="005B38B6">
        <w:tc>
          <w:tcPr>
            <w:tcW w:w="2348" w:type="dxa"/>
          </w:tcPr>
          <w:p w14:paraId="6090EBD2" w14:textId="77777777" w:rsidR="005B38B6" w:rsidRPr="005B1CCB" w:rsidRDefault="005B38B6" w:rsidP="0052183A">
            <w:pPr>
              <w:spacing w:line="360" w:lineRule="auto"/>
              <w:rPr>
                <w:rFonts w:ascii="Palatino Linotype" w:hAnsi="Palatino Linotype" w:cs="Times New Roman"/>
              </w:rPr>
            </w:pPr>
            <w:r w:rsidRPr="005B1CCB">
              <w:rPr>
                <w:rFonts w:ascii="Palatino Linotype" w:hAnsi="Palatino Linotype" w:cs="Times New Roman"/>
              </w:rPr>
              <w:t>Whole Blood</w:t>
            </w:r>
          </w:p>
        </w:tc>
        <w:tc>
          <w:tcPr>
            <w:tcW w:w="2349" w:type="dxa"/>
          </w:tcPr>
          <w:p w14:paraId="32B3B912"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1uL</w:t>
            </w:r>
          </w:p>
        </w:tc>
        <w:tc>
          <w:tcPr>
            <w:tcW w:w="2349" w:type="dxa"/>
          </w:tcPr>
          <w:p w14:paraId="33CFC2F4"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2.5uL</w:t>
            </w:r>
          </w:p>
        </w:tc>
        <w:tc>
          <w:tcPr>
            <w:tcW w:w="2349" w:type="dxa"/>
          </w:tcPr>
          <w:p w14:paraId="4476D532" w14:textId="77777777" w:rsidR="005B38B6" w:rsidRPr="005B1CCB" w:rsidRDefault="005B38B6" w:rsidP="0052183A">
            <w:pPr>
              <w:spacing w:line="360" w:lineRule="auto"/>
              <w:rPr>
                <w:rFonts w:ascii="Palatino Linotype" w:hAnsi="Palatino Linotype" w:cs="Times New Roman"/>
              </w:rPr>
            </w:pPr>
          </w:p>
        </w:tc>
      </w:tr>
      <w:tr w:rsidR="005B38B6" w:rsidRPr="005B1CCB" w14:paraId="0390E0A4" w14:textId="77777777" w:rsidTr="005B38B6">
        <w:tc>
          <w:tcPr>
            <w:tcW w:w="9395" w:type="dxa"/>
            <w:gridSpan w:val="4"/>
          </w:tcPr>
          <w:p w14:paraId="5C855EC0" w14:textId="77777777" w:rsidR="005B38B6" w:rsidRPr="005B1CCB" w:rsidRDefault="00225739" w:rsidP="00225739">
            <w:pPr>
              <w:spacing w:line="360" w:lineRule="auto"/>
              <w:jc w:val="center"/>
              <w:rPr>
                <w:rFonts w:ascii="Palatino Linotype" w:hAnsi="Palatino Linotype" w:cs="Times New Roman"/>
                <w:b/>
              </w:rPr>
            </w:pPr>
            <w:r w:rsidRPr="005B1CCB">
              <w:rPr>
                <w:rFonts w:ascii="Palatino Linotype" w:hAnsi="Palatino Linotype" w:cs="Times New Roman"/>
                <w:b/>
              </w:rPr>
              <w:t>Optional components for reactions optimization</w:t>
            </w:r>
          </w:p>
        </w:tc>
      </w:tr>
      <w:tr w:rsidR="005B38B6" w:rsidRPr="005B1CCB" w14:paraId="37541F06" w14:textId="77777777" w:rsidTr="005B38B6">
        <w:tc>
          <w:tcPr>
            <w:tcW w:w="2348" w:type="dxa"/>
          </w:tcPr>
          <w:p w14:paraId="6806B4D7"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50 mM MgCl2</w:t>
            </w:r>
          </w:p>
        </w:tc>
        <w:tc>
          <w:tcPr>
            <w:tcW w:w="2349" w:type="dxa"/>
          </w:tcPr>
          <w:p w14:paraId="64547DF6"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0.6 uL</w:t>
            </w:r>
          </w:p>
        </w:tc>
        <w:tc>
          <w:tcPr>
            <w:tcW w:w="2349" w:type="dxa"/>
          </w:tcPr>
          <w:p w14:paraId="187128C0" w14:textId="77777777" w:rsidR="005B38B6"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1.</w:t>
            </w:r>
            <w:r w:rsidR="00823839" w:rsidRPr="005B1CCB">
              <w:rPr>
                <w:rFonts w:ascii="Palatino Linotype" w:hAnsi="Palatino Linotype" w:cs="Times New Roman"/>
              </w:rPr>
              <w:t>5 uL</w:t>
            </w:r>
          </w:p>
        </w:tc>
        <w:tc>
          <w:tcPr>
            <w:tcW w:w="2349" w:type="dxa"/>
          </w:tcPr>
          <w:p w14:paraId="4835142F" w14:textId="77777777" w:rsidR="005B38B6" w:rsidRPr="005B1CCB" w:rsidRDefault="005B38B6" w:rsidP="0052183A">
            <w:pPr>
              <w:spacing w:line="360" w:lineRule="auto"/>
              <w:rPr>
                <w:rFonts w:ascii="Palatino Linotype" w:hAnsi="Palatino Linotype" w:cs="Times New Roman"/>
              </w:rPr>
            </w:pPr>
          </w:p>
        </w:tc>
      </w:tr>
      <w:tr w:rsidR="00225739" w:rsidRPr="005B1CCB" w14:paraId="48A32DFD" w14:textId="77777777" w:rsidTr="005B38B6">
        <w:tc>
          <w:tcPr>
            <w:tcW w:w="2348" w:type="dxa"/>
          </w:tcPr>
          <w:p w14:paraId="3136FBC0" w14:textId="77777777" w:rsidR="00225739"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50 mM EDTA</w:t>
            </w:r>
          </w:p>
        </w:tc>
        <w:tc>
          <w:tcPr>
            <w:tcW w:w="2349" w:type="dxa"/>
          </w:tcPr>
          <w:p w14:paraId="2564D509" w14:textId="77777777" w:rsidR="00225739"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0.5 – 1.0uL</w:t>
            </w:r>
          </w:p>
        </w:tc>
        <w:tc>
          <w:tcPr>
            <w:tcW w:w="2349" w:type="dxa"/>
          </w:tcPr>
          <w:p w14:paraId="284D7D68" w14:textId="77777777" w:rsidR="00225739" w:rsidRPr="005B1CCB" w:rsidRDefault="00823839" w:rsidP="0052183A">
            <w:pPr>
              <w:spacing w:line="360" w:lineRule="auto"/>
              <w:rPr>
                <w:rFonts w:ascii="Palatino Linotype" w:hAnsi="Palatino Linotype" w:cs="Times New Roman"/>
              </w:rPr>
            </w:pPr>
            <w:r w:rsidRPr="005B1CCB">
              <w:rPr>
                <w:rFonts w:ascii="Palatino Linotype" w:hAnsi="Palatino Linotype" w:cs="Times New Roman"/>
              </w:rPr>
              <w:t>1.25 – 2.5 uL</w:t>
            </w:r>
          </w:p>
        </w:tc>
        <w:tc>
          <w:tcPr>
            <w:tcW w:w="2349" w:type="dxa"/>
          </w:tcPr>
          <w:p w14:paraId="3FD0CF08" w14:textId="77777777" w:rsidR="00225739" w:rsidRPr="005B1CCB" w:rsidRDefault="00225739" w:rsidP="0052183A">
            <w:pPr>
              <w:spacing w:line="360" w:lineRule="auto"/>
              <w:rPr>
                <w:rFonts w:ascii="Palatino Linotype" w:hAnsi="Palatino Linotype" w:cs="Times New Roman"/>
              </w:rPr>
            </w:pPr>
          </w:p>
        </w:tc>
      </w:tr>
      <w:tr w:rsidR="00225739" w:rsidRPr="005B1CCB" w14:paraId="4B744C01" w14:textId="77777777" w:rsidTr="005B38B6">
        <w:tc>
          <w:tcPr>
            <w:tcW w:w="2348" w:type="dxa"/>
          </w:tcPr>
          <w:p w14:paraId="372812B6" w14:textId="77777777" w:rsidR="00225739"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DMSO</w:t>
            </w:r>
          </w:p>
        </w:tc>
        <w:tc>
          <w:tcPr>
            <w:tcW w:w="2349" w:type="dxa"/>
          </w:tcPr>
          <w:p w14:paraId="176294C1" w14:textId="77777777" w:rsidR="00225739" w:rsidRPr="005B1CCB" w:rsidRDefault="00225739" w:rsidP="0052183A">
            <w:pPr>
              <w:spacing w:line="360" w:lineRule="auto"/>
              <w:rPr>
                <w:rFonts w:ascii="Palatino Linotype" w:hAnsi="Palatino Linotype" w:cs="Times New Roman"/>
              </w:rPr>
            </w:pPr>
            <w:r w:rsidRPr="005B1CCB">
              <w:rPr>
                <w:rFonts w:ascii="Palatino Linotype" w:hAnsi="Palatino Linotype" w:cs="Times New Roman"/>
              </w:rPr>
              <w:t>1.0 uL</w:t>
            </w:r>
          </w:p>
        </w:tc>
        <w:tc>
          <w:tcPr>
            <w:tcW w:w="2349" w:type="dxa"/>
          </w:tcPr>
          <w:p w14:paraId="3BF17247" w14:textId="77777777" w:rsidR="00225739" w:rsidRPr="005B1CCB" w:rsidRDefault="00823839" w:rsidP="0052183A">
            <w:pPr>
              <w:spacing w:line="360" w:lineRule="auto"/>
              <w:rPr>
                <w:rFonts w:ascii="Palatino Linotype" w:hAnsi="Palatino Linotype" w:cs="Times New Roman"/>
              </w:rPr>
            </w:pPr>
            <w:r w:rsidRPr="005B1CCB">
              <w:rPr>
                <w:rFonts w:ascii="Palatino Linotype" w:hAnsi="Palatino Linotype" w:cs="Times New Roman"/>
              </w:rPr>
              <w:t>2.5 uL</w:t>
            </w:r>
          </w:p>
        </w:tc>
        <w:tc>
          <w:tcPr>
            <w:tcW w:w="2349" w:type="dxa"/>
          </w:tcPr>
          <w:p w14:paraId="38B9D02E" w14:textId="77777777" w:rsidR="00225739" w:rsidRPr="005B1CCB" w:rsidRDefault="00823839" w:rsidP="0052183A">
            <w:pPr>
              <w:spacing w:line="360" w:lineRule="auto"/>
              <w:rPr>
                <w:rFonts w:ascii="Palatino Linotype" w:hAnsi="Palatino Linotype" w:cs="Times New Roman"/>
              </w:rPr>
            </w:pPr>
            <w:r w:rsidRPr="005B1CCB">
              <w:rPr>
                <w:rFonts w:ascii="Palatino Linotype" w:hAnsi="Palatino Linotype" w:cs="Times New Roman"/>
              </w:rPr>
              <w:t>5%</w:t>
            </w:r>
          </w:p>
        </w:tc>
      </w:tr>
    </w:tbl>
    <w:p w14:paraId="47948D4B" w14:textId="77777777" w:rsidR="008D7E13" w:rsidRPr="005B1CCB" w:rsidRDefault="008D7E13" w:rsidP="0052183A">
      <w:pPr>
        <w:spacing w:line="360" w:lineRule="auto"/>
        <w:rPr>
          <w:rFonts w:ascii="Palatino Linotype" w:hAnsi="Palatino Linotype"/>
        </w:rPr>
      </w:pPr>
    </w:p>
    <w:p w14:paraId="28FD424D" w14:textId="4A1C7BFE" w:rsidR="002F1881" w:rsidRPr="005B1CCB" w:rsidRDefault="002F1881" w:rsidP="002F1881">
      <w:pPr>
        <w:pStyle w:val="Caption"/>
        <w:keepNext/>
        <w:jc w:val="center"/>
        <w:rPr>
          <w:sz w:val="22"/>
          <w:szCs w:val="22"/>
        </w:rPr>
      </w:pPr>
      <w:bookmarkStart w:id="90" w:name="_Toc84272329"/>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8</w:t>
      </w:r>
      <w:r w:rsidRPr="005B1CCB">
        <w:rPr>
          <w:sz w:val="22"/>
          <w:szCs w:val="22"/>
        </w:rPr>
        <w:fldChar w:fldCharType="end"/>
      </w:r>
      <w:r w:rsidRPr="005B1CCB">
        <w:rPr>
          <w:sz w:val="22"/>
          <w:szCs w:val="22"/>
        </w:rPr>
        <w:t>: Phusion PCR cycling protocol</w:t>
      </w:r>
      <w:bookmarkEnd w:id="90"/>
    </w:p>
    <w:tbl>
      <w:tblPr>
        <w:tblW w:w="0" w:type="auto"/>
        <w:tblLook w:val="04A0" w:firstRow="1" w:lastRow="0" w:firstColumn="1" w:lastColumn="0" w:noHBand="0" w:noVBand="1"/>
      </w:tblPr>
      <w:tblGrid>
        <w:gridCol w:w="1553"/>
        <w:gridCol w:w="1393"/>
        <w:gridCol w:w="1378"/>
        <w:gridCol w:w="1393"/>
        <w:gridCol w:w="1378"/>
        <w:gridCol w:w="1409"/>
      </w:tblGrid>
      <w:tr w:rsidR="008D7E13" w:rsidRPr="005B1CCB" w14:paraId="52232A96" w14:textId="77777777" w:rsidTr="00720703">
        <w:trPr>
          <w:trHeight w:val="392"/>
        </w:trPr>
        <w:tc>
          <w:tcPr>
            <w:tcW w:w="1565" w:type="dxa"/>
            <w:vMerge w:val="restart"/>
          </w:tcPr>
          <w:p w14:paraId="16E54576" w14:textId="77777777" w:rsidR="008D7E13" w:rsidRPr="005B1CCB" w:rsidRDefault="008D7E13" w:rsidP="0052183A">
            <w:pPr>
              <w:spacing w:line="360" w:lineRule="auto"/>
              <w:rPr>
                <w:rFonts w:ascii="Palatino Linotype" w:hAnsi="Palatino Linotype" w:cs="Times New Roman"/>
              </w:rPr>
            </w:pPr>
            <w:r w:rsidRPr="005B1CCB">
              <w:rPr>
                <w:rFonts w:ascii="Palatino Linotype" w:hAnsi="Palatino Linotype" w:cs="Times New Roman"/>
              </w:rPr>
              <w:t>Cycle step</w:t>
            </w:r>
          </w:p>
        </w:tc>
        <w:tc>
          <w:tcPr>
            <w:tcW w:w="3132" w:type="dxa"/>
            <w:gridSpan w:val="2"/>
          </w:tcPr>
          <w:p w14:paraId="74A69043" w14:textId="77777777" w:rsidR="008D7E13" w:rsidRPr="005B1CCB" w:rsidRDefault="008D7E13" w:rsidP="0052183A">
            <w:pPr>
              <w:spacing w:line="360" w:lineRule="auto"/>
              <w:rPr>
                <w:rFonts w:ascii="Palatino Linotype" w:hAnsi="Palatino Linotype" w:cs="Times New Roman"/>
              </w:rPr>
            </w:pPr>
            <w:r w:rsidRPr="005B1CCB">
              <w:rPr>
                <w:rFonts w:ascii="Palatino Linotype" w:hAnsi="Palatino Linotype" w:cs="Times New Roman"/>
              </w:rPr>
              <w:t>2-step protocol</w:t>
            </w:r>
          </w:p>
        </w:tc>
        <w:tc>
          <w:tcPr>
            <w:tcW w:w="3132" w:type="dxa"/>
            <w:gridSpan w:val="2"/>
          </w:tcPr>
          <w:p w14:paraId="34F956B9" w14:textId="77777777" w:rsidR="008D7E13" w:rsidRPr="005B1CCB" w:rsidRDefault="008D7E13" w:rsidP="0052183A">
            <w:pPr>
              <w:spacing w:line="360" w:lineRule="auto"/>
              <w:rPr>
                <w:rFonts w:ascii="Palatino Linotype" w:hAnsi="Palatino Linotype" w:cs="Times New Roman"/>
              </w:rPr>
            </w:pPr>
            <w:r w:rsidRPr="005B1CCB">
              <w:rPr>
                <w:rFonts w:ascii="Palatino Linotype" w:hAnsi="Palatino Linotype" w:cs="Times New Roman"/>
              </w:rPr>
              <w:t>3-step protocol</w:t>
            </w:r>
          </w:p>
        </w:tc>
        <w:tc>
          <w:tcPr>
            <w:tcW w:w="1566" w:type="dxa"/>
            <w:vMerge w:val="restart"/>
          </w:tcPr>
          <w:p w14:paraId="5C80BEC3" w14:textId="77777777" w:rsidR="008D7E13" w:rsidRPr="005B1CCB" w:rsidRDefault="00827369" w:rsidP="0052183A">
            <w:pPr>
              <w:spacing w:line="360" w:lineRule="auto"/>
              <w:rPr>
                <w:rFonts w:ascii="Palatino Linotype" w:hAnsi="Palatino Linotype" w:cs="Times New Roman"/>
              </w:rPr>
            </w:pPr>
            <w:r w:rsidRPr="005B1CCB">
              <w:rPr>
                <w:rFonts w:ascii="Palatino Linotype" w:hAnsi="Palatino Linotype" w:cs="Times New Roman"/>
              </w:rPr>
              <w:t>Cycles</w:t>
            </w:r>
          </w:p>
        </w:tc>
      </w:tr>
      <w:tr w:rsidR="008D7E13" w:rsidRPr="005B1CCB" w14:paraId="68E0C14E" w14:textId="77777777" w:rsidTr="008D7E13">
        <w:trPr>
          <w:trHeight w:val="393"/>
        </w:trPr>
        <w:tc>
          <w:tcPr>
            <w:tcW w:w="1565" w:type="dxa"/>
            <w:vMerge/>
          </w:tcPr>
          <w:p w14:paraId="2A259DFA" w14:textId="77777777" w:rsidR="008D7E13" w:rsidRPr="005B1CCB" w:rsidRDefault="008D7E13" w:rsidP="0052183A">
            <w:pPr>
              <w:spacing w:line="360" w:lineRule="auto"/>
              <w:rPr>
                <w:rFonts w:ascii="Palatino Linotype" w:hAnsi="Palatino Linotype" w:cs="Times New Roman"/>
              </w:rPr>
            </w:pPr>
          </w:p>
        </w:tc>
        <w:tc>
          <w:tcPr>
            <w:tcW w:w="1566" w:type="dxa"/>
          </w:tcPr>
          <w:p w14:paraId="002A3F5D" w14:textId="77777777" w:rsidR="008D7E13" w:rsidRPr="005B1CCB" w:rsidRDefault="008D7E13" w:rsidP="0052183A">
            <w:pPr>
              <w:spacing w:line="360" w:lineRule="auto"/>
              <w:rPr>
                <w:rFonts w:ascii="Palatino Linotype" w:hAnsi="Palatino Linotype" w:cs="Times New Roman"/>
              </w:rPr>
            </w:pPr>
            <w:r w:rsidRPr="005B1CCB">
              <w:rPr>
                <w:rFonts w:ascii="Palatino Linotype" w:hAnsi="Palatino Linotype" w:cs="Times New Roman"/>
              </w:rPr>
              <w:t>Temp</w:t>
            </w:r>
          </w:p>
        </w:tc>
        <w:tc>
          <w:tcPr>
            <w:tcW w:w="1566" w:type="dxa"/>
          </w:tcPr>
          <w:p w14:paraId="6FCD8775" w14:textId="77777777" w:rsidR="008D7E13" w:rsidRPr="005B1CCB" w:rsidRDefault="008D7E13" w:rsidP="0052183A">
            <w:pPr>
              <w:spacing w:line="360" w:lineRule="auto"/>
              <w:rPr>
                <w:rFonts w:ascii="Palatino Linotype" w:hAnsi="Palatino Linotype" w:cs="Times New Roman"/>
              </w:rPr>
            </w:pPr>
            <w:r w:rsidRPr="005B1CCB">
              <w:rPr>
                <w:rFonts w:ascii="Palatino Linotype" w:hAnsi="Palatino Linotype" w:cs="Times New Roman"/>
              </w:rPr>
              <w:t>Time</w:t>
            </w:r>
          </w:p>
        </w:tc>
        <w:tc>
          <w:tcPr>
            <w:tcW w:w="1566" w:type="dxa"/>
          </w:tcPr>
          <w:p w14:paraId="3AD287F2" w14:textId="77777777" w:rsidR="008D7E13" w:rsidRPr="005B1CCB" w:rsidRDefault="00827369" w:rsidP="0052183A">
            <w:pPr>
              <w:spacing w:line="360" w:lineRule="auto"/>
              <w:rPr>
                <w:rFonts w:ascii="Palatino Linotype" w:hAnsi="Palatino Linotype" w:cs="Times New Roman"/>
              </w:rPr>
            </w:pPr>
            <w:r w:rsidRPr="005B1CCB">
              <w:rPr>
                <w:rFonts w:ascii="Palatino Linotype" w:hAnsi="Palatino Linotype" w:cs="Times New Roman"/>
              </w:rPr>
              <w:t>Temp</w:t>
            </w:r>
          </w:p>
        </w:tc>
        <w:tc>
          <w:tcPr>
            <w:tcW w:w="1566" w:type="dxa"/>
          </w:tcPr>
          <w:p w14:paraId="39B61B1E" w14:textId="77777777" w:rsidR="008D7E13" w:rsidRPr="005B1CCB" w:rsidRDefault="00827369" w:rsidP="0052183A">
            <w:pPr>
              <w:spacing w:line="360" w:lineRule="auto"/>
              <w:rPr>
                <w:rFonts w:ascii="Palatino Linotype" w:hAnsi="Palatino Linotype" w:cs="Times New Roman"/>
              </w:rPr>
            </w:pPr>
            <w:r w:rsidRPr="005B1CCB">
              <w:rPr>
                <w:rFonts w:ascii="Palatino Linotype" w:hAnsi="Palatino Linotype" w:cs="Times New Roman"/>
              </w:rPr>
              <w:t>Time</w:t>
            </w:r>
          </w:p>
        </w:tc>
        <w:tc>
          <w:tcPr>
            <w:tcW w:w="1566" w:type="dxa"/>
            <w:vMerge/>
          </w:tcPr>
          <w:p w14:paraId="1A3B1D53" w14:textId="77777777" w:rsidR="008D7E13" w:rsidRPr="005B1CCB" w:rsidRDefault="008D7E13" w:rsidP="0052183A">
            <w:pPr>
              <w:spacing w:line="360" w:lineRule="auto"/>
              <w:rPr>
                <w:rFonts w:ascii="Palatino Linotype" w:hAnsi="Palatino Linotype" w:cs="Times New Roman"/>
              </w:rPr>
            </w:pPr>
          </w:p>
        </w:tc>
      </w:tr>
      <w:tr w:rsidR="008D7E13" w:rsidRPr="005B1CCB" w14:paraId="500A7464" w14:textId="77777777" w:rsidTr="008D7E13">
        <w:tc>
          <w:tcPr>
            <w:tcW w:w="1565" w:type="dxa"/>
          </w:tcPr>
          <w:p w14:paraId="1164CA78" w14:textId="77777777" w:rsidR="008D7E13" w:rsidRPr="005B1CCB" w:rsidRDefault="00176BC4" w:rsidP="0052183A">
            <w:pPr>
              <w:spacing w:line="360" w:lineRule="auto"/>
              <w:rPr>
                <w:rFonts w:ascii="Palatino Linotype" w:hAnsi="Palatino Linotype" w:cs="Times New Roman"/>
              </w:rPr>
            </w:pPr>
            <w:r w:rsidRPr="005B1CCB">
              <w:rPr>
                <w:rFonts w:ascii="Palatino Linotype" w:hAnsi="Palatino Linotype" w:cs="Times New Roman"/>
              </w:rPr>
              <w:t>Lysis of cells</w:t>
            </w:r>
          </w:p>
        </w:tc>
        <w:tc>
          <w:tcPr>
            <w:tcW w:w="1566" w:type="dxa"/>
          </w:tcPr>
          <w:p w14:paraId="62B81E1B" w14:textId="77777777" w:rsidR="008D7E13" w:rsidRPr="005B1CCB" w:rsidRDefault="00176BC4" w:rsidP="0052183A">
            <w:pPr>
              <w:spacing w:line="360" w:lineRule="auto"/>
              <w:rPr>
                <w:rFonts w:ascii="Palatino Linotype" w:hAnsi="Palatino Linotype" w:cs="Times New Roman"/>
              </w:rPr>
            </w:pPr>
            <w:r w:rsidRPr="005B1CCB">
              <w:rPr>
                <w:rFonts w:ascii="Palatino Linotype" w:hAnsi="Palatino Linotype" w:cs="Times New Roman"/>
              </w:rPr>
              <w:t xml:space="preserve">98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4C67DAB5" w14:textId="77777777" w:rsidR="008D7E13" w:rsidRPr="005B1CCB" w:rsidRDefault="00176BC4" w:rsidP="0052183A">
            <w:pPr>
              <w:spacing w:line="360" w:lineRule="auto"/>
              <w:rPr>
                <w:rFonts w:ascii="Palatino Linotype" w:hAnsi="Palatino Linotype" w:cs="Times New Roman"/>
              </w:rPr>
            </w:pPr>
            <w:r w:rsidRPr="005B1CCB">
              <w:rPr>
                <w:rFonts w:ascii="Palatino Linotype" w:hAnsi="Palatino Linotype" w:cs="Times New Roman"/>
              </w:rPr>
              <w:t>5 min</w:t>
            </w:r>
          </w:p>
        </w:tc>
        <w:tc>
          <w:tcPr>
            <w:tcW w:w="1566" w:type="dxa"/>
          </w:tcPr>
          <w:p w14:paraId="473E36FB" w14:textId="77777777" w:rsidR="008D7E13" w:rsidRPr="005B1CCB" w:rsidRDefault="00176BC4" w:rsidP="0052183A">
            <w:pPr>
              <w:spacing w:line="360" w:lineRule="auto"/>
              <w:rPr>
                <w:rFonts w:ascii="Palatino Linotype" w:hAnsi="Palatino Linotype" w:cs="Times New Roman"/>
              </w:rPr>
            </w:pPr>
            <w:r w:rsidRPr="005B1CCB">
              <w:rPr>
                <w:rFonts w:ascii="Palatino Linotype" w:hAnsi="Palatino Linotype" w:cs="Times New Roman"/>
              </w:rPr>
              <w:t xml:space="preserve">98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38D0243C" w14:textId="77777777" w:rsidR="008D7E13" w:rsidRPr="005B1CCB" w:rsidRDefault="00176BC4" w:rsidP="0052183A">
            <w:pPr>
              <w:spacing w:line="360" w:lineRule="auto"/>
              <w:rPr>
                <w:rFonts w:ascii="Palatino Linotype" w:hAnsi="Palatino Linotype" w:cs="Times New Roman"/>
              </w:rPr>
            </w:pPr>
            <w:r w:rsidRPr="005B1CCB">
              <w:rPr>
                <w:rFonts w:ascii="Palatino Linotype" w:hAnsi="Palatino Linotype" w:cs="Times New Roman"/>
              </w:rPr>
              <w:t>5 min</w:t>
            </w:r>
          </w:p>
        </w:tc>
        <w:tc>
          <w:tcPr>
            <w:tcW w:w="1566" w:type="dxa"/>
          </w:tcPr>
          <w:p w14:paraId="240ADE9A" w14:textId="77777777" w:rsidR="008D7E13" w:rsidRPr="005B1CCB" w:rsidRDefault="00176BC4" w:rsidP="0052183A">
            <w:pPr>
              <w:spacing w:line="360" w:lineRule="auto"/>
              <w:rPr>
                <w:rFonts w:ascii="Palatino Linotype" w:hAnsi="Palatino Linotype" w:cs="Times New Roman"/>
              </w:rPr>
            </w:pPr>
            <w:r w:rsidRPr="005B1CCB">
              <w:rPr>
                <w:rFonts w:ascii="Palatino Linotype" w:hAnsi="Palatino Linotype" w:cs="Times New Roman"/>
              </w:rPr>
              <w:t>1</w:t>
            </w:r>
          </w:p>
        </w:tc>
      </w:tr>
      <w:tr w:rsidR="006F76B9" w:rsidRPr="005B1CCB" w14:paraId="69414D1D" w14:textId="77777777" w:rsidTr="006F76B9">
        <w:trPr>
          <w:trHeight w:val="337"/>
        </w:trPr>
        <w:tc>
          <w:tcPr>
            <w:tcW w:w="1565" w:type="dxa"/>
          </w:tcPr>
          <w:p w14:paraId="3C1FEDE1"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 xml:space="preserve">Denaturation </w:t>
            </w:r>
          </w:p>
        </w:tc>
        <w:tc>
          <w:tcPr>
            <w:tcW w:w="1566" w:type="dxa"/>
          </w:tcPr>
          <w:p w14:paraId="2FF5AA81"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 xml:space="preserve">98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7E9AE190"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1 s</w:t>
            </w:r>
          </w:p>
        </w:tc>
        <w:tc>
          <w:tcPr>
            <w:tcW w:w="1566" w:type="dxa"/>
          </w:tcPr>
          <w:p w14:paraId="16CC5530"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 xml:space="preserve">98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37ECE04A"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1 s</w:t>
            </w:r>
          </w:p>
        </w:tc>
        <w:tc>
          <w:tcPr>
            <w:tcW w:w="1566" w:type="dxa"/>
            <w:vMerge w:val="restart"/>
          </w:tcPr>
          <w:p w14:paraId="15654629"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35-40</w:t>
            </w:r>
          </w:p>
        </w:tc>
      </w:tr>
      <w:tr w:rsidR="006F76B9" w:rsidRPr="005B1CCB" w14:paraId="6CBE4B6D" w14:textId="77777777" w:rsidTr="006F76B9">
        <w:trPr>
          <w:trHeight w:val="336"/>
        </w:trPr>
        <w:tc>
          <w:tcPr>
            <w:tcW w:w="1565" w:type="dxa"/>
          </w:tcPr>
          <w:p w14:paraId="0938308C" w14:textId="77777777" w:rsidR="006F76B9" w:rsidRPr="005B1CCB" w:rsidRDefault="006F76B9" w:rsidP="006F76B9">
            <w:pPr>
              <w:spacing w:line="360" w:lineRule="auto"/>
              <w:rPr>
                <w:rFonts w:ascii="Palatino Linotype" w:hAnsi="Palatino Linotype" w:cs="Times New Roman"/>
              </w:rPr>
            </w:pPr>
            <w:r w:rsidRPr="005B1CCB">
              <w:rPr>
                <w:rFonts w:ascii="Palatino Linotype" w:hAnsi="Palatino Linotype" w:cs="Times New Roman"/>
              </w:rPr>
              <w:t>Annealing</w:t>
            </w:r>
          </w:p>
        </w:tc>
        <w:tc>
          <w:tcPr>
            <w:tcW w:w="1566" w:type="dxa"/>
          </w:tcPr>
          <w:p w14:paraId="4BAB2A9F" w14:textId="77777777" w:rsidR="006F76B9" w:rsidRPr="005B1CCB" w:rsidRDefault="006F76B9" w:rsidP="0052183A">
            <w:pPr>
              <w:spacing w:line="360" w:lineRule="auto"/>
              <w:rPr>
                <w:rFonts w:ascii="Palatino Linotype" w:hAnsi="Palatino Linotype" w:cs="Times New Roman"/>
              </w:rPr>
            </w:pPr>
          </w:p>
        </w:tc>
        <w:tc>
          <w:tcPr>
            <w:tcW w:w="1566" w:type="dxa"/>
          </w:tcPr>
          <w:p w14:paraId="008F05B5" w14:textId="77777777" w:rsidR="006F76B9" w:rsidRPr="005B1CCB" w:rsidRDefault="006F76B9" w:rsidP="0052183A">
            <w:pPr>
              <w:spacing w:line="360" w:lineRule="auto"/>
              <w:rPr>
                <w:rFonts w:ascii="Palatino Linotype" w:hAnsi="Palatino Linotype" w:cs="Times New Roman"/>
              </w:rPr>
            </w:pPr>
          </w:p>
        </w:tc>
        <w:tc>
          <w:tcPr>
            <w:tcW w:w="1566" w:type="dxa"/>
          </w:tcPr>
          <w:p w14:paraId="09DAB278" w14:textId="77777777" w:rsidR="006F76B9" w:rsidRPr="005B1CCB" w:rsidRDefault="005C3A6E" w:rsidP="0052183A">
            <w:pPr>
              <w:spacing w:line="360" w:lineRule="auto"/>
              <w:rPr>
                <w:rFonts w:ascii="Palatino Linotype" w:hAnsi="Palatino Linotype" w:cs="Times New Roman"/>
              </w:rPr>
            </w:pPr>
            <w:r w:rsidRPr="005B1CCB">
              <w:rPr>
                <w:rFonts w:ascii="Palatino Linotype" w:hAnsi="Palatino Linotype" w:cs="Times New Roman"/>
              </w:rPr>
              <w:t xml:space="preserve"> X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25FD6489"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5 s</w:t>
            </w:r>
          </w:p>
        </w:tc>
        <w:tc>
          <w:tcPr>
            <w:tcW w:w="1566" w:type="dxa"/>
            <w:vMerge/>
          </w:tcPr>
          <w:p w14:paraId="0506B0EE" w14:textId="77777777" w:rsidR="006F76B9" w:rsidRPr="005B1CCB" w:rsidRDefault="006F76B9" w:rsidP="0052183A">
            <w:pPr>
              <w:spacing w:line="360" w:lineRule="auto"/>
              <w:rPr>
                <w:rFonts w:ascii="Palatino Linotype" w:hAnsi="Palatino Linotype" w:cs="Times New Roman"/>
              </w:rPr>
            </w:pPr>
          </w:p>
        </w:tc>
      </w:tr>
      <w:tr w:rsidR="006F76B9" w:rsidRPr="005B1CCB" w14:paraId="2FEF2F5E" w14:textId="77777777" w:rsidTr="008D7E13">
        <w:trPr>
          <w:trHeight w:val="505"/>
        </w:trPr>
        <w:tc>
          <w:tcPr>
            <w:tcW w:w="1565" w:type="dxa"/>
          </w:tcPr>
          <w:p w14:paraId="5B607631" w14:textId="77777777" w:rsidR="006F76B9" w:rsidRPr="005B1CCB" w:rsidRDefault="006F76B9" w:rsidP="006F76B9">
            <w:pPr>
              <w:spacing w:line="360" w:lineRule="auto"/>
              <w:rPr>
                <w:rFonts w:ascii="Palatino Linotype" w:hAnsi="Palatino Linotype" w:cs="Times New Roman"/>
              </w:rPr>
            </w:pPr>
            <w:r w:rsidRPr="005B1CCB">
              <w:rPr>
                <w:rFonts w:ascii="Palatino Linotype" w:hAnsi="Palatino Linotype" w:cs="Times New Roman"/>
              </w:rPr>
              <w:t>Extension</w:t>
            </w:r>
          </w:p>
        </w:tc>
        <w:tc>
          <w:tcPr>
            <w:tcW w:w="1566" w:type="dxa"/>
          </w:tcPr>
          <w:p w14:paraId="1EA31317"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 xml:space="preserve">72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7120124C"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15 - 30 s</w:t>
            </w:r>
          </w:p>
        </w:tc>
        <w:tc>
          <w:tcPr>
            <w:tcW w:w="1566" w:type="dxa"/>
          </w:tcPr>
          <w:p w14:paraId="766AEF9B"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 xml:space="preserve">72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7F771334" w14:textId="77777777" w:rsidR="006F76B9"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15 – 30 s</w:t>
            </w:r>
          </w:p>
        </w:tc>
        <w:tc>
          <w:tcPr>
            <w:tcW w:w="1566" w:type="dxa"/>
            <w:vMerge/>
          </w:tcPr>
          <w:p w14:paraId="1628A283" w14:textId="77777777" w:rsidR="006F76B9" w:rsidRPr="005B1CCB" w:rsidRDefault="006F76B9" w:rsidP="0052183A">
            <w:pPr>
              <w:spacing w:line="360" w:lineRule="auto"/>
              <w:rPr>
                <w:rFonts w:ascii="Palatino Linotype" w:hAnsi="Palatino Linotype" w:cs="Times New Roman"/>
              </w:rPr>
            </w:pPr>
          </w:p>
        </w:tc>
      </w:tr>
      <w:tr w:rsidR="008D7E13" w:rsidRPr="005B1CCB" w14:paraId="05D3FC7F" w14:textId="77777777" w:rsidTr="008D7E13">
        <w:tc>
          <w:tcPr>
            <w:tcW w:w="1565" w:type="dxa"/>
          </w:tcPr>
          <w:p w14:paraId="05F8F056" w14:textId="77777777" w:rsidR="008D7E13" w:rsidRPr="005B1CCB" w:rsidRDefault="00254982" w:rsidP="0052183A">
            <w:pPr>
              <w:spacing w:line="360" w:lineRule="auto"/>
              <w:rPr>
                <w:rFonts w:ascii="Palatino Linotype" w:hAnsi="Palatino Linotype" w:cs="Times New Roman"/>
              </w:rPr>
            </w:pPr>
            <w:r w:rsidRPr="005B1CCB">
              <w:rPr>
                <w:rFonts w:ascii="Palatino Linotype" w:hAnsi="Palatino Linotype" w:cs="Times New Roman"/>
              </w:rPr>
              <w:t>Final Extension</w:t>
            </w:r>
          </w:p>
        </w:tc>
        <w:tc>
          <w:tcPr>
            <w:tcW w:w="1566" w:type="dxa"/>
          </w:tcPr>
          <w:p w14:paraId="3A28B5C9" w14:textId="77777777" w:rsidR="008D7E13" w:rsidRPr="005B1CCB" w:rsidRDefault="006F76B9" w:rsidP="006F76B9">
            <w:pPr>
              <w:spacing w:line="360" w:lineRule="auto"/>
              <w:jc w:val="center"/>
              <w:rPr>
                <w:rFonts w:ascii="Palatino Linotype" w:hAnsi="Palatino Linotype" w:cs="Times New Roman"/>
              </w:rPr>
            </w:pPr>
            <w:r w:rsidRPr="005B1CCB">
              <w:rPr>
                <w:rFonts w:ascii="Palatino Linotype" w:hAnsi="Palatino Linotype" w:cs="Times New Roman"/>
              </w:rPr>
              <w:t xml:space="preserve">72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46D2AFBE" w14:textId="77777777" w:rsidR="008D7E13"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1</w:t>
            </w:r>
            <w:r w:rsidR="00943CF9" w:rsidRPr="005B1CCB">
              <w:rPr>
                <w:rFonts w:ascii="Palatino Linotype" w:hAnsi="Palatino Linotype" w:cs="Times New Roman"/>
              </w:rPr>
              <w:t xml:space="preserve"> </w:t>
            </w:r>
            <w:r w:rsidRPr="005B1CCB">
              <w:rPr>
                <w:rFonts w:ascii="Palatino Linotype" w:hAnsi="Palatino Linotype" w:cs="Times New Roman"/>
              </w:rPr>
              <w:t>min hold</w:t>
            </w:r>
          </w:p>
        </w:tc>
        <w:tc>
          <w:tcPr>
            <w:tcW w:w="1566" w:type="dxa"/>
          </w:tcPr>
          <w:p w14:paraId="1BACF00E" w14:textId="77777777" w:rsidR="008D7E13"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 xml:space="preserve">72 </w:t>
            </w:r>
            <w:r w:rsidRPr="005B1CCB">
              <w:rPr>
                <w:rFonts w:ascii="Palatino Linotype" w:hAnsi="Palatino Linotype" w:cs="Times New Roman"/>
                <w:vertAlign w:val="superscript"/>
              </w:rPr>
              <w:t>O</w:t>
            </w:r>
            <w:r w:rsidRPr="005B1CCB">
              <w:rPr>
                <w:rFonts w:ascii="Palatino Linotype" w:hAnsi="Palatino Linotype" w:cs="Times New Roman"/>
              </w:rPr>
              <w:t>C</w:t>
            </w:r>
          </w:p>
        </w:tc>
        <w:tc>
          <w:tcPr>
            <w:tcW w:w="1566" w:type="dxa"/>
          </w:tcPr>
          <w:p w14:paraId="54820F5E" w14:textId="77777777" w:rsidR="008D7E13"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1 min hold</w:t>
            </w:r>
          </w:p>
        </w:tc>
        <w:tc>
          <w:tcPr>
            <w:tcW w:w="1566" w:type="dxa"/>
          </w:tcPr>
          <w:p w14:paraId="1C947187" w14:textId="77777777" w:rsidR="008D7E13" w:rsidRPr="005B1CCB" w:rsidRDefault="006F76B9" w:rsidP="0052183A">
            <w:pPr>
              <w:spacing w:line="360" w:lineRule="auto"/>
              <w:rPr>
                <w:rFonts w:ascii="Palatino Linotype" w:hAnsi="Palatino Linotype" w:cs="Times New Roman"/>
              </w:rPr>
            </w:pPr>
            <w:r w:rsidRPr="005B1CCB">
              <w:rPr>
                <w:rFonts w:ascii="Palatino Linotype" w:hAnsi="Palatino Linotype" w:cs="Times New Roman"/>
              </w:rPr>
              <w:t>1</w:t>
            </w:r>
          </w:p>
        </w:tc>
      </w:tr>
    </w:tbl>
    <w:p w14:paraId="308A4D4F" w14:textId="77777777" w:rsidR="00823839" w:rsidRPr="005B1CCB" w:rsidRDefault="00823839" w:rsidP="0052183A">
      <w:pPr>
        <w:spacing w:line="360" w:lineRule="auto"/>
        <w:rPr>
          <w:rFonts w:ascii="Palatino Linotype" w:hAnsi="Palatino Linotype"/>
        </w:rPr>
      </w:pPr>
    </w:p>
    <w:p w14:paraId="44C499E1" w14:textId="77777777" w:rsidR="005F44F5" w:rsidRPr="005B1CCB" w:rsidRDefault="005F44F5" w:rsidP="0052183A">
      <w:pPr>
        <w:spacing w:line="360" w:lineRule="auto"/>
        <w:rPr>
          <w:rFonts w:ascii="Palatino Linotype" w:hAnsi="Palatino Linotype"/>
        </w:rPr>
      </w:pPr>
    </w:p>
    <w:p w14:paraId="45501FD5" w14:textId="77777777" w:rsidR="006F1E08" w:rsidRPr="005B1CCB" w:rsidRDefault="006F1E08" w:rsidP="00D71969">
      <w:pPr>
        <w:pStyle w:val="Heading3"/>
      </w:pPr>
      <w:bookmarkStart w:id="91" w:name="_Toc84528082"/>
      <w:r w:rsidRPr="005B1CCB">
        <w:t>Gel electrophoresis</w:t>
      </w:r>
      <w:bookmarkEnd w:id="91"/>
    </w:p>
    <w:p w14:paraId="2DE21914" w14:textId="299499B1" w:rsidR="00665B97" w:rsidRPr="005B1CCB" w:rsidRDefault="00E57A4A" w:rsidP="00B6617C">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6C29B5" w:rsidRPr="005B1CCB">
        <w:rPr>
          <w:rFonts w:ascii="Palatino Linotype" w:hAnsi="Palatino Linotype"/>
          <w:sz w:val="24"/>
          <w:szCs w:val="24"/>
          <w:lang w:bidi="en-US"/>
        </w:rPr>
        <w:t xml:space="preserve">This technique is used to </w:t>
      </w:r>
      <w:r w:rsidR="006C29B5" w:rsidRPr="00101B10">
        <w:rPr>
          <w:rFonts w:ascii="Palatino Linotype" w:hAnsi="Palatino Linotype"/>
          <w:sz w:val="24"/>
          <w:szCs w:val="24"/>
          <w:lang w:bidi="en-US"/>
        </w:rPr>
        <w:t xml:space="preserve">separate </w:t>
      </w:r>
      <w:r w:rsidR="00E5541F" w:rsidRPr="00101B10">
        <w:rPr>
          <w:rFonts w:ascii="Palatino Linotype" w:hAnsi="Palatino Linotype"/>
          <w:sz w:val="24"/>
          <w:szCs w:val="24"/>
          <w:lang w:bidi="en-US"/>
        </w:rPr>
        <w:t xml:space="preserve">protein, </w:t>
      </w:r>
      <w:r w:rsidR="006C29B5" w:rsidRPr="00101B10">
        <w:rPr>
          <w:rFonts w:ascii="Palatino Linotype" w:hAnsi="Palatino Linotype"/>
          <w:sz w:val="24"/>
          <w:szCs w:val="24"/>
          <w:lang w:bidi="en-US"/>
        </w:rPr>
        <w:t xml:space="preserve">DNA </w:t>
      </w:r>
      <w:r w:rsidR="00E5541F" w:rsidRPr="00101B10">
        <w:rPr>
          <w:rFonts w:ascii="Palatino Linotype" w:hAnsi="Palatino Linotype"/>
          <w:sz w:val="24"/>
          <w:szCs w:val="24"/>
          <w:lang w:bidi="en-US"/>
        </w:rPr>
        <w:t xml:space="preserve">and RNA </w:t>
      </w:r>
      <w:r w:rsidR="006C29B5" w:rsidRPr="00101B10">
        <w:rPr>
          <w:rFonts w:ascii="Palatino Linotype" w:hAnsi="Palatino Linotype"/>
          <w:sz w:val="24"/>
          <w:szCs w:val="24"/>
          <w:lang w:bidi="en-US"/>
        </w:rPr>
        <w:t>fragments according to their size</w:t>
      </w:r>
      <w:r w:rsidR="006C29B5" w:rsidRPr="005B1CCB">
        <w:rPr>
          <w:rFonts w:ascii="Palatino Linotype" w:hAnsi="Palatino Linotype"/>
          <w:sz w:val="24"/>
          <w:szCs w:val="24"/>
          <w:lang w:bidi="en-US"/>
        </w:rPr>
        <w:t>.</w:t>
      </w:r>
      <w:r w:rsidR="0083066A" w:rsidRPr="005B1CCB">
        <w:rPr>
          <w:rFonts w:ascii="Palatino Linotype" w:hAnsi="Palatino Linotype"/>
          <w:sz w:val="24"/>
          <w:szCs w:val="24"/>
          <w:lang w:bidi="en-US"/>
        </w:rPr>
        <w:t xml:space="preserve"> </w:t>
      </w:r>
      <w:r w:rsidR="00E5541F" w:rsidRPr="005B1CCB">
        <w:rPr>
          <w:rFonts w:ascii="Palatino Linotype" w:hAnsi="Palatino Linotype"/>
          <w:sz w:val="24"/>
          <w:szCs w:val="24"/>
          <w:lang w:bidi="en-US"/>
        </w:rPr>
        <w:t xml:space="preserve">The gel electrophoresis system </w:t>
      </w:r>
      <w:r w:rsidR="00690AE9" w:rsidRPr="005B1CCB">
        <w:rPr>
          <w:rFonts w:ascii="Palatino Linotype" w:hAnsi="Palatino Linotype"/>
          <w:sz w:val="24"/>
          <w:szCs w:val="24"/>
          <w:lang w:bidi="en-US"/>
        </w:rPr>
        <w:t>(Figure 1</w:t>
      </w:r>
      <w:r w:rsidR="005F44F5" w:rsidRPr="005B1CCB">
        <w:rPr>
          <w:rFonts w:ascii="Palatino Linotype" w:hAnsi="Palatino Linotype"/>
          <w:sz w:val="24"/>
          <w:szCs w:val="24"/>
          <w:lang w:bidi="en-US"/>
        </w:rPr>
        <w:t>6</w:t>
      </w:r>
      <w:r w:rsidR="00690AE9" w:rsidRPr="005B1CCB">
        <w:rPr>
          <w:rFonts w:ascii="Palatino Linotype" w:hAnsi="Palatino Linotype"/>
          <w:sz w:val="24"/>
          <w:szCs w:val="24"/>
          <w:lang w:bidi="en-US"/>
        </w:rPr>
        <w:t xml:space="preserve">) </w:t>
      </w:r>
      <w:r w:rsidR="00E5541F" w:rsidRPr="005B1CCB">
        <w:rPr>
          <w:rFonts w:ascii="Palatino Linotype" w:hAnsi="Palatino Linotype"/>
          <w:sz w:val="24"/>
          <w:szCs w:val="24"/>
          <w:lang w:bidi="en-US"/>
        </w:rPr>
        <w:t xml:space="preserve">is made up of a platform to hold the gel, electrodes positioned on opposite sides of the chamber that holds the buffer, and a power supply that connects to the positive and negative electrodes. </w:t>
      </w:r>
      <w:r w:rsidR="00BF4BC1" w:rsidRPr="005B1CCB">
        <w:rPr>
          <w:rFonts w:ascii="Palatino Linotype" w:hAnsi="Palatino Linotype"/>
          <w:sz w:val="24"/>
          <w:szCs w:val="24"/>
          <w:lang w:bidi="en-US"/>
        </w:rPr>
        <w:t xml:space="preserve">This gel is submerged in a buffer containing ions </w:t>
      </w:r>
      <w:r w:rsidR="00BD461C" w:rsidRPr="005B1CCB">
        <w:rPr>
          <w:rFonts w:ascii="Palatino Linotype" w:hAnsi="Palatino Linotype"/>
          <w:sz w:val="24"/>
          <w:szCs w:val="24"/>
          <w:lang w:bidi="en-US"/>
        </w:rPr>
        <w:t>not only to buffer the system but ensure it</w:t>
      </w:r>
      <w:r w:rsidR="00BF4BC1" w:rsidRPr="005B1CCB">
        <w:rPr>
          <w:rFonts w:ascii="Palatino Linotype" w:hAnsi="Palatino Linotype"/>
          <w:sz w:val="24"/>
          <w:szCs w:val="24"/>
          <w:lang w:bidi="en-US"/>
        </w:rPr>
        <w:t xml:space="preserve"> is a good conductor of electric current. </w:t>
      </w:r>
      <w:r w:rsidR="00E2368B" w:rsidRPr="005B1CCB">
        <w:rPr>
          <w:rFonts w:ascii="Palatino Linotype" w:hAnsi="Palatino Linotype"/>
          <w:sz w:val="24"/>
          <w:szCs w:val="24"/>
          <w:lang w:bidi="en-US"/>
        </w:rPr>
        <w:t xml:space="preserve">When separating nucleic acids, the wells of the gel are placed closer to the negative electrode due to their negative charges. </w:t>
      </w:r>
      <w:r w:rsidR="0083066A" w:rsidRPr="005B1CCB">
        <w:rPr>
          <w:rFonts w:ascii="Palatino Linotype" w:hAnsi="Palatino Linotype"/>
          <w:sz w:val="24"/>
          <w:szCs w:val="24"/>
          <w:lang w:bidi="en-US"/>
        </w:rPr>
        <w:t xml:space="preserve">The DNA samples are </w:t>
      </w:r>
      <w:r w:rsidR="00E55BB8" w:rsidRPr="005B1CCB">
        <w:rPr>
          <w:rFonts w:ascii="Palatino Linotype" w:hAnsi="Palatino Linotype"/>
          <w:sz w:val="24"/>
          <w:szCs w:val="24"/>
          <w:lang w:bidi="en-US"/>
        </w:rPr>
        <w:t xml:space="preserve">stained with dyes that are also negative and </w:t>
      </w:r>
      <w:r w:rsidR="0083066A" w:rsidRPr="005B1CCB">
        <w:rPr>
          <w:rFonts w:ascii="Palatino Linotype" w:hAnsi="Palatino Linotype"/>
          <w:sz w:val="24"/>
          <w:szCs w:val="24"/>
          <w:lang w:bidi="en-US"/>
        </w:rPr>
        <w:t xml:space="preserve">loaded into wells at one end of </w:t>
      </w:r>
      <w:r w:rsidR="00EE473B" w:rsidRPr="005B1CCB">
        <w:rPr>
          <w:rFonts w:ascii="Palatino Linotype" w:hAnsi="Palatino Linotype"/>
          <w:sz w:val="24"/>
          <w:szCs w:val="24"/>
          <w:lang w:bidi="en-US"/>
        </w:rPr>
        <w:t>a medium such as an agarose</w:t>
      </w:r>
      <w:r w:rsidR="00BB7BB2" w:rsidRPr="005B1CCB">
        <w:rPr>
          <w:rFonts w:ascii="Palatino Linotype" w:hAnsi="Palatino Linotype"/>
          <w:sz w:val="24"/>
          <w:szCs w:val="24"/>
          <w:lang w:bidi="en-US"/>
        </w:rPr>
        <w:t xml:space="preserve"> gel.</w:t>
      </w:r>
      <w:r w:rsidR="0083066A" w:rsidRPr="005B1CCB">
        <w:rPr>
          <w:rFonts w:ascii="Palatino Linotype" w:hAnsi="Palatino Linotype"/>
          <w:sz w:val="24"/>
          <w:szCs w:val="24"/>
          <w:lang w:bidi="en-US"/>
        </w:rPr>
        <w:t xml:space="preserve"> </w:t>
      </w:r>
      <w:r w:rsidR="00BB7BB2" w:rsidRPr="005B1CCB">
        <w:rPr>
          <w:rFonts w:ascii="Palatino Linotype" w:hAnsi="Palatino Linotype"/>
          <w:sz w:val="24"/>
          <w:szCs w:val="24"/>
          <w:lang w:bidi="en-US"/>
        </w:rPr>
        <w:t xml:space="preserve">The solidified gel forms a web like matrix that allows smaller DNA molecules to travel easily when </w:t>
      </w:r>
      <w:r w:rsidR="0083066A" w:rsidRPr="005B1CCB">
        <w:rPr>
          <w:rFonts w:ascii="Palatino Linotype" w:hAnsi="Palatino Linotype"/>
          <w:sz w:val="24"/>
          <w:szCs w:val="24"/>
          <w:lang w:bidi="en-US"/>
        </w:rPr>
        <w:t>an electric current is applied through the gel to pull t</w:t>
      </w:r>
      <w:r w:rsidR="00EA14BF" w:rsidRPr="005B1CCB">
        <w:rPr>
          <w:rFonts w:ascii="Palatino Linotype" w:hAnsi="Palatino Linotype"/>
          <w:sz w:val="24"/>
          <w:szCs w:val="24"/>
          <w:lang w:bidi="en-US"/>
        </w:rPr>
        <w:t>h</w:t>
      </w:r>
      <w:r w:rsidR="0083066A" w:rsidRPr="005B1CCB">
        <w:rPr>
          <w:rFonts w:ascii="Palatino Linotype" w:hAnsi="Palatino Linotype"/>
          <w:sz w:val="24"/>
          <w:szCs w:val="24"/>
          <w:lang w:bidi="en-US"/>
        </w:rPr>
        <w:t>em through.</w:t>
      </w:r>
      <w:r w:rsidR="00B6617C" w:rsidRPr="005B1CCB">
        <w:rPr>
          <w:rFonts w:ascii="Palatino Linotype" w:hAnsi="Palatino Linotype"/>
          <w:sz w:val="24"/>
          <w:szCs w:val="24"/>
          <w:lang w:bidi="en-US"/>
        </w:rPr>
        <w:t xml:space="preserve"> The DNA fragments are separated by size and they move towards the positive electrode</w:t>
      </w:r>
      <w:r w:rsidR="00BB7BB2" w:rsidRPr="005B1CCB">
        <w:rPr>
          <w:rFonts w:ascii="Palatino Linotype" w:hAnsi="Palatino Linotype"/>
          <w:sz w:val="24"/>
          <w:szCs w:val="24"/>
          <w:lang w:bidi="en-US"/>
        </w:rPr>
        <w:t xml:space="preserve"> thus easily determining the size of the molecules with great accuracy</w:t>
      </w:r>
      <w:r w:rsidR="00B6617C" w:rsidRPr="005B1CCB">
        <w:rPr>
          <w:rFonts w:ascii="Palatino Linotype" w:hAnsi="Palatino Linotype"/>
          <w:sz w:val="24"/>
          <w:szCs w:val="24"/>
          <w:lang w:bidi="en-US"/>
        </w:rPr>
        <w:t>.</w:t>
      </w:r>
      <w:r w:rsidR="00E5541F" w:rsidRPr="005B1CCB">
        <w:rPr>
          <w:rFonts w:ascii="Palatino Linotype" w:hAnsi="Palatino Linotype"/>
          <w:sz w:val="24"/>
          <w:szCs w:val="24"/>
          <w:lang w:bidi="en-US"/>
        </w:rPr>
        <w:t xml:space="preserve"> Smaller molecules move more easily through the pores gel, resulting in faster travel compared to larg</w:t>
      </w:r>
      <w:r w:rsidR="006A5E78" w:rsidRPr="005B1CCB">
        <w:rPr>
          <w:rFonts w:ascii="Palatino Linotype" w:hAnsi="Palatino Linotype"/>
          <w:sz w:val="24"/>
          <w:szCs w:val="24"/>
          <w:lang w:bidi="en-US"/>
        </w:rPr>
        <w:t>er molecules of the same charge</w:t>
      </w:r>
      <w:r w:rsidR="001170DF" w:rsidRPr="005B1CCB">
        <w:rPr>
          <w:rFonts w:ascii="Palatino Linotype" w:hAnsi="Palatino Linotype"/>
          <w:sz w:val="24"/>
          <w:szCs w:val="24"/>
          <w:lang w:bidi="en-US"/>
        </w:rPr>
        <w:t xml:space="preserve"> </w:t>
      </w:r>
      <w:r w:rsidR="001170DF"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URL":"https://www.minipcr.com/","accessed":{"date-parts":[["2019","10","7"]]},"author":[{"dropping-particle":"","family":"Amplyus","given":"","non-dropping-particle":"","parse-names":false,"suffix":""}],"id":"ITEM-1","issued":{"date-parts":[["2017"]]},"title":"bluegel-electrophoresis","type":"webpage"},"uris":["http://www.mendeley.com/documents/?uuid=10579040-c81a-4c66-a7cf-330444ee6768"]}],"mendeley":{"formattedCitation":"[196]","plainTextFormattedCitation":"[196]","previouslyFormattedCitation":"[196]"},"properties":{"noteIndex":0},"schema":"https://github.com/citation-style-language/schema/raw/master/csl-citation.json"}</w:instrText>
      </w:r>
      <w:r w:rsidR="001170DF"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[196]</w:t>
      </w:r>
      <w:r w:rsidR="001170DF" w:rsidRPr="005B1CCB">
        <w:rPr>
          <w:rFonts w:ascii="Palatino Linotype" w:hAnsi="Palatino Linotype"/>
          <w:sz w:val="24"/>
          <w:szCs w:val="24"/>
          <w:lang w:bidi="en-US"/>
        </w:rPr>
        <w:fldChar w:fldCharType="end"/>
      </w:r>
      <w:r w:rsidR="006A5E78" w:rsidRPr="005B1CCB">
        <w:rPr>
          <w:rFonts w:ascii="Palatino Linotype" w:hAnsi="Palatino Linotype"/>
          <w:sz w:val="24"/>
          <w:szCs w:val="24"/>
          <w:lang w:bidi="en-US"/>
        </w:rPr>
        <w:t>.</w:t>
      </w:r>
    </w:p>
    <w:p w14:paraId="55E8E0EB" w14:textId="77777777" w:rsidR="00B76EC9" w:rsidRPr="005B1CCB" w:rsidRDefault="00B76EC9" w:rsidP="00B6617C">
      <w:pPr>
        <w:spacing w:line="360" w:lineRule="auto"/>
        <w:jc w:val="both"/>
        <w:rPr>
          <w:rFonts w:ascii="Palatino Linotype" w:hAnsi="Palatino Linotype"/>
          <w:sz w:val="24"/>
          <w:szCs w:val="24"/>
          <w:lang w:bidi="en-US"/>
        </w:rPr>
      </w:pPr>
    </w:p>
    <w:p w14:paraId="62096A3D" w14:textId="77777777" w:rsidR="00B76EC9" w:rsidRPr="005B1CCB" w:rsidRDefault="0063716C" w:rsidP="00B76EC9">
      <w:pPr>
        <w:keepNext/>
        <w:spacing w:line="360" w:lineRule="auto"/>
        <w:jc w:val="center"/>
      </w:pPr>
      <w:r w:rsidRPr="005B1CCB">
        <w:rPr>
          <w:noProof/>
          <w:lang w:eastAsia="en-GB"/>
        </w:rPr>
        <w:drawing>
          <wp:inline distT="0" distB="0" distL="0" distR="0" wp14:anchorId="7D522D9E" wp14:editId="54AD0673">
            <wp:extent cx="5257800" cy="30810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6861" cy="3092190"/>
                    </a:xfrm>
                    <a:prstGeom prst="rect">
                      <a:avLst/>
                    </a:prstGeom>
                  </pic:spPr>
                </pic:pic>
              </a:graphicData>
            </a:graphic>
          </wp:inline>
        </w:drawing>
      </w:r>
    </w:p>
    <w:p w14:paraId="1E3DA252" w14:textId="55E64599" w:rsidR="00C06826" w:rsidRPr="005B1CCB" w:rsidRDefault="00B76EC9" w:rsidP="00B76EC9">
      <w:pPr>
        <w:pStyle w:val="Caption"/>
        <w:jc w:val="center"/>
      </w:pPr>
      <w:bookmarkStart w:id="92" w:name="_Toc84519611"/>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16</w:t>
      </w:r>
      <w:r w:rsidRPr="005B1CCB">
        <w:rPr>
          <w:sz w:val="22"/>
          <w:szCs w:val="22"/>
        </w:rPr>
        <w:fldChar w:fldCharType="end"/>
      </w:r>
      <w:r w:rsidRPr="005B1CCB">
        <w:rPr>
          <w:sz w:val="22"/>
          <w:szCs w:val="22"/>
        </w:rPr>
        <w:t>:</w:t>
      </w:r>
      <w:r w:rsidR="006A5E78" w:rsidRPr="005B1CCB">
        <w:rPr>
          <w:sz w:val="22"/>
          <w:szCs w:val="22"/>
        </w:rPr>
        <w:t xml:space="preserve"> </w:t>
      </w:r>
      <w:r w:rsidR="00890B19" w:rsidRPr="005B1CCB">
        <w:rPr>
          <w:sz w:val="22"/>
          <w:szCs w:val="22"/>
        </w:rPr>
        <w:t>blue</w:t>
      </w:r>
      <w:r w:rsidR="006A5E78" w:rsidRPr="005B1CCB">
        <w:rPr>
          <w:sz w:val="22"/>
          <w:szCs w:val="22"/>
        </w:rPr>
        <w:t xml:space="preserve">Gel electrophoresis </w:t>
      </w:r>
      <w:r w:rsidR="00890B19" w:rsidRPr="005B1CCB">
        <w:rPr>
          <w:sz w:val="22"/>
          <w:szCs w:val="22"/>
        </w:rPr>
        <w:t>system</w:t>
      </w:r>
      <w:r w:rsidR="00DC4B00" w:rsidRPr="005B1CCB">
        <w:rPr>
          <w:sz w:val="22"/>
          <w:szCs w:val="22"/>
        </w:rPr>
        <w:t xml:space="preserve"> showing its components </w:t>
      </w:r>
      <w:r w:rsidR="00890B19" w:rsidRPr="005B1CCB">
        <w:rPr>
          <w:sz w:val="22"/>
          <w:szCs w:val="22"/>
        </w:rPr>
        <w:fldChar w:fldCharType="begin" w:fldLock="1"/>
      </w:r>
      <w:r w:rsidR="000766C5">
        <w:rPr>
          <w:sz w:val="22"/>
          <w:szCs w:val="22"/>
        </w:rPr>
        <w:instrText>ADDIN CSL_CITATION {"citationItems":[{"id":"ITEM-1","itemData":{"URL":"https://www.minipcr.com/","accessed":{"date-parts":[["2019","10","7"]]},"author":[{"dropping-particle":"","family":"Amplyus","given":"","non-dropping-particle":"","parse-names":false,"suffix":""}],"id":"ITEM-1","issued":{"date-parts":[["2017"]]},"title":"bluegel-electrophoresis","type":"webpage"},"uris":["http://www.mendeley.com/documents/?uuid=10579040-c81a-4c66-a7cf-330444ee6768"]}],"mendeley":{"formattedCitation":"[196]","plainTextFormattedCitation":"[196]","previouslyFormattedCitation":"[196]"},"properties":{"noteIndex":0},"schema":"https://github.com/citation-style-language/schema/raw/master/csl-citation.json"}</w:instrText>
      </w:r>
      <w:r w:rsidR="00890B19" w:rsidRPr="005B1CCB">
        <w:rPr>
          <w:sz w:val="22"/>
          <w:szCs w:val="22"/>
        </w:rPr>
        <w:fldChar w:fldCharType="separate"/>
      </w:r>
      <w:r w:rsidR="005F2946" w:rsidRPr="005F2946">
        <w:rPr>
          <w:i w:val="0"/>
          <w:noProof/>
          <w:sz w:val="22"/>
          <w:szCs w:val="22"/>
        </w:rPr>
        <w:t>[196]</w:t>
      </w:r>
      <w:bookmarkEnd w:id="92"/>
      <w:r w:rsidR="00890B19" w:rsidRPr="005B1CCB">
        <w:rPr>
          <w:sz w:val="22"/>
          <w:szCs w:val="22"/>
        </w:rPr>
        <w:fldChar w:fldCharType="end"/>
      </w:r>
    </w:p>
    <w:p w14:paraId="3D88D671" w14:textId="77777777" w:rsidR="00827E2F" w:rsidRPr="005B1CCB" w:rsidRDefault="00827E2F" w:rsidP="00827E2F">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The gel electrophoresis protocol employed in this study is as follows:</w:t>
      </w:r>
    </w:p>
    <w:p w14:paraId="45977ECC" w14:textId="77777777" w:rsidR="00827E2F" w:rsidRPr="005B1CCB" w:rsidRDefault="009362BE" w:rsidP="00690AE9">
      <w:pPr>
        <w:pStyle w:val="ListParagraph"/>
        <w:numPr>
          <w:ilvl w:val="0"/>
          <w:numId w:val="31"/>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Add</w:t>
      </w:r>
      <w:r w:rsidR="00BF4BC1" w:rsidRPr="005B1CCB">
        <w:rPr>
          <w:rFonts w:ascii="Palatino Linotype" w:hAnsi="Palatino Linotype"/>
          <w:sz w:val="24"/>
          <w:szCs w:val="24"/>
          <w:lang w:bidi="en-US"/>
        </w:rPr>
        <w:t xml:space="preserve"> dry powdered </w:t>
      </w:r>
      <w:r w:rsidR="00126518" w:rsidRPr="005B1CCB">
        <w:rPr>
          <w:rFonts w:ascii="Palatino Linotype" w:hAnsi="Palatino Linotype"/>
          <w:sz w:val="24"/>
          <w:szCs w:val="24"/>
          <w:lang w:bidi="en-US"/>
        </w:rPr>
        <w:t xml:space="preserve">0.2g </w:t>
      </w:r>
      <w:r w:rsidR="00BF4BC1" w:rsidRPr="005B1CCB">
        <w:rPr>
          <w:rFonts w:ascii="Palatino Linotype" w:hAnsi="Palatino Linotype"/>
          <w:sz w:val="24"/>
          <w:szCs w:val="24"/>
          <w:lang w:bidi="en-US"/>
        </w:rPr>
        <w:t xml:space="preserve">agarose to </w:t>
      </w:r>
      <w:r w:rsidR="00126518" w:rsidRPr="005B1CCB">
        <w:rPr>
          <w:rFonts w:ascii="Palatino Linotype" w:hAnsi="Palatino Linotype"/>
          <w:sz w:val="24"/>
          <w:szCs w:val="24"/>
          <w:lang w:bidi="en-US"/>
        </w:rPr>
        <w:t xml:space="preserve">25ml of 1 X </w:t>
      </w:r>
      <w:r w:rsidR="00BF4BC1" w:rsidRPr="005B1CCB">
        <w:rPr>
          <w:rFonts w:ascii="Palatino Linotype" w:hAnsi="Palatino Linotype"/>
          <w:sz w:val="24"/>
          <w:szCs w:val="24"/>
          <w:lang w:bidi="en-US"/>
        </w:rPr>
        <w:t>TE buffer</w:t>
      </w:r>
    </w:p>
    <w:p w14:paraId="5FE83877" w14:textId="77777777" w:rsidR="00126518" w:rsidRPr="005B1CCB" w:rsidRDefault="00126518" w:rsidP="00690AE9">
      <w:pPr>
        <w:pStyle w:val="ListParagraph"/>
        <w:numPr>
          <w:ilvl w:val="0"/>
          <w:numId w:val="31"/>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Mix reagents in glass flask and mix until powder is dissolved and solution becomes clear.</w:t>
      </w:r>
    </w:p>
    <w:p w14:paraId="6ACB1DB2" w14:textId="77777777" w:rsidR="00126518" w:rsidRPr="005B1CCB" w:rsidRDefault="00126518" w:rsidP="00690AE9">
      <w:pPr>
        <w:pStyle w:val="ListParagraph"/>
        <w:numPr>
          <w:ilvl w:val="0"/>
          <w:numId w:val="31"/>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Place a well-forming comb at the middle of chamber.</w:t>
      </w:r>
    </w:p>
    <w:p w14:paraId="0D3F2828" w14:textId="77777777" w:rsidR="00126518" w:rsidRPr="005B1CCB" w:rsidRDefault="00126518" w:rsidP="00690AE9">
      <w:pPr>
        <w:pStyle w:val="ListParagraph"/>
        <w:numPr>
          <w:ilvl w:val="0"/>
          <w:numId w:val="31"/>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Allow the solution cool for about 2-3 minutes at room temperature.</w:t>
      </w:r>
    </w:p>
    <w:p w14:paraId="4AF44EFD" w14:textId="7D288448" w:rsidR="00126518" w:rsidRPr="005B1CCB" w:rsidRDefault="009362BE" w:rsidP="00690AE9">
      <w:pPr>
        <w:pStyle w:val="ListParagraph"/>
        <w:numPr>
          <w:ilvl w:val="0"/>
          <w:numId w:val="31"/>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Pour</w:t>
      </w:r>
      <w:r w:rsidR="00BF4BC1" w:rsidRPr="005B1CCB">
        <w:rPr>
          <w:rFonts w:ascii="Palatino Linotype" w:hAnsi="Palatino Linotype"/>
          <w:sz w:val="24"/>
          <w:szCs w:val="24"/>
          <w:lang w:bidi="en-US"/>
        </w:rPr>
        <w:t xml:space="preserve"> the melted agarose into a tray in the chamber and allow it to solidify</w:t>
      </w:r>
      <w:r w:rsidR="00126518" w:rsidRPr="005B1CCB">
        <w:rPr>
          <w:rFonts w:ascii="Palatino Linotype" w:hAnsi="Palatino Linotype"/>
          <w:sz w:val="24"/>
          <w:szCs w:val="24"/>
          <w:lang w:bidi="en-US"/>
        </w:rPr>
        <w:t xml:space="preserve"> for about 20-25 minutes.</w:t>
      </w:r>
    </w:p>
    <w:p w14:paraId="19870C31" w14:textId="77777777" w:rsidR="00BF4BC1" w:rsidRPr="005B1CCB" w:rsidRDefault="009C7FBE" w:rsidP="00690AE9">
      <w:pPr>
        <w:pStyle w:val="ListParagraph"/>
        <w:numPr>
          <w:ilvl w:val="0"/>
          <w:numId w:val="31"/>
        </w:num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O</w:t>
      </w:r>
      <w:r w:rsidR="00126518" w:rsidRPr="005B1CCB">
        <w:rPr>
          <w:rFonts w:ascii="Palatino Linotype" w:hAnsi="Palatino Linotype"/>
          <w:sz w:val="24"/>
          <w:szCs w:val="24"/>
          <w:lang w:bidi="en-US"/>
        </w:rPr>
        <w:t>nce the gel is completely cooled, remove the comb.</w:t>
      </w:r>
    </w:p>
    <w:p w14:paraId="6CEB63D4" w14:textId="77777777" w:rsidR="00BF4BC1" w:rsidRPr="005B1CCB" w:rsidRDefault="003D72B2" w:rsidP="00827E2F">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The solidified gel should look as shown in </w:t>
      </w:r>
      <w:r w:rsidR="00D90C06" w:rsidRPr="005B1CCB">
        <w:rPr>
          <w:rFonts w:ascii="Palatino Linotype" w:hAnsi="Palatino Linotype"/>
          <w:sz w:val="24"/>
          <w:szCs w:val="24"/>
          <w:lang w:bidi="en-US"/>
        </w:rPr>
        <w:t>F</w:t>
      </w:r>
      <w:r w:rsidRPr="005B1CCB">
        <w:rPr>
          <w:rFonts w:ascii="Palatino Linotype" w:hAnsi="Palatino Linotype"/>
          <w:sz w:val="24"/>
          <w:szCs w:val="24"/>
          <w:lang w:bidi="en-US"/>
        </w:rPr>
        <w:t xml:space="preserve">igure </w:t>
      </w:r>
      <w:r w:rsidR="001C1023" w:rsidRPr="005B1CCB">
        <w:rPr>
          <w:rFonts w:ascii="Palatino Linotype" w:hAnsi="Palatino Linotype"/>
          <w:sz w:val="24"/>
          <w:szCs w:val="24"/>
          <w:lang w:bidi="en-US"/>
        </w:rPr>
        <w:t>1</w:t>
      </w:r>
      <w:r w:rsidR="00835C77">
        <w:rPr>
          <w:rFonts w:ascii="Palatino Linotype" w:hAnsi="Palatino Linotype"/>
          <w:sz w:val="24"/>
          <w:szCs w:val="24"/>
          <w:lang w:bidi="en-US"/>
        </w:rPr>
        <w:t>7</w:t>
      </w:r>
      <w:r w:rsidR="001C1023" w:rsidRPr="005B1CCB">
        <w:rPr>
          <w:rFonts w:ascii="Palatino Linotype" w:hAnsi="Palatino Linotype"/>
          <w:sz w:val="24"/>
          <w:szCs w:val="24"/>
          <w:lang w:bidi="en-US"/>
        </w:rPr>
        <w:t>.</w:t>
      </w:r>
    </w:p>
    <w:p w14:paraId="1D61A66B" w14:textId="77777777" w:rsidR="001C1023" w:rsidRPr="005B1CCB" w:rsidRDefault="00C06826" w:rsidP="001C1023">
      <w:pPr>
        <w:keepNext/>
        <w:jc w:val="center"/>
      </w:pPr>
      <w:r w:rsidRPr="005B1CCB">
        <w:rPr>
          <w:rFonts w:ascii="Palatino Linotype" w:hAnsi="Palatino Linotype"/>
          <w:noProof/>
          <w:sz w:val="24"/>
          <w:szCs w:val="24"/>
          <w:lang w:eastAsia="en-GB"/>
        </w:rPr>
        <w:drawing>
          <wp:inline distT="0" distB="0" distL="0" distR="0" wp14:anchorId="0CDD53F4" wp14:editId="21EA79E1">
            <wp:extent cx="1967067" cy="4474018"/>
            <wp:effectExtent l="3810" t="0" r="0" b="0"/>
            <wp:docPr id="51" name="Picture 51" descr="C:\Users\cdt\Downloads\20180711_163330_IMG_2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dt\Downloads\20180711_163330_IMG_2363.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7449" r="34342"/>
                    <a:stretch/>
                  </pic:blipFill>
                  <pic:spPr bwMode="auto">
                    <a:xfrm rot="5400000">
                      <a:off x="0" y="0"/>
                      <a:ext cx="1992513" cy="4531894"/>
                    </a:xfrm>
                    <a:prstGeom prst="rect">
                      <a:avLst/>
                    </a:prstGeom>
                    <a:noFill/>
                    <a:ln>
                      <a:noFill/>
                    </a:ln>
                    <a:extLst>
                      <a:ext uri="{53640926-AAD7-44D8-BBD7-CCE9431645EC}">
                        <a14:shadowObscured xmlns:a14="http://schemas.microsoft.com/office/drawing/2010/main"/>
                      </a:ext>
                    </a:extLst>
                  </pic:spPr>
                </pic:pic>
              </a:graphicData>
            </a:graphic>
          </wp:inline>
        </w:drawing>
      </w:r>
    </w:p>
    <w:p w14:paraId="463A07A6" w14:textId="77777777" w:rsidR="006C29B5" w:rsidRPr="005B1CCB" w:rsidRDefault="001C1023" w:rsidP="001C1023">
      <w:pPr>
        <w:pStyle w:val="Caption"/>
        <w:jc w:val="center"/>
        <w:rPr>
          <w:sz w:val="22"/>
          <w:szCs w:val="22"/>
        </w:rPr>
      </w:pPr>
      <w:bookmarkStart w:id="93" w:name="_Toc84519612"/>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17</w:t>
      </w:r>
      <w:r w:rsidRPr="005B1CCB">
        <w:rPr>
          <w:sz w:val="22"/>
          <w:szCs w:val="22"/>
        </w:rPr>
        <w:fldChar w:fldCharType="end"/>
      </w:r>
      <w:r w:rsidRPr="005B1CCB">
        <w:rPr>
          <w:sz w:val="22"/>
          <w:szCs w:val="22"/>
        </w:rPr>
        <w:t>:</w:t>
      </w:r>
      <w:r w:rsidR="006A5E78" w:rsidRPr="005B1CCB">
        <w:rPr>
          <w:sz w:val="22"/>
          <w:szCs w:val="22"/>
        </w:rPr>
        <w:t xml:space="preserve"> Solidified gel used for</w:t>
      </w:r>
      <w:r w:rsidR="007E6F3E" w:rsidRPr="005B1CCB">
        <w:rPr>
          <w:sz w:val="22"/>
          <w:szCs w:val="22"/>
        </w:rPr>
        <w:t xml:space="preserve"> separating mixtures of DNA amplicons in gel</w:t>
      </w:r>
      <w:r w:rsidR="006A5E78" w:rsidRPr="005B1CCB">
        <w:rPr>
          <w:sz w:val="22"/>
          <w:szCs w:val="22"/>
        </w:rPr>
        <w:t xml:space="preserve"> electrophoresis</w:t>
      </w:r>
      <w:bookmarkEnd w:id="93"/>
    </w:p>
    <w:p w14:paraId="3B444EA9" w14:textId="77777777" w:rsidR="00C6033F" w:rsidRPr="005B1CCB" w:rsidRDefault="00C6033F" w:rsidP="00C6033F"/>
    <w:p w14:paraId="468A7DB0" w14:textId="77777777" w:rsidR="004268F2" w:rsidRPr="005B1CCB" w:rsidRDefault="004268F2" w:rsidP="004268F2">
      <w:pPr>
        <w:pStyle w:val="Heading3"/>
      </w:pPr>
      <w:bookmarkStart w:id="94" w:name="_Toc84528083"/>
      <w:r w:rsidRPr="005B1CCB">
        <w:t>DNA immobilisation protocol</w:t>
      </w:r>
      <w:bookmarkEnd w:id="94"/>
      <w:r w:rsidRPr="005B1CCB">
        <w:t xml:space="preserve"> </w:t>
      </w:r>
    </w:p>
    <w:p w14:paraId="4A04B00A" w14:textId="1667ADA7" w:rsidR="004268F2" w:rsidRPr="005B1CCB" w:rsidRDefault="004268F2" w:rsidP="0094259F">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The modified carbon electrode surfaces were rinsed with MES buffer and covered with a 50 μL droplet of the amin</w:t>
      </w:r>
      <w:r w:rsidR="00D261C4" w:rsidRPr="005B1CCB">
        <w:rPr>
          <w:rFonts w:ascii="Palatino Linotype" w:hAnsi="Palatino Linotype" w:cs="Times New Roman"/>
          <w:sz w:val="24"/>
          <w:szCs w:val="24"/>
        </w:rPr>
        <w:t>e</w:t>
      </w:r>
      <w:r w:rsidRPr="005B1CCB">
        <w:rPr>
          <w:rFonts w:ascii="Palatino Linotype" w:hAnsi="Palatino Linotype" w:cs="Times New Roman"/>
          <w:sz w:val="24"/>
          <w:szCs w:val="24"/>
        </w:rPr>
        <w:t xml:space="preserve"> modified DNA probe at a concentration of 20 µM in 0.1 x PBS buffer, pH 7.4 and incubated for 60 minutes at room temperature in a water-saturated atmosphere. The probes were covalently attached and the electrodes were blocked by adding </w:t>
      </w:r>
      <w:r w:rsidRPr="00101B10">
        <w:rPr>
          <w:rFonts w:ascii="Palatino Linotype" w:hAnsi="Palatino Linotype" w:cs="Times New Roman"/>
          <w:sz w:val="24"/>
          <w:szCs w:val="24"/>
        </w:rPr>
        <w:t>50μL blocking</w:t>
      </w:r>
      <w:r w:rsidRPr="005B1CCB">
        <w:rPr>
          <w:rFonts w:ascii="Palatino Linotype" w:hAnsi="Palatino Linotype" w:cs="Times New Roman"/>
          <w:sz w:val="24"/>
          <w:szCs w:val="24"/>
        </w:rPr>
        <w:t xml:space="preserve"> </w:t>
      </w:r>
      <w:r w:rsidRPr="00101B10">
        <w:rPr>
          <w:rFonts w:ascii="Palatino Linotype" w:hAnsi="Palatino Linotype" w:cs="Times New Roman"/>
          <w:sz w:val="24"/>
          <w:szCs w:val="24"/>
        </w:rPr>
        <w:t>buffer</w:t>
      </w:r>
      <w:r w:rsidRPr="005B1CCB">
        <w:rPr>
          <w:rFonts w:ascii="Palatino Linotype" w:hAnsi="Palatino Linotype" w:cs="Times New Roman"/>
          <w:sz w:val="24"/>
          <w:szCs w:val="24"/>
        </w:rPr>
        <w:t xml:space="preserve"> </w:t>
      </w:r>
      <w:r w:rsidR="0094259F" w:rsidRPr="005B1CCB">
        <w:rPr>
          <w:rFonts w:ascii="Palatino Linotype" w:hAnsi="Palatino Linotype" w:cs="Times New Roman"/>
          <w:sz w:val="24"/>
          <w:szCs w:val="24"/>
        </w:rPr>
        <w:t xml:space="preserve">(1% vol/vol </w:t>
      </w:r>
      <w:r w:rsidR="0094259F" w:rsidRPr="00101B10">
        <w:rPr>
          <w:rFonts w:ascii="Palatino Linotype" w:hAnsi="Palatino Linotype" w:cs="Times New Roman"/>
          <w:sz w:val="24"/>
          <w:szCs w:val="24"/>
        </w:rPr>
        <w:t>ethanolamine</w:t>
      </w:r>
      <w:r w:rsidR="0094259F" w:rsidRPr="005B1CCB">
        <w:rPr>
          <w:rFonts w:ascii="Palatino Linotype" w:hAnsi="Palatino Linotype" w:cs="Times New Roman"/>
          <w:sz w:val="24"/>
          <w:szCs w:val="24"/>
        </w:rPr>
        <w:t xml:space="preserve"> in PBS buffer pH 7.4) </w:t>
      </w:r>
      <w:r w:rsidR="0094259F" w:rsidRPr="00101B10">
        <w:rPr>
          <w:rFonts w:ascii="Palatino Linotype" w:hAnsi="Palatino Linotype" w:cs="Times New Roman"/>
          <w:sz w:val="24"/>
          <w:szCs w:val="24"/>
        </w:rPr>
        <w:t>and incubated for 30 min to deactivate the remaining active EDC/NHS groups and to block the free surface, preventing non-specific absorption</w:t>
      </w:r>
      <w:r w:rsidR="0094259F"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Blocking the remaining active groups on the electrode after the introduction of the probe solution </w:t>
      </w:r>
      <w:r w:rsidRPr="00101B10">
        <w:rPr>
          <w:rFonts w:ascii="Palatino Linotype" w:hAnsi="Palatino Linotype" w:cs="Times New Roman"/>
          <w:sz w:val="24"/>
          <w:szCs w:val="24"/>
        </w:rPr>
        <w:t>helped in producing a consistent sensing layer in order to enable reproducibility in terms of the DNA binding response</w:t>
      </w:r>
      <w:r w:rsidRPr="005B1CCB">
        <w:rPr>
          <w:rFonts w:ascii="Palatino Linotype" w:hAnsi="Palatino Linotype" w:cs="Times New Roman"/>
          <w:sz w:val="24"/>
          <w:szCs w:val="24"/>
        </w:rPr>
        <w:t xml:space="preserve">. The </w:t>
      </w:r>
      <w:r w:rsidRPr="00101B10">
        <w:rPr>
          <w:rFonts w:ascii="Palatino Linotype" w:hAnsi="Palatino Linotype" w:cs="Times New Roman"/>
          <w:sz w:val="24"/>
          <w:szCs w:val="24"/>
        </w:rPr>
        <w:t>reproducibility</w:t>
      </w:r>
      <w:r w:rsidRPr="005B1CCB">
        <w:rPr>
          <w:rFonts w:ascii="Palatino Linotype" w:hAnsi="Palatino Linotype" w:cs="Times New Roman"/>
          <w:sz w:val="24"/>
          <w:szCs w:val="24"/>
        </w:rPr>
        <w:t xml:space="preserve"> of this hybridisation sensor was explored by immobilizing </w:t>
      </w:r>
      <w:r w:rsidRPr="00101B10">
        <w:rPr>
          <w:rFonts w:ascii="Palatino Linotype" w:hAnsi="Palatino Linotype" w:cs="Times New Roman"/>
          <w:sz w:val="24"/>
          <w:szCs w:val="24"/>
        </w:rPr>
        <w:t>at least three WEs</w:t>
      </w:r>
      <w:r w:rsidRPr="005B1CCB">
        <w:rPr>
          <w:rFonts w:ascii="Palatino Linotype" w:hAnsi="Palatino Linotype" w:cs="Times New Roman"/>
          <w:sz w:val="24"/>
          <w:szCs w:val="24"/>
        </w:rPr>
        <w:t xml:space="preserve"> from the multi-electrode for each individual surface modification steps and confirm</w:t>
      </w:r>
      <w:r w:rsidR="0094259F" w:rsidRPr="005B1CCB">
        <w:rPr>
          <w:rFonts w:ascii="Palatino Linotype" w:hAnsi="Palatino Linotype" w:cs="Times New Roman"/>
          <w:sz w:val="24"/>
          <w:szCs w:val="24"/>
        </w:rPr>
        <w:t>ed</w:t>
      </w:r>
      <w:r w:rsidRPr="005B1CCB">
        <w:rPr>
          <w:rFonts w:ascii="Palatino Linotype" w:hAnsi="Palatino Linotype" w:cs="Times New Roman"/>
          <w:sz w:val="24"/>
          <w:szCs w:val="24"/>
        </w:rPr>
        <w:t xml:space="preserve"> using </w:t>
      </w:r>
      <w:r w:rsidR="0094259F" w:rsidRPr="005B1CCB">
        <w:rPr>
          <w:rFonts w:ascii="Palatino Linotype" w:hAnsi="Palatino Linotype" w:cs="Times New Roman"/>
          <w:sz w:val="24"/>
          <w:szCs w:val="24"/>
        </w:rPr>
        <w:t>voltammetry measurements</w:t>
      </w:r>
      <w:r w:rsidRPr="005B1CCB">
        <w:rPr>
          <w:rFonts w:ascii="Palatino Linotype" w:hAnsi="Palatino Linotype" w:cs="Times New Roman"/>
          <w:sz w:val="24"/>
          <w:szCs w:val="24"/>
        </w:rPr>
        <w:t>.</w:t>
      </w:r>
    </w:p>
    <w:p w14:paraId="30E24713" w14:textId="2945F62F" w:rsidR="004268F2" w:rsidRPr="005B1CCB" w:rsidRDefault="002F1881" w:rsidP="004268F2">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4268F2" w:rsidRPr="005B1CCB">
        <w:rPr>
          <w:rFonts w:ascii="Palatino Linotype" w:hAnsi="Palatino Linotype" w:cs="Times New Roman"/>
          <w:sz w:val="24"/>
          <w:szCs w:val="24"/>
        </w:rPr>
        <w:t xml:space="preserve">All the electrodes were rinsed thoroughly with </w:t>
      </w:r>
      <w:r w:rsidR="0094259F" w:rsidRPr="005B1CCB">
        <w:rPr>
          <w:rFonts w:ascii="Palatino Linotype" w:hAnsi="Palatino Linotype" w:cs="Times New Roman"/>
          <w:sz w:val="24"/>
          <w:szCs w:val="24"/>
        </w:rPr>
        <w:t>0.</w:t>
      </w:r>
      <w:r w:rsidR="004268F2" w:rsidRPr="005B1CCB">
        <w:rPr>
          <w:rFonts w:ascii="Palatino Linotype" w:hAnsi="Palatino Linotype" w:cs="Times New Roman"/>
          <w:sz w:val="24"/>
          <w:szCs w:val="24"/>
        </w:rPr>
        <w:t xml:space="preserve">1 x PBS buffer pH 7.4 prior to electrochemical measurements. EIS </w:t>
      </w:r>
      <w:r w:rsidR="0094259F" w:rsidRPr="005B1CCB">
        <w:rPr>
          <w:rFonts w:ascii="Palatino Linotype" w:hAnsi="Palatino Linotype" w:cs="Times New Roman"/>
          <w:sz w:val="24"/>
          <w:szCs w:val="24"/>
        </w:rPr>
        <w:t xml:space="preserve">and voltammetry </w:t>
      </w:r>
      <w:r w:rsidR="004268F2" w:rsidRPr="005B1CCB">
        <w:rPr>
          <w:rFonts w:ascii="Palatino Linotype" w:hAnsi="Palatino Linotype" w:cs="Times New Roman"/>
          <w:sz w:val="24"/>
          <w:szCs w:val="24"/>
        </w:rPr>
        <w:t xml:space="preserve">measurements were conducted in a measurement buffer containing 5mM ferri-ferrocyanide in 0.1 x PBS (pH 7.4) before and after target incubation </w:t>
      </w:r>
      <w:r w:rsidR="00FA7F9A" w:rsidRPr="005B1CCB">
        <w:rPr>
          <w:rFonts w:ascii="Palatino Linotype" w:hAnsi="Palatino Linotype" w:cs="Times New Roman"/>
          <w:sz w:val="24"/>
          <w:szCs w:val="24"/>
        </w:rPr>
        <w:t>except where stated otherwise</w:t>
      </w:r>
      <w:r w:rsidR="004268F2" w:rsidRPr="005B1CCB">
        <w:rPr>
          <w:rFonts w:ascii="Palatino Linotype" w:hAnsi="Palatino Linotype" w:cs="Times New Roman"/>
          <w:sz w:val="24"/>
          <w:szCs w:val="24"/>
        </w:rPr>
        <w:t>. Target solutions with concentration</w:t>
      </w:r>
      <w:r w:rsidR="001A4017">
        <w:rPr>
          <w:rFonts w:ascii="Palatino Linotype" w:hAnsi="Palatino Linotype" w:cs="Times New Roman"/>
          <w:sz w:val="24"/>
          <w:szCs w:val="24"/>
        </w:rPr>
        <w:t>s</w:t>
      </w:r>
      <w:r w:rsidR="004268F2" w:rsidRPr="005B1CCB">
        <w:rPr>
          <w:rFonts w:ascii="Palatino Linotype" w:hAnsi="Palatino Linotype" w:cs="Times New Roman"/>
          <w:sz w:val="24"/>
          <w:szCs w:val="24"/>
        </w:rPr>
        <w:t xml:space="preserve"> of 2</w:t>
      </w:r>
      <w:r w:rsidR="00553038" w:rsidRPr="005B1CCB">
        <w:rPr>
          <w:rFonts w:ascii="Palatino Linotype" w:hAnsi="Palatino Linotype" w:cs="Times New Roman"/>
          <w:sz w:val="24"/>
          <w:szCs w:val="24"/>
        </w:rPr>
        <w:t>0</w:t>
      </w:r>
      <w:r w:rsidR="004268F2" w:rsidRPr="005B1CCB">
        <w:rPr>
          <w:rFonts w:ascii="Palatino Linotype" w:hAnsi="Palatino Linotype" w:cs="Times New Roman"/>
          <w:sz w:val="24"/>
          <w:szCs w:val="24"/>
        </w:rPr>
        <w:t xml:space="preserve"> µM </w:t>
      </w:r>
      <w:r w:rsidR="00553038" w:rsidRPr="005B1CCB">
        <w:rPr>
          <w:rFonts w:ascii="Palatino Linotype" w:hAnsi="Palatino Linotype" w:cs="Times New Roman"/>
          <w:sz w:val="24"/>
          <w:szCs w:val="24"/>
        </w:rPr>
        <w:t xml:space="preserve">and 2 µM </w:t>
      </w:r>
      <w:r w:rsidR="004268F2" w:rsidRPr="005B1CCB">
        <w:rPr>
          <w:rFonts w:ascii="Palatino Linotype" w:hAnsi="Palatino Linotype" w:cs="Times New Roman"/>
          <w:sz w:val="24"/>
          <w:szCs w:val="24"/>
        </w:rPr>
        <w:t>were introduced by pipetting onto the electrode surface. The electrodes were then incubated for 30 minutes and thoroughly rinsed using 1 x PBS buffer pH 7.4 to remove any un</w:t>
      </w:r>
      <w:r w:rsidR="00FA7F9A" w:rsidRPr="005B1CCB">
        <w:rPr>
          <w:rFonts w:ascii="Palatino Linotype" w:hAnsi="Palatino Linotype" w:cs="Times New Roman"/>
          <w:sz w:val="24"/>
          <w:szCs w:val="24"/>
        </w:rPr>
        <w:t>-</w:t>
      </w:r>
      <w:r w:rsidR="004268F2" w:rsidRPr="005B1CCB">
        <w:rPr>
          <w:rFonts w:ascii="Palatino Linotype" w:hAnsi="Palatino Linotype" w:cs="Times New Roman"/>
          <w:sz w:val="24"/>
          <w:szCs w:val="24"/>
        </w:rPr>
        <w:t xml:space="preserve">hybridised ctDNA prior to measurement. </w:t>
      </w:r>
    </w:p>
    <w:p w14:paraId="73CD7CC4" w14:textId="77777777" w:rsidR="00C6033F" w:rsidRPr="005B1CCB" w:rsidRDefault="00C6033F" w:rsidP="004268F2">
      <w:pPr>
        <w:spacing w:line="360" w:lineRule="auto"/>
        <w:jc w:val="both"/>
        <w:rPr>
          <w:rFonts w:ascii="Palatino Linotype" w:hAnsi="Palatino Linotype" w:cs="Times New Roman"/>
          <w:sz w:val="24"/>
          <w:szCs w:val="24"/>
        </w:rPr>
      </w:pPr>
    </w:p>
    <w:p w14:paraId="2D385561" w14:textId="77777777" w:rsidR="00553038" w:rsidRPr="005B1CCB" w:rsidRDefault="00553038" w:rsidP="00553038">
      <w:pPr>
        <w:pStyle w:val="Heading3"/>
      </w:pPr>
      <w:bookmarkStart w:id="95" w:name="_Toc84528084"/>
      <w:r w:rsidRPr="005B1CCB">
        <w:t xml:space="preserve">Denaturation of amplified </w:t>
      </w:r>
      <w:r w:rsidR="009B4FBC" w:rsidRPr="005B1CCB">
        <w:t>ds</w:t>
      </w:r>
      <w:r w:rsidRPr="005B1CCB">
        <w:t>DNA</w:t>
      </w:r>
      <w:bookmarkEnd w:id="95"/>
    </w:p>
    <w:p w14:paraId="65302C8C" w14:textId="7C022085" w:rsidR="00553038" w:rsidRPr="005B1CCB" w:rsidRDefault="00E55095" w:rsidP="00C73C42">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7628E8" w:rsidRPr="005B1CCB">
        <w:rPr>
          <w:rFonts w:ascii="Palatino Linotype" w:hAnsi="Palatino Linotype"/>
          <w:sz w:val="24"/>
          <w:szCs w:val="24"/>
          <w:lang w:bidi="en-US"/>
        </w:rPr>
        <w:t>A key reaction that has to occur for</w:t>
      </w:r>
      <w:r w:rsidR="000F0265" w:rsidRPr="005B1CCB">
        <w:rPr>
          <w:rFonts w:ascii="Palatino Linotype" w:hAnsi="Palatino Linotype"/>
          <w:sz w:val="24"/>
          <w:szCs w:val="24"/>
          <w:lang w:bidi="en-US"/>
        </w:rPr>
        <w:t xml:space="preserve"> DNA hybridization </w:t>
      </w:r>
      <w:r w:rsidR="007628E8" w:rsidRPr="005B1CCB">
        <w:rPr>
          <w:rFonts w:ascii="Palatino Linotype" w:hAnsi="Palatino Linotype"/>
          <w:sz w:val="24"/>
          <w:szCs w:val="24"/>
          <w:lang w:bidi="en-US"/>
        </w:rPr>
        <w:t>to be successful requires</w:t>
      </w:r>
      <w:r w:rsidR="000F0265" w:rsidRPr="005B1CCB">
        <w:rPr>
          <w:rFonts w:ascii="Palatino Linotype" w:hAnsi="Palatino Linotype"/>
          <w:sz w:val="24"/>
          <w:szCs w:val="24"/>
          <w:lang w:bidi="en-US"/>
        </w:rPr>
        <w:t xml:space="preserve"> the double stranded DNA (dsDNA) obtained after amplification to be denatured</w:t>
      </w:r>
      <w:r w:rsidR="00C73C42" w:rsidRPr="005B1CCB">
        <w:rPr>
          <w:rFonts w:ascii="Palatino Linotype" w:hAnsi="Palatino Linotype"/>
          <w:sz w:val="24"/>
          <w:szCs w:val="24"/>
          <w:lang w:bidi="en-US"/>
        </w:rPr>
        <w:t xml:space="preserve"> </w:t>
      </w:r>
      <w:r w:rsidR="007628E8" w:rsidRPr="005B1CCB">
        <w:rPr>
          <w:rFonts w:ascii="Palatino Linotype" w:hAnsi="Palatino Linotype"/>
          <w:sz w:val="24"/>
          <w:szCs w:val="24"/>
          <w:lang w:bidi="en-US"/>
        </w:rPr>
        <w:t xml:space="preserve">by </w:t>
      </w:r>
      <w:r w:rsidR="00C73C42" w:rsidRPr="005B1CCB">
        <w:rPr>
          <w:rFonts w:ascii="Palatino Linotype" w:hAnsi="Palatino Linotype"/>
          <w:sz w:val="24"/>
          <w:szCs w:val="24"/>
          <w:lang w:bidi="en-US"/>
        </w:rPr>
        <w:t xml:space="preserve">separating the strands into single stranded DNA (ssDNA).  </w:t>
      </w:r>
      <w:r w:rsidR="00BD6F16" w:rsidRPr="005B1CCB">
        <w:rPr>
          <w:rFonts w:ascii="Palatino Linotype" w:hAnsi="Palatino Linotype"/>
          <w:sz w:val="24"/>
          <w:szCs w:val="24"/>
          <w:lang w:bidi="en-US"/>
        </w:rPr>
        <w:t>Some studies have described DNA denaturation methods like heating</w:t>
      </w:r>
      <w:r w:rsidR="003A474E" w:rsidRPr="005B1CCB">
        <w:rPr>
          <w:rFonts w:ascii="Palatino Linotype" w:hAnsi="Palatino Linotype"/>
          <w:sz w:val="24"/>
          <w:szCs w:val="24"/>
          <w:lang w:bidi="en-US"/>
        </w:rPr>
        <w:t xml:space="preserve"> </w:t>
      </w:r>
      <w:r w:rsidR="003A474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{"citationItems":[{"id":"ITEM-1","itemData":{"DOI":"https://doi.org/10.1016/0005-2787(66)90263-2","ISSN":"0005-2787","abstract":"1. A nuclease which specifically splits the phosphodiester-bond of heat-denatured DNA has been isolated from a product of Aspergillus oryzae. The enzyme has been purified about 1000 times and demonstrated to be more active in the presence of 10−4 M Zn2+ and less active in the presence of an equal amount of RNA. The digestion products from a denatured DNA have been identified as 5′-deoxynucleotides. 2. Using native and heat-denatured DNA's of salmon sperm, as well as the single-stranded DNA of coliphage ФX174, as substrates, the substrate specificity of the enzyme has been studied. A conclusion has been drawn that the enzyme is a denatured DNA-(probably single stranded- DNA-)specific nuclease. 3. The enzyme preparation is associated with ribonuclease activity. It is still in doubt, however, whether this activity belongs to the above-mentioned enzyme protein or not.","author":[{"dropping-particle":"","family":"Ando","given":"T","non-dropping-particle":"","parse-names":false,"suffix":""}],"container-title":"Biochimica et Biophysica Acta (BBA) - Nucleic Acids and Protein Synthesis","id":"ITEM-1","issue":"1","issued":{"date-parts":[["1966"]]},"page":"158-168","title":"A nuclease specific for heat-denatured DNA isolated from a product of Aspergillus oryzae","type":"article-journal","volume":"114"},"uris":["http://www.mendeley.com/documents/?uuid=77bfd64e-8a51-4543-af91-afc335664666"]}],"mendeley":{"formattedCitation":"[197]","plainTextFormattedCitation":"[197]","previouslyFormattedCitation":"[197]"},"properties":{"noteIndex":0},"schema":"https://github.com/citation-style-language/schema/raw/master/csl-citation.json"}</w:instrText>
      </w:r>
      <w:r w:rsidR="003A474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[197]</w:t>
      </w:r>
      <w:r w:rsidR="003A474E" w:rsidRPr="005B1CCB">
        <w:rPr>
          <w:rFonts w:ascii="Palatino Linotype" w:hAnsi="Palatino Linotype"/>
          <w:sz w:val="24"/>
          <w:szCs w:val="24"/>
          <w:lang w:bidi="en-US"/>
        </w:rPr>
        <w:fldChar w:fldCharType="end"/>
      </w:r>
      <w:r w:rsidR="003A474E" w:rsidRPr="005B1CCB">
        <w:rPr>
          <w:rFonts w:ascii="Palatino Linotype" w:hAnsi="Palatino Linotype"/>
          <w:sz w:val="24"/>
          <w:szCs w:val="24"/>
          <w:lang w:bidi="en-US"/>
        </w:rPr>
        <w:t xml:space="preserve"> </w:t>
      </w:r>
      <w:r w:rsidR="003A474E"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{"citationItems":[{"id":"ITEM-1","itemData":{"DOI":"https://doi.org/10.1016/j.ab.2010.05.016","ISSN":"0003-2697","abstract":"A high-throughput and cost-effective single-nucleotide polymorphism (SNP) genotyping method based on a gold magnetic nanoparticle (GMNP) array with dual-color hybridization has been designed. Biotinylated single-strand polymerase chain reaction (PCR) products containing the SNP locus were captured by the GMNPs that were coated with streptavidin. The GMNP array was fabricated by immobilizing single-stranded DNA (ssDNA)–GMNP complexes onto a glass slide using a magnetic field, and SNPs were identified with dual-color fluorescence hybridization. Three different SNP loci from 24 samples were genotyped successfully using this platform. This procedure allows the user to directly analyze the bead fluorescence to determine the SNP genotype, and it eliminates the need for background subtraction for signal determination. This method also bypasses tedious PCR purification and concentration procedures, and it facilitates large-scale SNP studies by using a method that is highly sensitive, simple, labor-saving, and potentially automatable.","author":[{"dropping-particle":"","family":"Li","given":"Song","non-dropping-particle":"","parse-names":false,"suffix":""},{"dropping-particle":"","family":"Liu","given":"Hongna","non-dropping-particle":"","parse-names":false,"suffix":""},{"dropping-particle":"","family":"Liu","given":"Lishang","non-dropping-particle":"","parse-names":false,"suffix":""},{"dropping-particle":"","family":"Tian","given":"Lan","non-dropping-particle":"","parse-names":false,"suffix":""},{"dropping-particle":"","family":"He","given":"Nongyue","non-dropping-particle":"","parse-names":false,"suffix":""}],"container-title":"Analytical Biochemistry","id":"ITEM-1","issue":"1","issued":{"date-parts":[["2010"]]},"page":"141-143","title":"A novel automated assay with dual-color hybridization for single-nucleotide polymorphisms genotyping on gold magnetic nanoparticle array","type":"article-journal","volume":"405"},"uris":["http://www.mendeley.com/documents/?uuid=3477c15b-5bc7-41f4-a29a-22c562d1a00e"]}],"mendeley":{"formattedCitation":"[198]","plainTextFormattedCitation":"[198]","previouslyFormattedCitation":"[198]"},"properties":{"noteIndex":0},"schema":"https://github.com/citation-style-language/schema/raw/master/csl-citation.json"}</w:instrText>
      </w:r>
      <w:r w:rsidR="003A474E"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[198]</w:t>
      </w:r>
      <w:r w:rsidR="003A474E" w:rsidRPr="005B1CCB">
        <w:rPr>
          <w:rFonts w:ascii="Palatino Linotype" w:hAnsi="Palatino Linotype"/>
          <w:sz w:val="24"/>
          <w:szCs w:val="24"/>
          <w:lang w:bidi="en-US"/>
        </w:rPr>
        <w:fldChar w:fldCharType="end"/>
      </w:r>
      <w:r w:rsidR="00BD6F16" w:rsidRPr="005B1CCB">
        <w:rPr>
          <w:rFonts w:ascii="Palatino Linotype" w:hAnsi="Palatino Linotype"/>
          <w:sz w:val="24"/>
          <w:szCs w:val="24"/>
          <w:lang w:bidi="en-US"/>
        </w:rPr>
        <w:t xml:space="preserve">, sonication </w:t>
      </w:r>
      <w:r w:rsidR="00AD61A0"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{"citationItems":[{"id":"ITEM-1","itemData":{"DOI":"10.3109/17453674.2012.693019","ISSN":"1745-3682","abstract":"PURPOSE: We wanted to improve the diagnosis of implant-related infection using molecular biological techniques after sonication. METHODS: We studied 258 retrieved implant components (185 prosthetic implants and 73 osteosynthesis implants) from 126 patients. 47 patients had a clinical diagnosis of infection (108 components) and 79 patients did not (150 components). The fluids from sonication of retrieved implants were tested in culture and were also analyzed using a modified commercial PCR kit for detection of Gram-positive and Gram-negative bacteria (GenoType BC; Hain Lifescience) after extraction of the DNA. RESULTS: 38 of 47 patients with a clinical diagnosis of infection were also diagnosed as being infected using culture and/or PCR (35 by culture alone). Also, 24 patients of the 79 cases with no clinical diagnosis of infection were identified microbiologically as being infected (4 by culture, 16 by PCR, and 4 by both culture and PCR). Comparing culture and PCR, positive culture results were obtained in 28 of the 79 patients and positive PCR results were obtained in 35. There were 21 discordant results in patients who were originally clinically diagnosed as being infected and 28 discordant results in patients who had no clinical diagnosis of infection. INTERPRETATION: For prosthetic joint infections and relative to culture, molecular detection can increase (by one tenth) the number of patients diagnosed as having an infection. Positive results from patients who have no clinical diagnosis of infection must be interpreted carefully.","author":[{"dropping-particle":"","family":"Esteban","given":"Jaime","non-dropping-particle":"","parse-names":false,"suffix":""},{"dropping-particle":"","family":"Alonso-Rodriguez","given":"Noelia","non-dropping-particle":"","parse-names":false,"suffix":""},{"dropping-particle":"","family":"del-Prado","given":"Gema","non-dropping-particle":"","parse-names":false,"suffix":""},{"dropping-particle":"","family":"Ortiz-Pérez","given":"Alberto","non-dropping-particle":"","parse-names":false,"suffix":""},{"dropping-particle":"","family":"Molina-Manso","given":"Diana","non-dropping-particle":"","parse-names":false,"suffix":""},{"dropping-particle":"","family":"Cordero-Ampuero","given":"Jose","non-dropping-particle":"","parse-names":false,"suffix":""},{"dropping-particle":"","family":"Sandoval","given":"Enrique","non-dropping-particle":"","parse-names":false,"suffix":""},{"dropping-particle":"","family":"Fernández-Roblas","given":"Ricardo","non-dropping-particle":"","parse-names":false,"suffix":""},{"dropping-particle":"","family":"Gómez-Barrena","given":"Enrique","non-dropping-particle":"","parse-names":false,"suffix":""}],"container-title":"Acta orthopaedica","edition":"2012/05/23","id":"ITEM-1","issue":"3","issued":{"date-parts":[["2012","6"]]},"language":"eng","page":"299-304","publisher":"Informa Healthcare","title":"PCR-hybridization after sonication improves diagnosis of implant-related infection","type":"article-journal","volume":"83"},"uris":["http://www.mendeley.com/documents/?uuid=39a7beda-84b7-4d9b-bc0b-2a8cf19511c0"]}],"mendeley":{"formattedCitation":"[199]","plainTextFormattedCitation":"[199]","previouslyFormattedCitation":"[199]"},"properties":{"noteIndex":0},"schema":"https://github.com/citation-style-language/schema/raw/master/csl-citation.json"}</w:instrText>
      </w:r>
      <w:r w:rsidR="00AD61A0"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[199]</w:t>
      </w:r>
      <w:r w:rsidR="00AD61A0" w:rsidRPr="005B1CCB">
        <w:rPr>
          <w:rFonts w:ascii="Palatino Linotype" w:hAnsi="Palatino Linotype"/>
          <w:sz w:val="24"/>
          <w:szCs w:val="24"/>
          <w:lang w:bidi="en-US"/>
        </w:rPr>
        <w:fldChar w:fldCharType="end"/>
      </w:r>
      <w:r w:rsidR="00AD61A0" w:rsidRPr="005B1CCB">
        <w:rPr>
          <w:rFonts w:ascii="Palatino Linotype" w:hAnsi="Palatino Linotype"/>
          <w:sz w:val="24"/>
          <w:szCs w:val="24"/>
          <w:lang w:bidi="en-US"/>
        </w:rPr>
        <w:t xml:space="preserve"> </w:t>
      </w:r>
      <w:r w:rsidR="00AD61A0"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{"citationItems":[{"id":"ITEM-1","itemData":{"DOI":"10.1128/jcm.12.2.226-234.1980","ISSN":"0095-1137","abstract":"A method for typing clinical isolates of herpes simplex virus was developed. It utilizes hybridization between unlabeled deoxyribonucleic acid from infected cultures and tritium-labeled virus deoxyribonucleic acid, and it can be completed within a day using a single roller-tube culture of the clinical isolated. The data obtained are inherently quantitative, and the method yields unequivocal identification and typing. Thirty-nine coded clinical isolates were all correctly typed by this method.","author":[{"dropping-particle":"","family":"Brautigam","given":"A R","non-dropping-particle":"","parse-names":false,"suffix":""},{"dropping-particle":"","family":"Richman","given":"D D","non-dropping-particle":"","parse-names":false,"suffix":""},{"dropping-particle":"","family":"Oxman","given":"M N","non-dropping-particle":"","parse-names":false,"suffix":""}],"container-title":"Journal of clinical microbiology","id":"ITEM-1","issue":"2","issued":{"date-parts":[["1980","8"]]},"language":"eng","page":"226-234","title":"Rapid typing of herpes simplex virus isolates by deoxyribonucleic acid:deoxyribonucleic acid hybridization","type":"article-journal","volume":"12"},"uris":["http://www.mendeley.com/documents/?uuid=eae1efe1-afbd-4253-b8b1-0c3b248be26b"]}],"mendeley":{"formattedCitation":"[200]","plainTextFormattedCitation":"[200]","previouslyFormattedCitation":"[200]"},"properties":{"noteIndex":0},"schema":"https://github.com/citation-style-language/schema/raw/master/csl-citation.json"}</w:instrText>
      </w:r>
      <w:r w:rsidR="00AD61A0"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[200]</w:t>
      </w:r>
      <w:r w:rsidR="00AD61A0" w:rsidRPr="005B1CCB">
        <w:rPr>
          <w:rFonts w:ascii="Palatino Linotype" w:hAnsi="Palatino Linotype"/>
          <w:sz w:val="24"/>
          <w:szCs w:val="24"/>
          <w:lang w:bidi="en-US"/>
        </w:rPr>
        <w:fldChar w:fldCharType="end"/>
      </w:r>
      <w:r w:rsidR="000538CA" w:rsidRPr="005B1CCB">
        <w:rPr>
          <w:rFonts w:ascii="Palatino Linotype" w:hAnsi="Palatino Linotype"/>
          <w:sz w:val="24"/>
          <w:szCs w:val="24"/>
          <w:lang w:bidi="en-US"/>
        </w:rPr>
        <w:t xml:space="preserve"> </w:t>
      </w:r>
      <w:r w:rsidR="00BD6F16" w:rsidRPr="005B1CCB">
        <w:rPr>
          <w:rFonts w:ascii="Palatino Linotype" w:hAnsi="Palatino Linotype"/>
          <w:sz w:val="24"/>
          <w:szCs w:val="24"/>
          <w:lang w:bidi="en-US"/>
        </w:rPr>
        <w:t>and the use of chemicals</w:t>
      </w:r>
      <w:r w:rsidR="000538CA" w:rsidRPr="005B1CCB">
        <w:rPr>
          <w:rFonts w:ascii="Palatino Linotype" w:hAnsi="Palatino Linotype"/>
          <w:sz w:val="24"/>
          <w:szCs w:val="24"/>
          <w:lang w:bidi="en-US"/>
        </w:rPr>
        <w:t xml:space="preserve"> </w:t>
      </w:r>
      <w:r w:rsidR="000538CA"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{"citationItems":[{"id":"ITEM-1","itemData":{"DOI":"10.1007/BF01199051","ISSN":"0144-8463","abstract":"Dimethyl sulphoxide is a water miscible solvent that has wide applications in cell biology. It acts as a cryoprotective agent in a variety of cells and tissues allowing prolonged storage at subzero temperatures. The action of dimethyl sulphoxide on the stability of the liquid matrix of cell membranes appears to be responsible for its effects and this appears also to be true for related effects on membrane permeability and fusion. Dimethyl sulphoxide is also known to act as an inducer of cellular differentiation and as a free radical scavenger and radioprotectant. A review of the underlying molecular basis of all these effects of dimethyl sulphoxide is presented.","author":[{"dropping-particle":"","family":"Yu","given":"Zhi -Wu","non-dropping-particle":"","parse-names":false,"suffix":""},{"dropping-particle":"","family":"Quinn","given":"Peter J","non-dropping-particle":"","parse-names":false,"suffix":""}],"container-title":"Bioscience Reports","id":"ITEM-1","issue":"6","issued":{"date-parts":[["1994","12","1"]]},"page":"259-281","title":"Dimethyl sulphoxide: A review of its applications in cell biology","type":"article-journal","volume":"14"},"uris":["http://www.mendeley.com/documents/?uuid=1caee772-1ef6-43b3-bd75-65c2f3e10898"]}],"mendeley":{"formattedCitation":"[201]","plainTextFormattedCitation":"[201]","previouslyFormattedCitation":"[201]"},"properties":{"noteIndex":0},"schema":"https://github.com/citation-style-language/schema/raw/master/csl-citation.json"}</w:instrText>
      </w:r>
      <w:r w:rsidR="000538CA"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[201]</w:t>
      </w:r>
      <w:r w:rsidR="000538CA" w:rsidRPr="005B1CCB">
        <w:rPr>
          <w:rFonts w:ascii="Palatino Linotype" w:hAnsi="Palatino Linotype"/>
          <w:sz w:val="24"/>
          <w:szCs w:val="24"/>
          <w:lang w:bidi="en-US"/>
        </w:rPr>
        <w:fldChar w:fldCharType="end"/>
      </w:r>
      <w:r w:rsidR="00BD6F16" w:rsidRPr="005B1CCB">
        <w:rPr>
          <w:rFonts w:ascii="Palatino Linotype" w:hAnsi="Palatino Linotype"/>
          <w:sz w:val="24"/>
          <w:szCs w:val="24"/>
          <w:lang w:bidi="en-US"/>
        </w:rPr>
        <w:t xml:space="preserve">. A common method which have been applied in this study involves heating the DNA amplicons at a high temperature (95 </w:t>
      </w:r>
      <w:r w:rsidR="00BD6F16" w:rsidRPr="005B1CCB">
        <w:rPr>
          <w:rFonts w:ascii="Palatino Linotype" w:hAnsi="Palatino Linotype"/>
          <w:sz w:val="24"/>
          <w:szCs w:val="24"/>
          <w:vertAlign w:val="superscript"/>
          <w:lang w:bidi="en-US"/>
        </w:rPr>
        <w:t>O</w:t>
      </w:r>
      <w:r w:rsidR="00BD6F16" w:rsidRPr="005B1CCB">
        <w:rPr>
          <w:rFonts w:ascii="Palatino Linotype" w:hAnsi="Palatino Linotype"/>
          <w:sz w:val="24"/>
          <w:szCs w:val="24"/>
          <w:lang w:bidi="en-US"/>
        </w:rPr>
        <w:t xml:space="preserve">C) </w:t>
      </w:r>
      <w:r w:rsidR="00030080"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{"citationItems":[{"id":"ITEM-1","itemData":{"DOI":"https://doi.org/10.1016/j.ab.2010.05.016","ISSN":"0003-2697","abstract":"A high-throughput and cost-effective single-nucleotide polymorphism (SNP) genotyping method based on a gold magnetic nanoparticle (GMNP) array with dual-color hybridization has been designed. Biotinylated single-strand polymerase chain reaction (PCR) products containing the SNP locus were captured by the GMNPs that were coated with streptavidin. The GMNP array was fabricated by immobilizing single-stranded DNA (ssDNA)–GMNP complexes onto a glass slide using a magnetic field, and SNPs were identified with dual-color fluorescence hybridization. Three different SNP loci from 24 samples were genotyped successfully using this platform. This procedure allows the user to directly analyze the bead fluorescence to determine the SNP genotype, and it eliminates the need for background subtraction for signal determination. This method also bypasses tedious PCR purification and concentration procedures, and it facilitates large-scale SNP studies by using a method that is highly sensitive, simple, labor-saving, and potentially automatable.","author":[{"dropping-particle":"","family":"Li","given":"Song","non-dropping-particle":"","parse-names":false,"suffix":""},{"dropping-particle":"","family":"Liu","given":"Hongna","non-dropping-particle":"","parse-names":false,"suffix":""},{"dropping-particle":"","family":"Liu","given":"Lishang","non-dropping-particle":"","parse-names":false,"suffix":""},{"dropping-particle":"","family":"Tian","given":"Lan","non-dropping-particle":"","parse-names":false,"suffix":""},{"dropping-particle":"","family":"He","given":"Nongyue","non-dropping-particle":"","parse-names":false,"suffix":""}],"container-title":"Analytical Biochemistry","id":"ITEM-1","issue":"1","issued":{"date-parts":[["2010"]]},"page":"141-143","title":"A novel automated assay with dual-color hybridization for single-nucleotide polymorphisms genotyping on gold magnetic nanoparticle array","type":"article-journal","volume":"405"},"uris":["http://www.mendeley.com/documents/?uuid=3477c15b-5bc7-41f4-a29a-22c562d1a00e"]}],"mendeley":{"formattedCitation":"[198]","plainTextFormattedCitation":"[198]","previouslyFormattedCitation":"[198]"},"properties":{"noteIndex":0},"schema":"https://github.com/citation-style-language/schema/raw/master/csl-citation.json"}</w:instrText>
      </w:r>
      <w:r w:rsidR="00030080"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[198]</w:t>
      </w:r>
      <w:r w:rsidR="00030080" w:rsidRPr="005B1CCB">
        <w:rPr>
          <w:rFonts w:ascii="Palatino Linotype" w:hAnsi="Palatino Linotype"/>
          <w:sz w:val="24"/>
          <w:szCs w:val="24"/>
          <w:lang w:bidi="en-US"/>
        </w:rPr>
        <w:fldChar w:fldCharType="end"/>
      </w:r>
      <w:r w:rsidR="00030080" w:rsidRPr="005B1CCB">
        <w:rPr>
          <w:rFonts w:ascii="Palatino Linotype" w:hAnsi="Palatino Linotype"/>
          <w:sz w:val="24"/>
          <w:szCs w:val="24"/>
          <w:lang w:bidi="en-US"/>
        </w:rPr>
        <w:t xml:space="preserve"> </w:t>
      </w:r>
      <w:r w:rsidR="00471336"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{"citationItems":[{"id":"ITEM-1","itemData":{"DOI":"10.5620/eht.2014.29.e2014007","ISSN":"2233-6567","abstract":"OBJECTIVES: The present study was designed to systematically characterize the denaturation and the renaturation of double stranded DNA (dsDNA), which is suitable for DNA hybridization. METHODS: A series of physical and chemical denaturation methods were implemented on well-defined 86-bp dsDNA fragment. The degree of each denaturation was measured and the most suitable denaturation method was determined. DNA renaturation tendency was also investigated for the suggested denaturation method. RESULTS: Heating, beads mill, and sonication bath did not show any denaturation for 30 minutes. However probe sonication fully denatured DNA in 5 minutes. 1 mol/L sodium hydroxide (alkaline treatment) and 60% dimethyl sulfoxide (DMSO) treatment fully denatured DNA in 2-5 minutes. CONCLUSIONS: Among all the physical methods applied, the direct probe sonication was the most effective way to denature the DNA fragments. Among chemical methods, 60% DMSO was the most adequate denaturation method since it does not cause full renaturation during DNA hybridization.","author":[{"dropping-particle":"","family":"Wang","given":"Xiaofang","non-dropping-particle":"","parse-names":false,"suffix":""},{"dropping-particle":"","family":"Lim","given":"Hyun Jeong","non-dropping-particle":"","parse-names":false,"suffix":""},{"dropping-particle":"","family":"Son","given":"Ahjeong","non-dropping-particle":"","parse-names":false,"suffix":""}],"container-title":"Environmental health and toxicology","id":"ITEM-1","issued":{"date-parts":[["2014","9","11"]]},"language":"eng","page":"e2014007-e2014007","publisher":"The Korean Society of Environmental Health and Toxicology","title":"Characterization of denaturation and renaturation of DNA for DNA hybridization","type":"article-journal","volume":"29"},"uris":["http://www.mendeley.com/documents/?uuid=699c012b-42c4-473b-807a-54bf4ea424d9"]}],"mendeley":{"formattedCitation":"[202]","plainTextFormattedCitation":"[202]","previouslyFormattedCitation":"[202]"},"properties":{"noteIndex":0},"schema":"https://github.com/citation-style-language/schema/raw/master/csl-citation.json"}</w:instrText>
      </w:r>
      <w:r w:rsidR="00471336"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[202]</w:t>
      </w:r>
      <w:r w:rsidR="00471336" w:rsidRPr="005B1CCB">
        <w:rPr>
          <w:rFonts w:ascii="Palatino Linotype" w:hAnsi="Palatino Linotype"/>
          <w:sz w:val="24"/>
          <w:szCs w:val="24"/>
          <w:lang w:bidi="en-US"/>
        </w:rPr>
        <w:fldChar w:fldCharType="end"/>
      </w:r>
      <w:r w:rsidR="00471336" w:rsidRPr="005B1CCB">
        <w:rPr>
          <w:rFonts w:ascii="Palatino Linotype" w:hAnsi="Palatino Linotype"/>
          <w:sz w:val="24"/>
          <w:szCs w:val="24"/>
          <w:lang w:bidi="en-US"/>
        </w:rPr>
        <w:t xml:space="preserve"> </w:t>
      </w:r>
      <w:r w:rsidR="00BD6F16" w:rsidRPr="005B1CCB">
        <w:rPr>
          <w:rFonts w:ascii="Palatino Linotype" w:hAnsi="Palatino Linotype"/>
          <w:sz w:val="24"/>
          <w:szCs w:val="24"/>
          <w:lang w:bidi="en-US"/>
        </w:rPr>
        <w:t xml:space="preserve">just before incubating on the probe-modified electrode surface. </w:t>
      </w:r>
      <w:r w:rsidR="000C20AD" w:rsidRPr="005B1CCB">
        <w:rPr>
          <w:rFonts w:ascii="Palatino Linotype" w:hAnsi="Palatino Linotype"/>
          <w:sz w:val="24"/>
          <w:szCs w:val="24"/>
          <w:lang w:bidi="en-US"/>
        </w:rPr>
        <w:t>It is important to note that an immediate drop in temperature of the DNA sample can cause immediate renaturation of the already denatured DNA so having a sophisticated heating system like the mini-PCR is essential.</w:t>
      </w:r>
    </w:p>
    <w:p w14:paraId="0429ED8D" w14:textId="77777777" w:rsidR="003A569A" w:rsidRPr="005B1CCB" w:rsidRDefault="003A569A" w:rsidP="00C73C42">
      <w:pPr>
        <w:spacing w:line="360" w:lineRule="auto"/>
        <w:jc w:val="both"/>
        <w:rPr>
          <w:rFonts w:ascii="Palatino Linotype" w:hAnsi="Palatino Linotype"/>
          <w:sz w:val="24"/>
          <w:szCs w:val="24"/>
          <w:lang w:bidi="en-US"/>
        </w:rPr>
      </w:pPr>
    </w:p>
    <w:p w14:paraId="578AE2E8" w14:textId="77777777" w:rsidR="002B5169" w:rsidRPr="005B1CCB" w:rsidRDefault="002B5169" w:rsidP="00D71969">
      <w:pPr>
        <w:pStyle w:val="Heading3"/>
      </w:pPr>
      <w:bookmarkStart w:id="96" w:name="_Toc84528085"/>
      <w:r w:rsidRPr="005B1CCB">
        <w:t>Electrochemical measurements</w:t>
      </w:r>
      <w:bookmarkEnd w:id="96"/>
    </w:p>
    <w:p w14:paraId="062FD053" w14:textId="78A67809" w:rsidR="0069701C" w:rsidRDefault="00E55095" w:rsidP="002B5169">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2B5169" w:rsidRPr="005B1CCB">
        <w:rPr>
          <w:rFonts w:ascii="Palatino Linotype" w:hAnsi="Palatino Linotype" w:cs="Times New Roman"/>
          <w:sz w:val="24"/>
          <w:szCs w:val="24"/>
        </w:rPr>
        <w:t xml:space="preserve">The PalmSens 4 (2004-2017) potentiostat obtained from PalmSens BV (Netherlands) was used to carry out the electrochemical measurements. PS Trace 5 software was used to measure the EIS and </w:t>
      </w:r>
      <w:r w:rsidR="00180AA3" w:rsidRPr="005B1CCB">
        <w:rPr>
          <w:rFonts w:ascii="Palatino Linotype" w:hAnsi="Palatino Linotype" w:cs="Times New Roman"/>
          <w:sz w:val="24"/>
          <w:szCs w:val="24"/>
        </w:rPr>
        <w:t>voltammetry</w:t>
      </w:r>
      <w:r w:rsidR="002B5169" w:rsidRPr="005B1CCB">
        <w:rPr>
          <w:rFonts w:ascii="Palatino Linotype" w:hAnsi="Palatino Linotype" w:cs="Times New Roman"/>
          <w:sz w:val="24"/>
          <w:szCs w:val="24"/>
        </w:rPr>
        <w:t xml:space="preserve"> characterization pre and post hybridisation.  </w:t>
      </w:r>
      <w:r w:rsidR="003B4654">
        <w:rPr>
          <w:rFonts w:ascii="Palatino Linotype" w:hAnsi="Palatino Linotype" w:cs="Times New Roman"/>
          <w:sz w:val="24"/>
          <w:szCs w:val="24"/>
        </w:rPr>
        <w:t xml:space="preserve">Different measurement techniques were explored to determine the optimal measurement for each sensing platform. </w:t>
      </w:r>
      <w:r w:rsidR="0069701C" w:rsidRPr="005B1CCB">
        <w:rPr>
          <w:rFonts w:ascii="Palatino Linotype" w:hAnsi="Palatino Linotype" w:cs="Times New Roman"/>
          <w:sz w:val="24"/>
          <w:szCs w:val="24"/>
        </w:rPr>
        <w:t>The following measurements and specifications were employed during the course of this study:</w:t>
      </w:r>
    </w:p>
    <w:p w14:paraId="7357C529" w14:textId="77777777" w:rsidR="00F026CE" w:rsidRPr="005B1CCB" w:rsidRDefault="00F026CE" w:rsidP="002B5169">
      <w:pPr>
        <w:spacing w:line="360" w:lineRule="auto"/>
        <w:jc w:val="both"/>
        <w:rPr>
          <w:rFonts w:ascii="Palatino Linotype" w:hAnsi="Palatino Linotype" w:cs="Times New Roman"/>
          <w:sz w:val="24"/>
          <w:szCs w:val="24"/>
        </w:rPr>
      </w:pPr>
    </w:p>
    <w:p w14:paraId="09339AE7" w14:textId="77777777" w:rsidR="009B2D58" w:rsidRPr="005B1CCB" w:rsidRDefault="009B2D58" w:rsidP="000A5F46">
      <w:pPr>
        <w:pStyle w:val="Heading4"/>
      </w:pPr>
      <w:r w:rsidRPr="005B1CCB">
        <w:t>Cyclic voltammetry (</w:t>
      </w:r>
      <w:r w:rsidR="0069701C" w:rsidRPr="005B1CCB">
        <w:t>CV</w:t>
      </w:r>
      <w:r w:rsidRPr="005B1CCB">
        <w:t>)</w:t>
      </w:r>
    </w:p>
    <w:p w14:paraId="1BCA3DB4" w14:textId="5C1D6F04" w:rsidR="002B5169" w:rsidRPr="005B1CCB" w:rsidRDefault="009B2D58" w:rsidP="00C04C56">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C04C56" w:rsidRPr="005B1CCB">
        <w:rPr>
          <w:rFonts w:ascii="Palatino Linotype" w:hAnsi="Palatino Linotype" w:cs="Times New Roman"/>
          <w:sz w:val="24"/>
          <w:szCs w:val="24"/>
        </w:rPr>
        <w:t> In CV, the potential is swept through a potential range where an electrode reaction occurs, before the direction of the scan is reversed to determine whether the product of electron is stable</w:t>
      </w:r>
      <w:r w:rsidR="00261861" w:rsidRPr="005B1CCB">
        <w:rPr>
          <w:rFonts w:ascii="Palatino Linotype" w:hAnsi="Palatino Linotype" w:cs="Times New Roman"/>
          <w:sz w:val="24"/>
          <w:szCs w:val="24"/>
        </w:rPr>
        <w:t xml:space="preserve"> </w:t>
      </w:r>
      <w:r w:rsidR="00BA1FC6"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s.jchemed.7b00361","ISSN":"0021-9584","author":[{"dropping-particle":"","family":"Elgrishi","given":"Noemie","non-dropping-particle":"","parse-names":false,"suffix":""},{"dropping-particle":"","family":"Hammon","given":"Kelley","non-dropping-particle":"","parse-names":false,"suffix":""},{"dropping-particle":"","family":"McCarthy","given":"Brian","non-dropping-particle":"","parse-names":false,"suffix":""},{"dropping-particle":"","family":"Eisenhart","given":"Thomas","non-dropping-particle":"","parse-names":false,"suffix":""},{"dropping-particle":"","family":"Dempsey","given":"Jillian","non-dropping-particle":"","parse-names":false,"suffix":""}],"container-title":"Journal of Chemical Education","id":"ITEM-1","issued":{"date-parts":[["2017"]]},"page":"1-10","title":"A Practical Beginner's Guide to Cyclic Voltammetry","type":"article-journal"},"uris":["http://www.mendeley.com/documents/?uuid=c88fc604-1d60-481b-acc7-828678732b67"]}],"mendeley":{"formattedCitation":"[146]","plainTextFormattedCitation":"[146]","previouslyFormattedCitation":"[146]"},"properties":{"noteIndex":0},"schema":"https://github.com/citation-style-language/schema/raw/master/csl-citation.json"}</w:instrText>
      </w:r>
      <w:r w:rsidR="00BA1FC6"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[146]</w:t>
      </w:r>
      <w:r w:rsidR="00BA1FC6" w:rsidRPr="005B1CCB">
        <w:rPr>
          <w:rFonts w:ascii="Palatino Linotype" w:hAnsi="Palatino Linotype" w:cs="Times New Roman"/>
          <w:sz w:val="24"/>
          <w:szCs w:val="24"/>
        </w:rPr>
        <w:fldChar w:fldCharType="end"/>
      </w:r>
      <w:r w:rsidR="00C04C56" w:rsidRPr="005B1CCB">
        <w:rPr>
          <w:rFonts w:ascii="Palatino Linotype" w:hAnsi="Palatino Linotype" w:cs="Times New Roman"/>
          <w:sz w:val="24"/>
          <w:szCs w:val="24"/>
        </w:rPr>
        <w:t xml:space="preserve">. </w:t>
      </w:r>
      <w:r w:rsidR="00F150AC" w:rsidRPr="005B1CCB">
        <w:rPr>
          <w:rFonts w:ascii="Palatino Linotype" w:hAnsi="Palatino Linotype" w:cs="Times New Roman"/>
          <w:sz w:val="24"/>
          <w:szCs w:val="24"/>
        </w:rPr>
        <w:t xml:space="preserve">In this technique, a potential waveform is applied to the working electrode (WE) and scanned back and forth between two limits taking on a triangular waveform whilst recording the WE current. </w:t>
      </w:r>
      <w:r w:rsidR="00C04C56" w:rsidRPr="00101B10">
        <w:rPr>
          <w:rFonts w:ascii="Palatino Linotype" w:hAnsi="Palatino Linotype" w:cs="Times New Roman"/>
          <w:sz w:val="24"/>
          <w:szCs w:val="24"/>
        </w:rPr>
        <w:t>The peaks show the rate of electron transfer</w:t>
      </w:r>
      <w:r w:rsidR="00C04C56" w:rsidRPr="005B1CCB">
        <w:rPr>
          <w:rFonts w:ascii="Palatino Linotype" w:hAnsi="Palatino Linotype" w:cs="Times New Roman"/>
          <w:sz w:val="24"/>
          <w:szCs w:val="24"/>
        </w:rPr>
        <w:t xml:space="preserve"> (</w:t>
      </w:r>
      <w:r w:rsidR="00D90C06" w:rsidRPr="005B1CCB">
        <w:rPr>
          <w:rFonts w:ascii="Palatino Linotype" w:hAnsi="Palatino Linotype" w:cs="Times New Roman"/>
          <w:sz w:val="24"/>
          <w:szCs w:val="24"/>
        </w:rPr>
        <w:t>F</w:t>
      </w:r>
      <w:r w:rsidR="00C04C56" w:rsidRPr="005B1CCB">
        <w:rPr>
          <w:rFonts w:ascii="Palatino Linotype" w:hAnsi="Palatino Linotype" w:cs="Times New Roman"/>
          <w:sz w:val="24"/>
          <w:szCs w:val="24"/>
        </w:rPr>
        <w:t xml:space="preserve">igure </w:t>
      </w:r>
      <w:r w:rsidR="00F51224" w:rsidRPr="005B1CCB">
        <w:rPr>
          <w:rFonts w:ascii="Palatino Linotype" w:hAnsi="Palatino Linotype" w:cs="Times New Roman"/>
          <w:sz w:val="24"/>
          <w:szCs w:val="24"/>
        </w:rPr>
        <w:t>1</w:t>
      </w:r>
      <w:r w:rsidR="003A569A" w:rsidRPr="005B1CCB">
        <w:rPr>
          <w:rFonts w:ascii="Palatino Linotype" w:hAnsi="Palatino Linotype" w:cs="Times New Roman"/>
          <w:sz w:val="24"/>
          <w:szCs w:val="24"/>
        </w:rPr>
        <w:t>8</w:t>
      </w:r>
      <w:r w:rsidR="00C04C56" w:rsidRPr="005B1CCB">
        <w:rPr>
          <w:rFonts w:ascii="Palatino Linotype" w:hAnsi="Palatino Linotype" w:cs="Times New Roman"/>
          <w:sz w:val="24"/>
          <w:szCs w:val="24"/>
        </w:rPr>
        <w:t xml:space="preserve">). On a CV graph, current is plotted against potential and DNA hybridization can be measured by monitoring the oxidative or reductive peak </w:t>
      </w:r>
      <w:r w:rsidR="00080B58" w:rsidRPr="005B1CCB">
        <w:rPr>
          <w:rFonts w:ascii="Palatino Linotype" w:hAnsi="Palatino Linotype" w:cs="Times New Roman"/>
          <w:sz w:val="24"/>
          <w:szCs w:val="24"/>
        </w:rPr>
        <w:t>current</w:t>
      </w:r>
      <w:r w:rsidR="00C04C56" w:rsidRPr="005B1CCB">
        <w:rPr>
          <w:rFonts w:ascii="Palatino Linotype" w:hAnsi="Palatino Linotype" w:cs="Times New Roman"/>
          <w:sz w:val="24"/>
          <w:szCs w:val="24"/>
        </w:rPr>
        <w:t>.​ DNA on the surface of an electrode makes the current reduce so when a DNA target probe binds to the single stranded probe on the electrode surface, the oxidative and reductive peaks should reduce</w:t>
      </w:r>
      <w:r w:rsidR="00095646" w:rsidRPr="005B1CCB">
        <w:rPr>
          <w:rFonts w:ascii="Palatino Linotype" w:hAnsi="Palatino Linotype" w:cs="Times New Roman"/>
          <w:sz w:val="24"/>
          <w:szCs w:val="24"/>
        </w:rPr>
        <w:t xml:space="preserve"> as shown in Figure 1</w:t>
      </w:r>
      <w:r w:rsidR="003A569A" w:rsidRPr="005B1CCB">
        <w:rPr>
          <w:rFonts w:ascii="Palatino Linotype" w:hAnsi="Palatino Linotype" w:cs="Times New Roman"/>
          <w:sz w:val="24"/>
          <w:szCs w:val="24"/>
        </w:rPr>
        <w:t>8</w:t>
      </w:r>
      <w:r w:rsidR="00C04C56" w:rsidRPr="005B1CCB">
        <w:rPr>
          <w:rFonts w:ascii="Palatino Linotype" w:hAnsi="Palatino Linotype" w:cs="Times New Roman"/>
          <w:sz w:val="24"/>
          <w:szCs w:val="24"/>
        </w:rPr>
        <w:t>.​</w:t>
      </w:r>
      <w:r w:rsidR="0069701C" w:rsidRPr="005B1CCB">
        <w:rPr>
          <w:rFonts w:ascii="Palatino Linotype" w:hAnsi="Palatino Linotype" w:cs="Times New Roman"/>
          <w:sz w:val="24"/>
          <w:szCs w:val="24"/>
        </w:rPr>
        <w:t xml:space="preserve"> </w:t>
      </w:r>
      <w:r w:rsidR="002B5169" w:rsidRPr="005B1CCB">
        <w:rPr>
          <w:rFonts w:ascii="Palatino Linotype" w:hAnsi="Palatino Linotype" w:cs="Times New Roman"/>
          <w:sz w:val="24"/>
          <w:szCs w:val="24"/>
        </w:rPr>
        <w:t xml:space="preserve">For CV characterization, the voltage was scanned over a potential range of 0 V to 0.7 V with a step of 10 mV at a scan rate of 100 mV/s and the instrumental current range selected was between 100 nA and 10 mA for 3 scans. </w:t>
      </w:r>
    </w:p>
    <w:p w14:paraId="38ADD531" w14:textId="77777777" w:rsidR="00F51224" w:rsidRPr="005B1CCB" w:rsidRDefault="002027F0" w:rsidP="002027F0">
      <w:pPr>
        <w:spacing w:line="360" w:lineRule="auto"/>
        <w:jc w:val="center"/>
        <w:rPr>
          <w:rFonts w:ascii="Palatino Linotype" w:hAnsi="Palatino Linotype" w:cs="Times New Roman"/>
          <w:sz w:val="24"/>
          <w:szCs w:val="24"/>
        </w:rPr>
      </w:pPr>
      <w:r w:rsidRPr="005B1CCB">
        <w:rPr>
          <w:rFonts w:ascii="Palatino Linotype" w:hAnsi="Palatino Linotype" w:cs="Times New Roman"/>
          <w:noProof/>
          <w:sz w:val="24"/>
          <w:szCs w:val="24"/>
          <w:lang w:eastAsia="en-GB"/>
        </w:rPr>
        <w:drawing>
          <wp:inline distT="0" distB="0" distL="0" distR="0" wp14:anchorId="3B527618" wp14:editId="658949E3">
            <wp:extent cx="4264557" cy="299167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a:extLst>
                        <a:ext uri="{28A0092B-C50C-407E-A947-70E740481C1C}">
                          <a14:useLocalDpi xmlns:a14="http://schemas.microsoft.com/office/drawing/2010/main" val="0"/>
                        </a:ext>
                      </a:extLst>
                    </a:blip>
                    <a:srcRect l="5314" t="8862" b="4112"/>
                    <a:stretch/>
                  </pic:blipFill>
                  <pic:spPr bwMode="auto">
                    <a:xfrm>
                      <a:off x="0" y="0"/>
                      <a:ext cx="4273973" cy="2998284"/>
                    </a:xfrm>
                    <a:prstGeom prst="rect">
                      <a:avLst/>
                    </a:prstGeom>
                    <a:noFill/>
                    <a:ln>
                      <a:noFill/>
                    </a:ln>
                    <a:extLst>
                      <a:ext uri="{53640926-AAD7-44D8-BBD7-CCE9431645EC}">
                        <a14:shadowObscured xmlns:a14="http://schemas.microsoft.com/office/drawing/2010/main"/>
                      </a:ext>
                    </a:extLst>
                  </pic:spPr>
                </pic:pic>
              </a:graphicData>
            </a:graphic>
          </wp:inline>
        </w:drawing>
      </w:r>
    </w:p>
    <w:p w14:paraId="7FD8987B" w14:textId="77777777" w:rsidR="00180AA3" w:rsidRPr="005B1CCB" w:rsidRDefault="00F51224" w:rsidP="00F51224">
      <w:pPr>
        <w:pStyle w:val="Caption"/>
        <w:jc w:val="center"/>
        <w:rPr>
          <w:sz w:val="22"/>
          <w:szCs w:val="22"/>
        </w:rPr>
      </w:pPr>
      <w:bookmarkStart w:id="97" w:name="_Toc84519613"/>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18</w:t>
      </w:r>
      <w:r w:rsidRPr="005B1CCB">
        <w:rPr>
          <w:sz w:val="22"/>
          <w:szCs w:val="22"/>
        </w:rPr>
        <w:fldChar w:fldCharType="end"/>
      </w:r>
      <w:r w:rsidRPr="005B1CCB">
        <w:rPr>
          <w:sz w:val="22"/>
          <w:szCs w:val="22"/>
        </w:rPr>
        <w:t xml:space="preserve">: </w:t>
      </w:r>
      <w:r w:rsidR="00962085" w:rsidRPr="005B1CCB">
        <w:rPr>
          <w:sz w:val="22"/>
          <w:szCs w:val="22"/>
        </w:rPr>
        <w:t xml:space="preserve">Example of a </w:t>
      </w:r>
      <w:r w:rsidRPr="005B1CCB">
        <w:rPr>
          <w:sz w:val="22"/>
          <w:szCs w:val="22"/>
        </w:rPr>
        <w:t>C</w:t>
      </w:r>
      <w:r w:rsidR="00005022" w:rsidRPr="005B1CCB">
        <w:rPr>
          <w:sz w:val="22"/>
          <w:szCs w:val="22"/>
        </w:rPr>
        <w:t xml:space="preserve">yclic </w:t>
      </w:r>
      <w:r w:rsidR="00962085" w:rsidRPr="005B1CCB">
        <w:rPr>
          <w:sz w:val="22"/>
          <w:szCs w:val="22"/>
        </w:rPr>
        <w:t>V</w:t>
      </w:r>
      <w:r w:rsidR="00005022" w:rsidRPr="005B1CCB">
        <w:rPr>
          <w:sz w:val="22"/>
          <w:szCs w:val="22"/>
        </w:rPr>
        <w:t xml:space="preserve">oltammogram showing </w:t>
      </w:r>
      <w:r w:rsidRPr="005B1CCB">
        <w:rPr>
          <w:sz w:val="22"/>
          <w:szCs w:val="22"/>
        </w:rPr>
        <w:t xml:space="preserve"> </w:t>
      </w:r>
      <w:r w:rsidR="00005022" w:rsidRPr="005B1CCB">
        <w:rPr>
          <w:sz w:val="22"/>
          <w:szCs w:val="22"/>
        </w:rPr>
        <w:t>oxidative and reductive peak currents and low current signals when target binds to probe (post-hybridisation)</w:t>
      </w:r>
      <w:bookmarkEnd w:id="97"/>
    </w:p>
    <w:p w14:paraId="335EA52A" w14:textId="77777777" w:rsidR="003A569A" w:rsidRPr="005B1CCB" w:rsidRDefault="003A569A" w:rsidP="003A569A"/>
    <w:p w14:paraId="50F3071C" w14:textId="77777777" w:rsidR="000A5F46" w:rsidRPr="005B1CCB" w:rsidRDefault="0069701C" w:rsidP="000A5F46">
      <w:pPr>
        <w:pStyle w:val="Heading4"/>
      </w:pPr>
      <w:r w:rsidRPr="005B1CCB">
        <w:t>Differential pulse voltammetry (DPV)</w:t>
      </w:r>
    </w:p>
    <w:p w14:paraId="1664A89F" w14:textId="3763E8A1" w:rsidR="005C4ABF" w:rsidRPr="005B1CCB" w:rsidRDefault="00B6747E" w:rsidP="00C9470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69701C" w:rsidRPr="005B1CCB">
        <w:rPr>
          <w:rFonts w:ascii="Palatino Linotype" w:hAnsi="Palatino Linotype" w:cs="Times New Roman"/>
          <w:sz w:val="24"/>
          <w:szCs w:val="24"/>
        </w:rPr>
        <w:t>In DPV, the potential wave form consists of small pulses of constant amplitude superimposed upon a staircase wave form. This current is sampled twice in each pulse period and the difference between the tw</w:t>
      </w:r>
      <w:r w:rsidR="000A5F46" w:rsidRPr="005B1CCB">
        <w:rPr>
          <w:rFonts w:ascii="Palatino Linotype" w:hAnsi="Palatino Linotype" w:cs="Times New Roman"/>
          <w:sz w:val="24"/>
          <w:szCs w:val="24"/>
        </w:rPr>
        <w:t>o</w:t>
      </w:r>
      <w:r w:rsidR="0069701C" w:rsidRPr="005B1CCB">
        <w:rPr>
          <w:rFonts w:ascii="Palatino Linotype" w:hAnsi="Palatino Linotype" w:cs="Times New Roman"/>
          <w:sz w:val="24"/>
          <w:szCs w:val="24"/>
        </w:rPr>
        <w:t xml:space="preserve"> current</w:t>
      </w:r>
      <w:r w:rsidR="000A5F46" w:rsidRPr="005B1CCB">
        <w:rPr>
          <w:rFonts w:ascii="Palatino Linotype" w:hAnsi="Palatino Linotype" w:cs="Times New Roman"/>
          <w:sz w:val="24"/>
          <w:szCs w:val="24"/>
        </w:rPr>
        <w:t xml:space="preserve"> </w:t>
      </w:r>
      <w:r w:rsidR="0069701C" w:rsidRPr="005B1CCB">
        <w:rPr>
          <w:rFonts w:ascii="Palatino Linotype" w:hAnsi="Palatino Linotype" w:cs="Times New Roman"/>
          <w:sz w:val="24"/>
          <w:szCs w:val="24"/>
        </w:rPr>
        <w:t xml:space="preserve">values is recorded and displayed </w:t>
      </w:r>
      <w:r w:rsidR="00252D58"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s.analchem.9b03035","ISSN":"0003-2700","author":[{"dropping-particle":"","family":"Mirceski","given":"Valentin","non-dropping-particle":"","parse-names":false,"suffix":""},{"dropping-particle":"","family":"Guziejewski","given":"Dariusz","non-dropping-particle":"","parse-names":false,"suffix":""},{"dropping-particle":"","family":"Stojanov","given":"Leon","non-dropping-particle":"","parse-names":false,"suffix":""},{"dropping-particle":"","family":"Gulaboski","given":"Rubin","non-dropping-particle":"","parse-names":false,"suffix":""}],"container-title":"Analytical Chemistry","id":"ITEM-1","issue":"23","issued":{"date-parts":[["2019","12","3"]]},"note":"doi: 10.1021/acs.analchem.9b03035","page":"14904-14910","publisher":"American Chemical Society","title":"Differential Square-Wave Voltammetry","type":"article-journal","volume":"91"},"uris":["http://www.mendeley.com/documents/?uuid=00af6d86-c778-4673-b2fa-4ba7812bd7fb"]}],"mendeley":{"formattedCitation":"[203]","plainTextFormattedCitation":"[203]","previouslyFormattedCitation":"[203]"},"properties":{"noteIndex":0},"schema":"https://github.com/citation-style-language/schema/raw/master/csl-citation.json"}</w:instrText>
      </w:r>
      <w:r w:rsidR="00252D58"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[203]</w:t>
      </w:r>
      <w:r w:rsidR="00252D58" w:rsidRPr="005B1CCB">
        <w:rPr>
          <w:rFonts w:ascii="Palatino Linotype" w:hAnsi="Palatino Linotype" w:cs="Times New Roman"/>
          <w:sz w:val="24"/>
          <w:szCs w:val="24"/>
        </w:rPr>
        <w:fldChar w:fldCharType="end"/>
      </w:r>
      <w:r w:rsidR="0069701C" w:rsidRPr="005B1CCB">
        <w:rPr>
          <w:rFonts w:ascii="Palatino Linotype" w:hAnsi="Palatino Linotype" w:cs="Times New Roman"/>
          <w:sz w:val="24"/>
          <w:szCs w:val="24"/>
        </w:rPr>
        <w:t xml:space="preserve">. </w:t>
      </w:r>
      <w:r w:rsidR="00D47775" w:rsidRPr="005B1CCB">
        <w:rPr>
          <w:rFonts w:ascii="Palatino Linotype" w:hAnsi="Palatino Linotype" w:cs="Times New Roman"/>
          <w:sz w:val="24"/>
          <w:szCs w:val="24"/>
        </w:rPr>
        <w:t>An example of a differential pulse voltammogram is shown in Figure 1</w:t>
      </w:r>
      <w:r w:rsidR="00603763" w:rsidRPr="005B1CCB">
        <w:rPr>
          <w:rFonts w:ascii="Palatino Linotype" w:hAnsi="Palatino Linotype" w:cs="Times New Roman"/>
          <w:sz w:val="24"/>
          <w:szCs w:val="24"/>
        </w:rPr>
        <w:t>9</w:t>
      </w:r>
      <w:r w:rsidR="00D47775" w:rsidRPr="005B1CCB">
        <w:rPr>
          <w:rFonts w:ascii="Palatino Linotype" w:hAnsi="Palatino Linotype" w:cs="Times New Roman"/>
          <w:sz w:val="24"/>
          <w:szCs w:val="24"/>
        </w:rPr>
        <w:t xml:space="preserve">. </w:t>
      </w:r>
      <w:r w:rsidR="00C9470B" w:rsidRPr="005B1CCB">
        <w:rPr>
          <w:rFonts w:ascii="Palatino Linotype" w:hAnsi="Palatino Linotype" w:cs="Times New Roman"/>
          <w:sz w:val="24"/>
          <w:szCs w:val="24"/>
        </w:rPr>
        <w:t xml:space="preserve">For DPV characterization, the voltage was scanned over a potential range of -0.2 V to 0.5 V with a step of 5 mV at a scan rate of 100 mV/s and the instrumental current range selected was between 100 nA and 10 mA for </w:t>
      </w:r>
      <w:r w:rsidR="004074A2" w:rsidRPr="005B1CCB">
        <w:rPr>
          <w:rFonts w:ascii="Palatino Linotype" w:hAnsi="Palatino Linotype" w:cs="Times New Roman"/>
          <w:sz w:val="24"/>
          <w:szCs w:val="24"/>
        </w:rPr>
        <w:t>each</w:t>
      </w:r>
      <w:r w:rsidR="00C41BD2">
        <w:rPr>
          <w:rFonts w:ascii="Palatino Linotype" w:hAnsi="Palatino Linotype" w:cs="Times New Roman"/>
          <w:sz w:val="24"/>
          <w:szCs w:val="24"/>
        </w:rPr>
        <w:t xml:space="preserve"> scan</w:t>
      </w:r>
      <w:r w:rsidR="00C9470B" w:rsidRPr="005B1CCB">
        <w:rPr>
          <w:rFonts w:ascii="Palatino Linotype" w:hAnsi="Palatino Linotype" w:cs="Times New Roman"/>
          <w:sz w:val="24"/>
          <w:szCs w:val="24"/>
        </w:rPr>
        <w:t xml:space="preserve">. </w:t>
      </w:r>
    </w:p>
    <w:p w14:paraId="2EA5A15F" w14:textId="77777777" w:rsidR="00B6747E" w:rsidRPr="005B1CCB" w:rsidRDefault="00891727" w:rsidP="00B6747E">
      <w:pPr>
        <w:keepNext/>
        <w:spacing w:line="360" w:lineRule="auto"/>
        <w:jc w:val="center"/>
      </w:pPr>
      <w:r w:rsidRPr="005B1CCB">
        <w:rPr>
          <w:noProof/>
          <w:lang w:eastAsia="en-GB"/>
        </w:rPr>
        <w:drawing>
          <wp:inline distT="0" distB="0" distL="0" distR="0" wp14:anchorId="5EE47B21" wp14:editId="7E548FE1">
            <wp:extent cx="3857625" cy="300101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a:extLst>
                        <a:ext uri="{28A0092B-C50C-407E-A947-70E740481C1C}">
                          <a14:useLocalDpi xmlns:a14="http://schemas.microsoft.com/office/drawing/2010/main" val="0"/>
                        </a:ext>
                      </a:extLst>
                    </a:blip>
                    <a:srcRect l="6281" t="7279" r="9415" b="4745"/>
                    <a:stretch/>
                  </pic:blipFill>
                  <pic:spPr bwMode="auto">
                    <a:xfrm>
                      <a:off x="0" y="0"/>
                      <a:ext cx="3865372" cy="3007037"/>
                    </a:xfrm>
                    <a:prstGeom prst="rect">
                      <a:avLst/>
                    </a:prstGeom>
                    <a:noFill/>
                    <a:ln>
                      <a:noFill/>
                    </a:ln>
                    <a:extLst>
                      <a:ext uri="{53640926-AAD7-44D8-BBD7-CCE9431645EC}">
                        <a14:shadowObscured xmlns:a14="http://schemas.microsoft.com/office/drawing/2010/main"/>
                      </a:ext>
                    </a:extLst>
                  </pic:spPr>
                </pic:pic>
              </a:graphicData>
            </a:graphic>
          </wp:inline>
        </w:drawing>
      </w:r>
    </w:p>
    <w:p w14:paraId="232C898A" w14:textId="77777777" w:rsidR="00C94CF0" w:rsidRPr="005B1CCB" w:rsidRDefault="00B6747E" w:rsidP="00B6747E">
      <w:pPr>
        <w:pStyle w:val="Caption"/>
        <w:jc w:val="center"/>
        <w:rPr>
          <w:sz w:val="22"/>
          <w:szCs w:val="22"/>
        </w:rPr>
      </w:pPr>
      <w:bookmarkStart w:id="98" w:name="_Toc84519614"/>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19</w:t>
      </w:r>
      <w:r w:rsidRPr="005B1CCB">
        <w:rPr>
          <w:sz w:val="22"/>
          <w:szCs w:val="22"/>
        </w:rPr>
        <w:fldChar w:fldCharType="end"/>
      </w:r>
      <w:r w:rsidRPr="005B1CCB">
        <w:rPr>
          <w:sz w:val="22"/>
          <w:szCs w:val="22"/>
        </w:rPr>
        <w:t xml:space="preserve">: </w:t>
      </w:r>
      <w:r w:rsidR="00962085" w:rsidRPr="005B1CCB">
        <w:rPr>
          <w:sz w:val="22"/>
          <w:szCs w:val="22"/>
        </w:rPr>
        <w:t xml:space="preserve">Example of a </w:t>
      </w:r>
      <w:r w:rsidRPr="005B1CCB">
        <w:rPr>
          <w:sz w:val="22"/>
          <w:szCs w:val="22"/>
        </w:rPr>
        <w:t>D</w:t>
      </w:r>
      <w:r w:rsidR="003258D0" w:rsidRPr="005B1CCB">
        <w:rPr>
          <w:sz w:val="22"/>
          <w:szCs w:val="22"/>
        </w:rPr>
        <w:t xml:space="preserve">ifferential </w:t>
      </w:r>
      <w:r w:rsidR="00962085" w:rsidRPr="005B1CCB">
        <w:rPr>
          <w:sz w:val="22"/>
          <w:szCs w:val="22"/>
        </w:rPr>
        <w:t>P</w:t>
      </w:r>
      <w:r w:rsidR="003258D0" w:rsidRPr="005B1CCB">
        <w:rPr>
          <w:sz w:val="22"/>
          <w:szCs w:val="22"/>
        </w:rPr>
        <w:t xml:space="preserve">ulse </w:t>
      </w:r>
      <w:r w:rsidR="00962085" w:rsidRPr="005B1CCB">
        <w:rPr>
          <w:sz w:val="22"/>
          <w:szCs w:val="22"/>
        </w:rPr>
        <w:t>V</w:t>
      </w:r>
      <w:r w:rsidR="003258D0" w:rsidRPr="005B1CCB">
        <w:rPr>
          <w:sz w:val="22"/>
          <w:szCs w:val="22"/>
        </w:rPr>
        <w:t>oltammogram showing  oxidative peak current and low current signals when target binds to probe (post-hybridisation)</w:t>
      </w:r>
      <w:bookmarkEnd w:id="98"/>
    </w:p>
    <w:p w14:paraId="7EA5264E" w14:textId="77777777" w:rsidR="00603763" w:rsidRPr="005B1CCB" w:rsidRDefault="00603763" w:rsidP="00603763"/>
    <w:p w14:paraId="20BB80DD" w14:textId="77777777" w:rsidR="000A5F46" w:rsidRPr="005B1CCB" w:rsidRDefault="009B2D58" w:rsidP="000A5F46">
      <w:pPr>
        <w:pStyle w:val="Heading4"/>
      </w:pPr>
      <w:r w:rsidRPr="005B1CCB">
        <w:t>Square wave voltammetry (</w:t>
      </w:r>
      <w:r w:rsidR="0069701C" w:rsidRPr="005B1CCB">
        <w:t>SWV</w:t>
      </w:r>
      <w:r w:rsidRPr="005B1CCB">
        <w:t xml:space="preserve">) </w:t>
      </w:r>
    </w:p>
    <w:p w14:paraId="544B61F2" w14:textId="14AEB1F6" w:rsidR="00C9470B" w:rsidRPr="005B1CCB" w:rsidRDefault="000A5F46" w:rsidP="00C9470B">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48558B" w:rsidRPr="005B1CCB">
        <w:rPr>
          <w:rFonts w:ascii="Palatino Linotype" w:hAnsi="Palatino Linotype" w:cs="Times New Roman"/>
          <w:sz w:val="24"/>
          <w:szCs w:val="24"/>
        </w:rPr>
        <w:t xml:space="preserve">SWV is a very sensitive electrochemical technique </w:t>
      </w:r>
      <w:r w:rsidR="002D34AF" w:rsidRPr="005B1CCB">
        <w:rPr>
          <w:rFonts w:ascii="Palatino Linotype" w:hAnsi="Palatino Linotype" w:cs="Times New Roman"/>
          <w:sz w:val="24"/>
          <w:szCs w:val="24"/>
        </w:rPr>
        <w:t xml:space="preserve">based on the principle that the signal-to-noise ratio increases by the square root of the scan rate. </w:t>
      </w:r>
      <w:r w:rsidR="00314BFB" w:rsidRPr="005B1CCB">
        <w:rPr>
          <w:rFonts w:ascii="Palatino Linotype" w:hAnsi="Palatino Linotype" w:cs="Times New Roman"/>
          <w:sz w:val="24"/>
          <w:szCs w:val="24"/>
        </w:rPr>
        <w:t>In SWV, a symmetrical square wave superimposed on a base potential is applied to a working electrode</w:t>
      </w:r>
      <w:r w:rsidR="002D34AF" w:rsidRPr="005B1CCB">
        <w:rPr>
          <w:rFonts w:ascii="Palatino Linotype" w:hAnsi="Palatino Linotype" w:cs="Times New Roman"/>
          <w:sz w:val="24"/>
          <w:szCs w:val="24"/>
        </w:rPr>
        <w:t>. The potential is stepped through a series of forward and reverse pulses from an initial potential to a final potential and the forwards step is determined by the square amplitude while the reverse step is determined by removing the square increment from the square amplitude</w:t>
      </w:r>
      <w:r w:rsidR="00314BFB" w:rsidRPr="005B1CCB">
        <w:rPr>
          <w:rFonts w:ascii="Palatino Linotype" w:hAnsi="Palatino Linotype" w:cs="Times New Roman"/>
          <w:sz w:val="24"/>
          <w:szCs w:val="24"/>
        </w:rPr>
        <w:t xml:space="preserve"> </w:t>
      </w:r>
      <w:r w:rsidR="00314BF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{"citationItems":[{"id":"ITEM-1","itemData":{"DOI":"10.1021/ac00279a004","author":[{"dropping-particle":"","family":"Ap-","given":"Princeton","non-dropping-particle":"","parse-names":false,"suffix":""},{"dropping-particle":"","family":"Instruments","given":"I B M","non-dropping-particle":"","parse-names":false,"suffix":""},{"dropping-particle":"","family":"Voltammetry","given":"Voltammetry","non-dropping-particle":"","parse-names":false,"suffix":""}],"id":"ITEM-1","issue":"1","issued":{"date-parts":[["1985"]]},"title":"Square Wave Voltammetry","type":"article-journal","volume":"57"},"uris":["http://www.mendeley.com/documents/?uuid=21718bc2-08db-4b00-b14d-ed484991151a"]}],"mendeley":{"formattedCitation":"[204]","plainTextFormattedCitation":"[204]","previouslyFormattedCitation":"[204]"},"properties":{"noteIndex":0},"schema":"https://github.com/citation-style-language/schema/raw/master/csl-citation.json"}</w:instrText>
      </w:r>
      <w:r w:rsidR="00314BF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[204]</w:t>
      </w:r>
      <w:r w:rsidR="00314BFB" w:rsidRPr="005B1CCB">
        <w:rPr>
          <w:rFonts w:ascii="Palatino Linotype" w:hAnsi="Palatino Linotype" w:cs="Times New Roman"/>
          <w:sz w:val="24"/>
          <w:szCs w:val="24"/>
        </w:rPr>
        <w:fldChar w:fldCharType="end"/>
      </w:r>
      <w:r w:rsidR="00314BFB" w:rsidRPr="005B1CCB">
        <w:rPr>
          <w:rFonts w:ascii="Palatino Linotype" w:hAnsi="Palatino Linotype" w:cs="Times New Roman"/>
          <w:sz w:val="24"/>
          <w:szCs w:val="24"/>
        </w:rPr>
        <w:t xml:space="preserve">. </w:t>
      </w:r>
      <w:r w:rsidR="00112EFA" w:rsidRPr="005B1CCB">
        <w:rPr>
          <w:rFonts w:ascii="Palatino Linotype" w:hAnsi="Palatino Linotype" w:cs="Times New Roman"/>
          <w:sz w:val="24"/>
          <w:szCs w:val="24"/>
        </w:rPr>
        <w:t xml:space="preserve">An example of a square wave voltammogram is shown in Figure </w:t>
      </w:r>
      <w:r w:rsidR="00603763" w:rsidRPr="005B1CCB">
        <w:rPr>
          <w:rFonts w:ascii="Palatino Linotype" w:hAnsi="Palatino Linotype" w:cs="Times New Roman"/>
          <w:sz w:val="24"/>
          <w:szCs w:val="24"/>
        </w:rPr>
        <w:t>20</w:t>
      </w:r>
      <w:r w:rsidR="00112EFA" w:rsidRPr="005B1CCB">
        <w:rPr>
          <w:rFonts w:ascii="Palatino Linotype" w:hAnsi="Palatino Linotype" w:cs="Times New Roman"/>
          <w:sz w:val="24"/>
          <w:szCs w:val="24"/>
        </w:rPr>
        <w:t>.</w:t>
      </w:r>
      <w:r w:rsidR="00314BFB" w:rsidRPr="005B1CCB">
        <w:rPr>
          <w:rFonts w:ascii="Palatino Linotype" w:hAnsi="Palatino Linotype" w:cs="Times New Roman"/>
          <w:sz w:val="24"/>
          <w:szCs w:val="24"/>
        </w:rPr>
        <w:t xml:space="preserve"> </w:t>
      </w:r>
      <w:r w:rsidR="00C9470B" w:rsidRPr="005B1CCB">
        <w:rPr>
          <w:rFonts w:ascii="Palatino Linotype" w:hAnsi="Palatino Linotype" w:cs="Times New Roman"/>
          <w:sz w:val="24"/>
          <w:szCs w:val="24"/>
        </w:rPr>
        <w:t xml:space="preserve">For SWV characterization, the voltage was scanned over a potential range of </w:t>
      </w:r>
      <w:r w:rsidR="004074A2" w:rsidRPr="005B1CCB">
        <w:rPr>
          <w:rFonts w:ascii="Palatino Linotype" w:hAnsi="Palatino Linotype" w:cs="Times New Roman"/>
          <w:sz w:val="24"/>
          <w:szCs w:val="24"/>
        </w:rPr>
        <w:t>-</w:t>
      </w:r>
      <w:r w:rsidR="00C9470B" w:rsidRPr="005B1CCB">
        <w:rPr>
          <w:rFonts w:ascii="Palatino Linotype" w:hAnsi="Palatino Linotype" w:cs="Times New Roman"/>
          <w:sz w:val="24"/>
          <w:szCs w:val="24"/>
        </w:rPr>
        <w:t>0</w:t>
      </w:r>
      <w:r w:rsidR="004074A2" w:rsidRPr="005B1CCB">
        <w:rPr>
          <w:rFonts w:ascii="Palatino Linotype" w:hAnsi="Palatino Linotype" w:cs="Times New Roman"/>
          <w:sz w:val="24"/>
          <w:szCs w:val="24"/>
        </w:rPr>
        <w:t>.4</w:t>
      </w:r>
      <w:r w:rsidR="00C9470B" w:rsidRPr="005B1CCB">
        <w:rPr>
          <w:rFonts w:ascii="Palatino Linotype" w:hAnsi="Palatino Linotype" w:cs="Times New Roman"/>
          <w:sz w:val="24"/>
          <w:szCs w:val="24"/>
        </w:rPr>
        <w:t xml:space="preserve"> V to 0.</w:t>
      </w:r>
      <w:r w:rsidR="004074A2" w:rsidRPr="005B1CCB">
        <w:rPr>
          <w:rFonts w:ascii="Palatino Linotype" w:hAnsi="Palatino Linotype" w:cs="Times New Roman"/>
          <w:sz w:val="24"/>
          <w:szCs w:val="24"/>
        </w:rPr>
        <w:t>6</w:t>
      </w:r>
      <w:r w:rsidR="00C9470B" w:rsidRPr="005B1CCB">
        <w:rPr>
          <w:rFonts w:ascii="Palatino Linotype" w:hAnsi="Palatino Linotype" w:cs="Times New Roman"/>
          <w:sz w:val="24"/>
          <w:szCs w:val="24"/>
        </w:rPr>
        <w:t xml:space="preserve"> V with a step of 10 mV at a</w:t>
      </w:r>
      <w:r w:rsidR="004074A2" w:rsidRPr="005B1CCB">
        <w:rPr>
          <w:rFonts w:ascii="Palatino Linotype" w:hAnsi="Palatino Linotype" w:cs="Times New Roman"/>
          <w:sz w:val="24"/>
          <w:szCs w:val="24"/>
        </w:rPr>
        <w:t>n amplitude of 20mV and a frequency of 25 Hz.</w:t>
      </w:r>
      <w:r w:rsidR="00C9470B" w:rsidRPr="005B1CCB">
        <w:rPr>
          <w:rFonts w:ascii="Palatino Linotype" w:hAnsi="Palatino Linotype" w:cs="Times New Roman"/>
          <w:sz w:val="24"/>
          <w:szCs w:val="24"/>
        </w:rPr>
        <w:t xml:space="preserve"> the instrumental current </w:t>
      </w:r>
      <w:r w:rsidR="004074A2" w:rsidRPr="005B1CCB">
        <w:rPr>
          <w:rFonts w:ascii="Palatino Linotype" w:hAnsi="Palatino Linotype" w:cs="Times New Roman"/>
          <w:sz w:val="24"/>
          <w:szCs w:val="24"/>
        </w:rPr>
        <w:t xml:space="preserve">range selected was between 100 nA and 10 mA </w:t>
      </w:r>
      <w:r w:rsidR="00C9470B" w:rsidRPr="005B1CCB">
        <w:rPr>
          <w:rFonts w:ascii="Palatino Linotype" w:hAnsi="Palatino Linotype" w:cs="Times New Roman"/>
          <w:sz w:val="24"/>
          <w:szCs w:val="24"/>
        </w:rPr>
        <w:t xml:space="preserve">for </w:t>
      </w:r>
      <w:r w:rsidR="004074A2" w:rsidRPr="005B1CCB">
        <w:rPr>
          <w:rFonts w:ascii="Palatino Linotype" w:hAnsi="Palatino Linotype" w:cs="Times New Roman"/>
          <w:sz w:val="24"/>
          <w:szCs w:val="24"/>
        </w:rPr>
        <w:t>each</w:t>
      </w:r>
      <w:r w:rsidR="00C41BD2">
        <w:rPr>
          <w:rFonts w:ascii="Palatino Linotype" w:hAnsi="Palatino Linotype" w:cs="Times New Roman"/>
          <w:sz w:val="24"/>
          <w:szCs w:val="24"/>
        </w:rPr>
        <w:t xml:space="preserve"> scan</w:t>
      </w:r>
      <w:r w:rsidR="00C9470B" w:rsidRPr="005B1CCB">
        <w:rPr>
          <w:rFonts w:ascii="Palatino Linotype" w:hAnsi="Palatino Linotype" w:cs="Times New Roman"/>
          <w:sz w:val="24"/>
          <w:szCs w:val="24"/>
        </w:rPr>
        <w:t xml:space="preserve">. </w:t>
      </w:r>
    </w:p>
    <w:p w14:paraId="6AF95B93" w14:textId="77777777" w:rsidR="00B6747E" w:rsidRPr="005B1CCB" w:rsidRDefault="0017529B" w:rsidP="00B6747E">
      <w:pPr>
        <w:keepNext/>
        <w:spacing w:line="360" w:lineRule="auto"/>
        <w:jc w:val="center"/>
      </w:pPr>
      <w:r w:rsidRPr="005B1CCB">
        <w:rPr>
          <w:noProof/>
          <w:lang w:eastAsia="en-GB"/>
        </w:rPr>
        <w:drawing>
          <wp:inline distT="0" distB="0" distL="0" distR="0" wp14:anchorId="0D20A45A" wp14:editId="384DBCAE">
            <wp:extent cx="3989319" cy="321033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a:extLst>
                        <a:ext uri="{28A0092B-C50C-407E-A947-70E740481C1C}">
                          <a14:useLocalDpi xmlns:a14="http://schemas.microsoft.com/office/drawing/2010/main" val="0"/>
                        </a:ext>
                      </a:extLst>
                    </a:blip>
                    <a:srcRect l="7971" t="9810" r="10372" b="4097"/>
                    <a:stretch/>
                  </pic:blipFill>
                  <pic:spPr bwMode="auto">
                    <a:xfrm>
                      <a:off x="0" y="0"/>
                      <a:ext cx="3993961" cy="3214074"/>
                    </a:xfrm>
                    <a:prstGeom prst="rect">
                      <a:avLst/>
                    </a:prstGeom>
                    <a:noFill/>
                    <a:ln>
                      <a:noFill/>
                    </a:ln>
                    <a:extLst>
                      <a:ext uri="{53640926-AAD7-44D8-BBD7-CCE9431645EC}">
                        <a14:shadowObscured xmlns:a14="http://schemas.microsoft.com/office/drawing/2010/main"/>
                      </a:ext>
                    </a:extLst>
                  </pic:spPr>
                </pic:pic>
              </a:graphicData>
            </a:graphic>
          </wp:inline>
        </w:drawing>
      </w:r>
    </w:p>
    <w:p w14:paraId="7B3B0E5C" w14:textId="77777777" w:rsidR="00B6747E" w:rsidRPr="005B1CCB" w:rsidRDefault="00B6747E" w:rsidP="00B6747E">
      <w:pPr>
        <w:pStyle w:val="Caption"/>
        <w:jc w:val="center"/>
        <w:rPr>
          <w:sz w:val="22"/>
          <w:szCs w:val="22"/>
        </w:rPr>
      </w:pPr>
      <w:bookmarkStart w:id="99" w:name="_Toc84519615"/>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20</w:t>
      </w:r>
      <w:r w:rsidRPr="005B1CCB">
        <w:rPr>
          <w:sz w:val="22"/>
          <w:szCs w:val="22"/>
        </w:rPr>
        <w:fldChar w:fldCharType="end"/>
      </w:r>
      <w:r w:rsidRPr="005B1CCB">
        <w:rPr>
          <w:sz w:val="22"/>
          <w:szCs w:val="22"/>
        </w:rPr>
        <w:t xml:space="preserve">: </w:t>
      </w:r>
      <w:r w:rsidR="00962085" w:rsidRPr="005B1CCB">
        <w:rPr>
          <w:sz w:val="22"/>
          <w:szCs w:val="22"/>
        </w:rPr>
        <w:t xml:space="preserve">Example of a </w:t>
      </w:r>
      <w:r w:rsidRPr="005B1CCB">
        <w:rPr>
          <w:sz w:val="22"/>
          <w:szCs w:val="22"/>
        </w:rPr>
        <w:t>S</w:t>
      </w:r>
      <w:r w:rsidR="003258D0" w:rsidRPr="005B1CCB">
        <w:rPr>
          <w:sz w:val="22"/>
          <w:szCs w:val="22"/>
        </w:rPr>
        <w:t xml:space="preserve">quare </w:t>
      </w:r>
      <w:r w:rsidR="00962085" w:rsidRPr="005B1CCB">
        <w:rPr>
          <w:sz w:val="22"/>
          <w:szCs w:val="22"/>
        </w:rPr>
        <w:t>W</w:t>
      </w:r>
      <w:r w:rsidR="003258D0" w:rsidRPr="005B1CCB">
        <w:rPr>
          <w:sz w:val="22"/>
          <w:szCs w:val="22"/>
        </w:rPr>
        <w:t xml:space="preserve">ave </w:t>
      </w:r>
      <w:r w:rsidR="00962085" w:rsidRPr="005B1CCB">
        <w:rPr>
          <w:sz w:val="22"/>
          <w:szCs w:val="22"/>
        </w:rPr>
        <w:t>V</w:t>
      </w:r>
      <w:r w:rsidR="003258D0" w:rsidRPr="005B1CCB">
        <w:rPr>
          <w:sz w:val="22"/>
          <w:szCs w:val="22"/>
        </w:rPr>
        <w:t>oltammogram showing  oxidative peak current and low current signals when target binds to probe (post-hybridisation)</w:t>
      </w:r>
      <w:bookmarkEnd w:id="99"/>
    </w:p>
    <w:p w14:paraId="23A2D849" w14:textId="77777777" w:rsidR="00797B21" w:rsidRPr="005B1CCB" w:rsidRDefault="00797B21" w:rsidP="00797B21"/>
    <w:p w14:paraId="39501B8C" w14:textId="77777777" w:rsidR="00180AA3" w:rsidRPr="005B1CCB" w:rsidRDefault="00180AA3" w:rsidP="00180AA3">
      <w:pPr>
        <w:pStyle w:val="Heading4"/>
      </w:pPr>
      <w:r w:rsidRPr="005B1CCB">
        <w:t>EIS measurements - Equivalent circuit fitting</w:t>
      </w:r>
    </w:p>
    <w:p w14:paraId="513D9815" w14:textId="3AD4B94D" w:rsidR="000B6A3F" w:rsidRPr="005B1CCB" w:rsidRDefault="00180AA3" w:rsidP="000B6A3F">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Pr="00101B10">
        <w:rPr>
          <w:rFonts w:ascii="Palatino Linotype" w:hAnsi="Palatino Linotype" w:cs="Times New Roman"/>
          <w:sz w:val="24"/>
          <w:szCs w:val="24"/>
        </w:rPr>
        <w:t>The Randles circuit is an equivalent electrical circuit that is commonly used in electrochemical impedance spectroscopy (EIS) for interpreting impedance spectra and describing processes at the electrochemical interface</w:t>
      </w:r>
      <w:r w:rsidRPr="005B1CCB">
        <w:rPr>
          <w:rFonts w:ascii="Palatino Linotype" w:hAnsi="Palatino Linotype" w:cs="Times New Roman"/>
          <w:sz w:val="24"/>
          <w:szCs w:val="24"/>
        </w:rPr>
        <w:t xml:space="preserve">.  </w:t>
      </w:r>
      <w:r w:rsidRPr="00101B10">
        <w:rPr>
          <w:rFonts w:ascii="Palatino Linotype" w:hAnsi="Palatino Linotype" w:cs="Times New Roman"/>
          <w:sz w:val="24"/>
          <w:szCs w:val="24"/>
        </w:rPr>
        <w:t>It consists of an electrolyte resistance in series with the parallel combination of a double layer capacitance and an impedance. In most situations, a Warburg element manifests in EIS spectra by a line at an angle of 45 degrees in the low frequency region</w:t>
      </w:r>
      <w:r w:rsidRPr="005B1CCB">
        <w:rPr>
          <w:rFonts w:ascii="Palatino Linotype" w:hAnsi="Palatino Linotype" w:cs="Times New Roman"/>
          <w:sz w:val="24"/>
          <w:szCs w:val="24"/>
        </w:rPr>
        <w:t xml:space="preserve">. </w:t>
      </w:r>
      <w:r w:rsidR="00D8244E" w:rsidRPr="005B1CCB">
        <w:rPr>
          <w:rFonts w:ascii="Palatino Linotype" w:hAnsi="Palatino Linotype" w:cs="Times New Roman"/>
          <w:sz w:val="24"/>
          <w:szCs w:val="24"/>
        </w:rPr>
        <w:t xml:space="preserve">The EIS measurements </w:t>
      </w:r>
      <w:r w:rsidR="00751D86">
        <w:rPr>
          <w:rFonts w:ascii="Palatino Linotype" w:hAnsi="Palatino Linotype" w:cs="Times New Roman"/>
          <w:sz w:val="24"/>
          <w:szCs w:val="24"/>
        </w:rPr>
        <w:t xml:space="preserve">employed in this study </w:t>
      </w:r>
      <w:r w:rsidR="00D8244E" w:rsidRPr="005B1CCB">
        <w:rPr>
          <w:rFonts w:ascii="Palatino Linotype" w:hAnsi="Palatino Linotype" w:cs="Times New Roman"/>
          <w:sz w:val="24"/>
          <w:szCs w:val="24"/>
        </w:rPr>
        <w:t xml:space="preserve">were carried out across a frequency range between 0.1 and 10000 Hz at open circuit potential using an AC voltage amplitude of 10 mV rms and at a specified current range of 100 nA and 10 mA using 50 logarithmically spaced frequencies. </w:t>
      </w:r>
      <w:r w:rsidRPr="00101B10">
        <w:rPr>
          <w:rFonts w:ascii="Palatino Linotype" w:hAnsi="Palatino Linotype" w:cs="Times New Roman"/>
          <w:sz w:val="24"/>
          <w:szCs w:val="24"/>
        </w:rPr>
        <w:t>The values of the charge transfer resistance (RCT) and Warburg coefficient is contingent on parameters of the system being investigated</w:t>
      </w:r>
      <w:r w:rsidRPr="005B1CCB">
        <w:rPr>
          <w:rFonts w:ascii="Palatino Linotype" w:hAnsi="Palatino Linotype" w:cs="Times New Roman"/>
          <w:sz w:val="24"/>
          <w:szCs w:val="24"/>
        </w:rPr>
        <w:t xml:space="preserve">. </w:t>
      </w:r>
      <w:r w:rsidR="000B6A3F" w:rsidRPr="005B1CCB">
        <w:rPr>
          <w:rFonts w:ascii="Palatino Linotype" w:hAnsi="Palatino Linotype" w:cs="Times New Roman"/>
          <w:sz w:val="24"/>
          <w:szCs w:val="24"/>
        </w:rPr>
        <w:t xml:space="preserve">A nyquist plot and Randles circuit diagram which accounts for Warburg behaviour is shown in </w:t>
      </w:r>
      <w:r w:rsidR="00797B21" w:rsidRPr="005B1CCB">
        <w:rPr>
          <w:rFonts w:ascii="Palatino Linotype" w:hAnsi="Palatino Linotype" w:cs="Times New Roman"/>
          <w:sz w:val="24"/>
          <w:szCs w:val="24"/>
        </w:rPr>
        <w:t>F</w:t>
      </w:r>
      <w:r w:rsidR="000B6A3F" w:rsidRPr="005B1CCB">
        <w:rPr>
          <w:rFonts w:ascii="Palatino Linotype" w:hAnsi="Palatino Linotype" w:cs="Times New Roman"/>
          <w:sz w:val="24"/>
          <w:szCs w:val="24"/>
        </w:rPr>
        <w:t xml:space="preserve">igure </w:t>
      </w:r>
      <w:r w:rsidR="00B6747E" w:rsidRPr="005B1CCB">
        <w:rPr>
          <w:rFonts w:ascii="Palatino Linotype" w:hAnsi="Palatino Linotype" w:cs="Times New Roman"/>
          <w:sz w:val="24"/>
          <w:szCs w:val="24"/>
        </w:rPr>
        <w:t>2</w:t>
      </w:r>
      <w:r w:rsidR="00603763" w:rsidRPr="005B1CCB">
        <w:rPr>
          <w:rFonts w:ascii="Palatino Linotype" w:hAnsi="Palatino Linotype" w:cs="Times New Roman"/>
          <w:sz w:val="24"/>
          <w:szCs w:val="24"/>
        </w:rPr>
        <w:t>1</w:t>
      </w:r>
      <w:r w:rsidR="00B6747E" w:rsidRPr="005B1CCB">
        <w:rPr>
          <w:rFonts w:ascii="Palatino Linotype" w:hAnsi="Palatino Linotype" w:cs="Times New Roman"/>
          <w:sz w:val="24"/>
          <w:szCs w:val="24"/>
        </w:rPr>
        <w:t>.</w:t>
      </w:r>
      <w:r w:rsidR="000B6A3F" w:rsidRPr="005B1CCB">
        <w:rPr>
          <w:rFonts w:ascii="Palatino Linotype" w:hAnsi="Palatino Linotype" w:cs="Times New Roman"/>
          <w:sz w:val="24"/>
          <w:szCs w:val="24"/>
        </w:rPr>
        <w:t xml:space="preserve"> The nyquist plot shows the real and imaginary impedance responses </w:t>
      </w:r>
      <w:r w:rsidR="004F37B0" w:rsidRPr="005B1CCB">
        <w:rPr>
          <w:rFonts w:ascii="Palatino Linotype" w:hAnsi="Palatino Linotype" w:cs="Times New Roman"/>
          <w:sz w:val="24"/>
          <w:szCs w:val="24"/>
        </w:rPr>
        <w:t xml:space="preserve">(plotted on the X-axis and Y-axis respectively) </w:t>
      </w:r>
      <w:r w:rsidR="000B6A3F" w:rsidRPr="005B1CCB">
        <w:rPr>
          <w:rFonts w:ascii="Palatino Linotype" w:hAnsi="Palatino Linotype" w:cs="Times New Roman"/>
          <w:sz w:val="24"/>
          <w:szCs w:val="24"/>
        </w:rPr>
        <w:t>containing the frequency information</w:t>
      </w:r>
      <w:r w:rsidR="00C750A9" w:rsidRPr="005B1CCB">
        <w:rPr>
          <w:rFonts w:ascii="Palatino Linotype" w:hAnsi="Palatino Linotype" w:cs="Times New Roman"/>
          <w:sz w:val="24"/>
          <w:szCs w:val="24"/>
        </w:rPr>
        <w:t xml:space="preserve"> from complex alternating </w:t>
      </w:r>
      <w:r w:rsidR="004B62A3" w:rsidRPr="005B1CCB">
        <w:rPr>
          <w:rFonts w:ascii="Palatino Linotype" w:hAnsi="Palatino Linotype" w:cs="Times New Roman"/>
          <w:sz w:val="24"/>
          <w:szCs w:val="24"/>
        </w:rPr>
        <w:t xml:space="preserve">current </w:t>
      </w:r>
      <w:r w:rsidR="00C750A9" w:rsidRPr="005B1CCB">
        <w:rPr>
          <w:rFonts w:ascii="Palatino Linotype" w:hAnsi="Palatino Linotype" w:cs="Times New Roman"/>
          <w:sz w:val="24"/>
          <w:szCs w:val="24"/>
        </w:rPr>
        <w:t>resistance in</w:t>
      </w:r>
      <w:r w:rsidR="000B6A3F" w:rsidRPr="005B1CCB">
        <w:rPr>
          <w:rFonts w:ascii="Palatino Linotype" w:hAnsi="Palatino Linotype" w:cs="Times New Roman"/>
          <w:sz w:val="24"/>
          <w:szCs w:val="24"/>
        </w:rPr>
        <w:t xml:space="preserve"> the impedance measurements carried out.</w:t>
      </w:r>
    </w:p>
    <w:p w14:paraId="43004FBF" w14:textId="77777777" w:rsidR="00180AA3" w:rsidRPr="005B1CCB" w:rsidRDefault="00EB18F0" w:rsidP="00886763">
      <w:pPr>
        <w:spacing w:line="360" w:lineRule="auto"/>
        <w:jc w:val="center"/>
        <w:rPr>
          <w:rFonts w:ascii="Palatino Linotype" w:hAnsi="Palatino Linotype" w:cs="Times New Roman"/>
          <w:sz w:val="24"/>
          <w:szCs w:val="24"/>
        </w:rPr>
      </w:pPr>
      <w:r w:rsidRPr="005B1CCB">
        <w:rPr>
          <w:rFonts w:ascii="Palatino Linotype" w:hAnsi="Palatino Linotype" w:cs="Times New Roman"/>
          <w:noProof/>
          <w:sz w:val="24"/>
          <w:szCs w:val="24"/>
          <w:lang w:eastAsia="en-GB"/>
        </w:rPr>
        <w:drawing>
          <wp:inline distT="0" distB="0" distL="0" distR="0" wp14:anchorId="194C2A97" wp14:editId="1A0AB25B">
            <wp:extent cx="5114124" cy="19875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19206" cy="1989525"/>
                    </a:xfrm>
                    <a:prstGeom prst="rect">
                      <a:avLst/>
                    </a:prstGeom>
                    <a:noFill/>
                  </pic:spPr>
                </pic:pic>
              </a:graphicData>
            </a:graphic>
          </wp:inline>
        </w:drawing>
      </w:r>
    </w:p>
    <w:p w14:paraId="7E001E5C" w14:textId="634AE191" w:rsidR="00180AA3" w:rsidRPr="005B1CCB" w:rsidRDefault="00180AA3" w:rsidP="00180AA3">
      <w:pPr>
        <w:pStyle w:val="Caption"/>
        <w:jc w:val="center"/>
        <w:rPr>
          <w:rFonts w:ascii="Palatino Linotype" w:hAnsi="Palatino Linotype" w:cs="Times New Roman"/>
          <w:sz w:val="22"/>
          <w:szCs w:val="22"/>
        </w:rPr>
      </w:pPr>
      <w:bookmarkStart w:id="100" w:name="_Toc84519616"/>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21</w:t>
      </w:r>
      <w:r w:rsidRPr="005B1CCB">
        <w:rPr>
          <w:sz w:val="22"/>
          <w:szCs w:val="22"/>
        </w:rPr>
        <w:fldChar w:fldCharType="end"/>
      </w:r>
      <w:r w:rsidR="00EB18F0" w:rsidRPr="005B1CCB">
        <w:rPr>
          <w:sz w:val="22"/>
          <w:szCs w:val="22"/>
        </w:rPr>
        <w:t>: (A) Nyquist plot</w:t>
      </w:r>
      <w:r w:rsidR="004F37B0" w:rsidRPr="005B1CCB">
        <w:rPr>
          <w:sz w:val="22"/>
          <w:szCs w:val="22"/>
        </w:rPr>
        <w:t xml:space="preserve"> showing charge transfer resistance from a region of high to low frequencies and a Warburg element at a 45</w:t>
      </w:r>
      <w:r w:rsidR="004F37B0" w:rsidRPr="005B1CCB">
        <w:rPr>
          <w:sz w:val="22"/>
          <w:szCs w:val="22"/>
          <w:vertAlign w:val="superscript"/>
        </w:rPr>
        <w:t>O</w:t>
      </w:r>
      <w:r w:rsidR="004F37B0" w:rsidRPr="005B1CCB">
        <w:rPr>
          <w:sz w:val="22"/>
          <w:szCs w:val="22"/>
        </w:rPr>
        <w:t xml:space="preserve"> angle in the low frequency region</w:t>
      </w:r>
      <w:r w:rsidR="00EB18F0" w:rsidRPr="005B1CCB">
        <w:rPr>
          <w:sz w:val="22"/>
          <w:szCs w:val="22"/>
        </w:rPr>
        <w:t xml:space="preserve"> and (B) </w:t>
      </w:r>
      <w:r w:rsidRPr="005B1CCB">
        <w:rPr>
          <w:sz w:val="22"/>
          <w:szCs w:val="22"/>
        </w:rPr>
        <w:t>Randles circuit R([RW]C)</w:t>
      </w:r>
      <w:r w:rsidR="004F37B0" w:rsidRPr="005B1CCB">
        <w:rPr>
          <w:sz w:val="22"/>
          <w:szCs w:val="22"/>
        </w:rPr>
        <w:t xml:space="preserve"> commonly used to interpret spectra in EIS where R</w:t>
      </w:r>
      <w:r w:rsidR="004F37B0" w:rsidRPr="005B1CCB">
        <w:rPr>
          <w:sz w:val="22"/>
          <w:szCs w:val="22"/>
          <w:vertAlign w:val="subscript"/>
        </w:rPr>
        <w:t>S</w:t>
      </w:r>
      <w:r w:rsidR="004F37B0" w:rsidRPr="005B1CCB">
        <w:rPr>
          <w:sz w:val="22"/>
          <w:szCs w:val="22"/>
        </w:rPr>
        <w:t xml:space="preserve"> represents </w:t>
      </w:r>
      <w:r w:rsidR="003243D8" w:rsidRPr="005B1CCB">
        <w:rPr>
          <w:sz w:val="22"/>
          <w:szCs w:val="22"/>
        </w:rPr>
        <w:t>ionic resistance</w:t>
      </w:r>
      <w:r w:rsidR="004F37B0" w:rsidRPr="005B1CCB">
        <w:rPr>
          <w:sz w:val="22"/>
          <w:szCs w:val="22"/>
        </w:rPr>
        <w:t>, C</w:t>
      </w:r>
      <w:r w:rsidR="004F37B0" w:rsidRPr="005B1CCB">
        <w:rPr>
          <w:sz w:val="22"/>
          <w:szCs w:val="22"/>
          <w:vertAlign w:val="subscript"/>
        </w:rPr>
        <w:t>dl</w:t>
      </w:r>
      <w:r w:rsidR="004F37B0" w:rsidRPr="005B1CCB">
        <w:rPr>
          <w:sz w:val="22"/>
          <w:szCs w:val="22"/>
        </w:rPr>
        <w:t xml:space="preserve"> represents double layer capacitance, R</w:t>
      </w:r>
      <w:r w:rsidR="004F37B0" w:rsidRPr="005B1CCB">
        <w:rPr>
          <w:sz w:val="22"/>
          <w:szCs w:val="22"/>
          <w:vertAlign w:val="subscript"/>
        </w:rPr>
        <w:t>CT</w:t>
      </w:r>
      <w:r w:rsidR="003243D8" w:rsidRPr="005B1CCB">
        <w:rPr>
          <w:sz w:val="22"/>
          <w:szCs w:val="22"/>
        </w:rPr>
        <w:t xml:space="preserve"> represents </w:t>
      </w:r>
      <w:r w:rsidR="004F37B0" w:rsidRPr="005B1CCB">
        <w:rPr>
          <w:sz w:val="22"/>
          <w:szCs w:val="22"/>
        </w:rPr>
        <w:t>charge transfer resistance</w:t>
      </w:r>
      <w:r w:rsidR="003243D8" w:rsidRPr="005B1CCB">
        <w:rPr>
          <w:sz w:val="22"/>
          <w:szCs w:val="22"/>
        </w:rPr>
        <w:t xml:space="preserve"> and Z</w:t>
      </w:r>
      <w:r w:rsidR="003243D8" w:rsidRPr="005B1CCB">
        <w:rPr>
          <w:sz w:val="22"/>
          <w:szCs w:val="22"/>
          <w:vertAlign w:val="subscript"/>
        </w:rPr>
        <w:t>W</w:t>
      </w:r>
      <w:r w:rsidR="003243D8" w:rsidRPr="005B1CCB">
        <w:rPr>
          <w:sz w:val="22"/>
          <w:szCs w:val="22"/>
        </w:rPr>
        <w:t xml:space="preserve"> represents diffusion resistance element</w:t>
      </w:r>
      <w:r w:rsidR="00603763" w:rsidRPr="005B1CCB">
        <w:rPr>
          <w:sz w:val="22"/>
          <w:szCs w:val="22"/>
        </w:rPr>
        <w:t xml:space="preserve"> </w:t>
      </w:r>
      <w:r w:rsidR="00CB73BC" w:rsidRPr="005B1CCB">
        <w:rPr>
          <w:sz w:val="22"/>
          <w:szCs w:val="22"/>
        </w:rPr>
        <w:fldChar w:fldCharType="begin" w:fldLock="1"/>
      </w:r>
      <w:r w:rsidR="000766C5">
        <w:rPr>
          <w:sz w:val="22"/>
          <w:szCs w:val="22"/>
        </w:rPr>
        <w:instrText>ADDIN CSL_CITATION {"citationItems":[{"id":"ITEM-1","itemData":{"DOI":"10.1042/EBC20150008","author":[{"dropping-particle":"","family":"Hammond","given":"Jules","non-dropping-particle":"","parse-names":false,"suffix":""},{"dropping-particle":"","family":"Formisano","given":"Nello","non-dropping-particle":"","parse-names":false,"suffix":""},{"dropping-particle":"","family":"Estrela","given":"Pedro","non-dropping-particle":"","parse-names":false,"suffix":""},{"dropping-particle":"","family":"Carrara","given":"Sandro","non-dropping-particle":"","parse-names":false,"suffix":""},{"dropping-particle":"","family":"Tkac","given":"Jan","non-dropping-particle":"","parse-names":false,"suffix":""}],"container-title":"Essays in Biochemistry","id":"ITEM-1","issued":{"date-parts":[["2016","6","30"]]},"page":"69-80","title":"Electrochemical biosensors and nanobiosensors","type":"article-journal","volume":"60"},"uris":["http://www.mendeley.com/documents/?uuid=fd367e39-37d9-452a-9e9e-dad2786fbc36"]}],"mendeley":{"formattedCitation":"[205]","plainTextFormattedCitation":"[205]","previouslyFormattedCitation":"[205]"},"properties":{"noteIndex":0},"schema":"https://github.com/citation-style-language/schema/raw/master/csl-citation.json"}</w:instrText>
      </w:r>
      <w:r w:rsidR="00CB73BC" w:rsidRPr="005B1CCB">
        <w:rPr>
          <w:sz w:val="22"/>
          <w:szCs w:val="22"/>
        </w:rPr>
        <w:fldChar w:fldCharType="separate"/>
      </w:r>
      <w:r w:rsidR="005F2946" w:rsidRPr="005F2946">
        <w:rPr>
          <w:i w:val="0"/>
          <w:noProof/>
          <w:sz w:val="22"/>
          <w:szCs w:val="22"/>
        </w:rPr>
        <w:t>[205]</w:t>
      </w:r>
      <w:bookmarkEnd w:id="100"/>
      <w:r w:rsidR="00CB73BC" w:rsidRPr="005B1CCB">
        <w:rPr>
          <w:sz w:val="22"/>
          <w:szCs w:val="22"/>
        </w:rPr>
        <w:fldChar w:fldCharType="end"/>
      </w:r>
    </w:p>
    <w:p w14:paraId="6599B6AA" w14:textId="70765FD7" w:rsidR="00180AA3" w:rsidRDefault="00180AA3" w:rsidP="00180AA3">
      <w:pPr>
        <w:spacing w:line="360" w:lineRule="auto"/>
        <w:rPr>
          <w:rFonts w:ascii="Palatino Linotype" w:hAnsi="Palatino Linotype" w:cs="Times New Roman"/>
        </w:rPr>
      </w:pPr>
    </w:p>
    <w:p w14:paraId="0847B47E" w14:textId="41E40324" w:rsidR="008858EE" w:rsidRDefault="008858EE" w:rsidP="00180AA3">
      <w:pPr>
        <w:spacing w:line="360" w:lineRule="auto"/>
        <w:rPr>
          <w:rFonts w:ascii="Palatino Linotype" w:hAnsi="Palatino Linotype" w:cs="Times New Roman"/>
        </w:rPr>
      </w:pPr>
    </w:p>
    <w:p w14:paraId="63594CD9" w14:textId="57AA98A7" w:rsidR="008858EE" w:rsidRDefault="008858EE" w:rsidP="00180AA3">
      <w:pPr>
        <w:spacing w:line="360" w:lineRule="auto"/>
        <w:rPr>
          <w:rFonts w:ascii="Palatino Linotype" w:hAnsi="Palatino Linotype" w:cs="Times New Roman"/>
        </w:rPr>
      </w:pPr>
    </w:p>
    <w:p w14:paraId="46AF34E8" w14:textId="2FDF02FD" w:rsidR="008858EE" w:rsidRDefault="008858EE" w:rsidP="00180AA3">
      <w:pPr>
        <w:spacing w:line="360" w:lineRule="auto"/>
        <w:rPr>
          <w:rFonts w:ascii="Palatino Linotype" w:hAnsi="Palatino Linotype" w:cs="Times New Roman"/>
        </w:rPr>
      </w:pPr>
    </w:p>
    <w:p w14:paraId="198277AF" w14:textId="62124FED" w:rsidR="008858EE" w:rsidRDefault="008858EE" w:rsidP="00180AA3">
      <w:pPr>
        <w:spacing w:line="360" w:lineRule="auto"/>
        <w:rPr>
          <w:rFonts w:ascii="Palatino Linotype" w:hAnsi="Palatino Linotype" w:cs="Times New Roman"/>
        </w:rPr>
      </w:pPr>
    </w:p>
    <w:p w14:paraId="7391138E" w14:textId="167FE742" w:rsidR="008858EE" w:rsidRDefault="008858EE" w:rsidP="00180AA3">
      <w:pPr>
        <w:spacing w:line="360" w:lineRule="auto"/>
        <w:rPr>
          <w:rFonts w:ascii="Palatino Linotype" w:hAnsi="Palatino Linotype" w:cs="Times New Roman"/>
        </w:rPr>
      </w:pPr>
    </w:p>
    <w:p w14:paraId="43D78E71" w14:textId="0C9B8850" w:rsidR="008858EE" w:rsidRDefault="008858EE" w:rsidP="00180AA3">
      <w:pPr>
        <w:spacing w:line="360" w:lineRule="auto"/>
        <w:rPr>
          <w:rFonts w:ascii="Palatino Linotype" w:hAnsi="Palatino Linotype" w:cs="Times New Roman"/>
        </w:rPr>
      </w:pPr>
    </w:p>
    <w:p w14:paraId="45C91671" w14:textId="77777777" w:rsidR="008858EE" w:rsidRPr="005B1CCB" w:rsidRDefault="008858EE" w:rsidP="00180AA3">
      <w:pPr>
        <w:spacing w:line="360" w:lineRule="auto"/>
        <w:rPr>
          <w:rFonts w:ascii="Palatino Linotype" w:hAnsi="Palatino Linotype" w:cs="Times New Roman"/>
        </w:rPr>
      </w:pPr>
    </w:p>
    <w:p w14:paraId="2411751C" w14:textId="715ADB06" w:rsidR="00C83897" w:rsidRDefault="00C83897" w:rsidP="00492F11">
      <w:pPr>
        <w:pStyle w:val="Heading1"/>
        <w:jc w:val="center"/>
      </w:pPr>
      <w:bookmarkStart w:id="101" w:name="_Hlk82878396"/>
      <w:bookmarkStart w:id="102" w:name="_Toc84528086"/>
      <w:r>
        <w:t xml:space="preserve">– DEVELOPING A ctDNA ASSAY USING </w:t>
      </w:r>
      <w:r w:rsidR="008C5D7E">
        <w:t>A COMMON AND ESTABLISHED CANCER</w:t>
      </w:r>
      <w:r>
        <w:t xml:space="preserve"> </w:t>
      </w:r>
      <w:r w:rsidR="008C5D7E">
        <w:t xml:space="preserve">MUTATION </w:t>
      </w:r>
      <w:bookmarkEnd w:id="101"/>
      <w:r w:rsidR="008C5D7E">
        <w:t>– Tp53</w:t>
      </w:r>
      <w:bookmarkEnd w:id="102"/>
    </w:p>
    <w:p w14:paraId="2D5B3721" w14:textId="77777777" w:rsidR="00CA6CF0" w:rsidRPr="00CA6CF0" w:rsidRDefault="00CA6CF0" w:rsidP="00492F11"/>
    <w:p w14:paraId="6A6A6675" w14:textId="5A294A4C" w:rsidR="00E044D0" w:rsidRPr="005B1CCB" w:rsidRDefault="00C83897" w:rsidP="00492F11">
      <w:pPr>
        <w:pStyle w:val="Heading2"/>
        <w:numPr>
          <w:ilvl w:val="0"/>
          <w:numId w:val="0"/>
        </w:numPr>
      </w:pPr>
      <w:bookmarkStart w:id="103" w:name="_Toc84272475"/>
      <w:bookmarkStart w:id="104" w:name="_Toc84528087"/>
      <w:bookmarkEnd w:id="103"/>
      <w:r>
        <w:t xml:space="preserve">4.1 </w:t>
      </w:r>
      <w:r w:rsidR="003B2D71" w:rsidRPr="00C83897">
        <w:t>Introduction</w:t>
      </w:r>
      <w:bookmarkEnd w:id="104"/>
    </w:p>
    <w:p w14:paraId="0EE98972" w14:textId="7011C991" w:rsidR="003B2D71" w:rsidRPr="005B1CCB" w:rsidRDefault="00B63EC3" w:rsidP="00364056">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Pr="00101B10">
        <w:rPr>
          <w:rFonts w:ascii="Palatino Linotype" w:hAnsi="Palatino Linotype" w:cs="Times New Roman"/>
          <w:sz w:val="24"/>
          <w:szCs w:val="24"/>
        </w:rPr>
        <w:t>T</w:t>
      </w:r>
      <w:r w:rsidR="003D5F5E" w:rsidRPr="00101B10">
        <w:rPr>
          <w:rFonts w:ascii="Palatino Linotype" w:hAnsi="Palatino Linotype" w:cs="Times New Roman"/>
          <w:sz w:val="24"/>
          <w:szCs w:val="24"/>
        </w:rPr>
        <w:t>p</w:t>
      </w:r>
      <w:r w:rsidRPr="00101B10">
        <w:rPr>
          <w:rFonts w:ascii="Palatino Linotype" w:hAnsi="Palatino Linotype" w:cs="Times New Roman"/>
          <w:sz w:val="24"/>
          <w:szCs w:val="24"/>
        </w:rPr>
        <w:t xml:space="preserve">53, the most routinely modified gene </w:t>
      </w:r>
      <w:r w:rsidR="000403B7" w:rsidRPr="00101B10">
        <w:rPr>
          <w:rFonts w:ascii="Palatino Linotype" w:hAnsi="Palatino Linotype" w:cs="Times New Roman"/>
          <w:sz w:val="24"/>
          <w:szCs w:val="24"/>
        </w:rPr>
        <w:t xml:space="preserve"> (</w:t>
      </w:r>
      <w:r w:rsidR="0027211E" w:rsidRPr="00101B10">
        <w:rPr>
          <w:rFonts w:ascii="Palatino Linotype" w:hAnsi="Palatino Linotype" w:cs="Times New Roman"/>
          <w:sz w:val="24"/>
          <w:szCs w:val="24"/>
        </w:rPr>
        <w:t>in over &gt;50</w:t>
      </w:r>
      <w:r w:rsidR="00251F4F" w:rsidRPr="00101B10">
        <w:rPr>
          <w:rFonts w:ascii="Palatino Linotype" w:hAnsi="Palatino Linotype" w:cs="Times New Roman"/>
          <w:sz w:val="24"/>
          <w:szCs w:val="24"/>
        </w:rPr>
        <w:t xml:space="preserve"> </w:t>
      </w:r>
      <w:r w:rsidR="0027211E" w:rsidRPr="00101B10">
        <w:rPr>
          <w:rFonts w:ascii="Palatino Linotype" w:hAnsi="Palatino Linotype" w:cs="Times New Roman"/>
          <w:sz w:val="24"/>
          <w:szCs w:val="24"/>
        </w:rPr>
        <w:t>% in human cancers)</w:t>
      </w:r>
      <w:r w:rsidR="0027211E" w:rsidRPr="005B1CCB">
        <w:rPr>
          <w:rFonts w:ascii="Palatino Linotype" w:hAnsi="Palatino Linotype" w:cs="Times New Roman"/>
          <w:sz w:val="24"/>
          <w:szCs w:val="24"/>
        </w:rPr>
        <w:t xml:space="preserve"> </w:t>
      </w:r>
      <w:r w:rsidR="000403B7"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{"citationItems":[{"id":"ITEM-1","itemData":{"DOI":"10.1038/cdd.2017.180","ISSN":"1476-5403","abstract":"The p53 gene contains homozygous mutations in ~50–60% of human cancers. About 90% of these mutations encode missense mutant proteins that span ~190 different codons localized in the DNA-binding domain of the gene and protein. These mutations produce a protein with a reduced capacity to bind to a specific DNA sequence that regulates the p53 transcriptional pathway. Eight of these mutations are localized in codons that account for ~28% of the total p53 mutations and these alleles appear to be selected for preferentially in human cancers of many tissue types. This article explores the question 'Why are there hotspot mutations in the p53 gene in human cancers?' Four possible reasons for this are considered; (1) the hotspot mutant alleles produce a protein that has a highly altered structure, (2) environmental mutagens produce allele-specific changes in the p53 gene, (3) these mutations arise at selected sites in the gene due to a specific DNA sequence, such as a methylated cytosine residue in a CpG dinucleotide, which has a higher mutation rate changing C to T nucleotides, (4) along with the observed change in mutant p53 proteins, which produce a loss of function (DNA binding and transcription), some mutant proteins have an allele-specific gain of function that promotes cancer. Evidence is presented that demonstrates the first three possibilities all contribute some property to this list of hotspot mutations. The fourth possibility remains to be tested.","author":[{"dropping-particle":"","family":"Baugh","given":"Evan H","non-dropping-particle":"","parse-names":false,"suffix":""},{"dropping-particle":"","family":"Ke","given":"Hua","non-dropping-particle":"","parse-names":false,"suffix":""},{"dropping-particle":"","family":"Levine","given":"Arnold J","non-dropping-particle":"","parse-names":false,"suffix":""},{"dropping-particle":"","family":"Bonneau","given":"Richard A","non-dropping-particle":"","parse-names":false,"suffix":""},{"dropping-particle":"","family":"Chan","given":"Chang S","non-dropping-particle":"","parse-names":false,"suffix":""}],"container-title":"Cell Death &amp; Differentiation","id":"ITEM-1","issue":"1","issued":{"date-parts":[["2018"]]},"page":"154-160","title":"Why are there hotspot mutations in the TP53 gene in human cancers?","type":"article-journal","volume":"25"},"uris":["http://www.mendeley.com/documents/?uuid=35a2e247-dfd8-41ca-99e0-53e282b4c937"]}],"mendeley":{"formattedCitation":"[208]","plainTextFormattedCitation":"[208]","previouslyFormattedCitation":"[208]"},"properties":{"noteIndex":0},"schema":"https://github.com/citation-style-language/schema/raw/master/csl-citation.json"}</w:instrText>
      </w:r>
      <w:r w:rsidR="000403B7"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[208]</w:t>
      </w:r>
      <w:r w:rsidR="000403B7" w:rsidRPr="005B1CCB">
        <w:rPr>
          <w:rFonts w:ascii="Palatino Linotype" w:hAnsi="Palatino Linotype" w:cs="Times New Roman"/>
          <w:sz w:val="24"/>
          <w:szCs w:val="24"/>
        </w:rPr>
        <w:fldChar w:fldCharType="end"/>
      </w:r>
      <w:r w:rsidR="000403B7"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is regarded as an indicator to understanding cancer functions </w:t>
      </w:r>
      <w:r w:rsidR="0090560F">
        <w:rPr>
          <w:rFonts w:ascii="Palatino Linotype" w:hAnsi="Palatino Linotype" w:cs="Times New Roman"/>
          <w:sz w:val="24"/>
          <w:szCs w:val="24"/>
        </w:rPr>
        <w:t>as it</w:t>
      </w:r>
      <w:r w:rsidR="0090560F" w:rsidRPr="005B1CCB">
        <w:rPr>
          <w:rFonts w:ascii="Palatino Linotype" w:hAnsi="Palatino Linotype" w:cs="Times New Roman"/>
          <w:sz w:val="24"/>
          <w:szCs w:val="24"/>
        </w:rPr>
        <w:t xml:space="preserve"> </w:t>
      </w:r>
      <w:r w:rsidR="0090560F" w:rsidRPr="007E3873">
        <w:rPr>
          <w:rFonts w:ascii="Palatino Linotype" w:hAnsi="Palatino Linotype" w:cs="Times New Roman"/>
          <w:sz w:val="24"/>
          <w:szCs w:val="24"/>
        </w:rPr>
        <w:t xml:space="preserve">regulates </w:t>
      </w:r>
      <w:r w:rsidRPr="00101B10">
        <w:rPr>
          <w:rFonts w:ascii="Palatino Linotype" w:hAnsi="Palatino Linotype" w:cs="Times New Roman"/>
          <w:sz w:val="24"/>
          <w:szCs w:val="24"/>
        </w:rPr>
        <w:t>cell cycle, DNA repair and apoptosis, thus preventing tumour formation</w:t>
      </w:r>
      <w:r w:rsidR="000403B7" w:rsidRPr="005B1CCB">
        <w:rPr>
          <w:rFonts w:ascii="Palatino Linotype" w:hAnsi="Palatino Linotype" w:cs="Times New Roman"/>
          <w:sz w:val="24"/>
          <w:szCs w:val="24"/>
        </w:rPr>
        <w:t xml:space="preserve"> </w:t>
      </w:r>
      <w:r w:rsidR="000403B7"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{"citationItems":[{"id":"ITEM-1","itemData":{"DOI":"10.1177/1947601911408889","ISSN":"1947-6027","abstract":"Inactivation of the p53 tumor suppressor is a frequent event in tumorigenesis. In most cases, the p53 gene is mutated, giving rise to a stable mutant protein whose accumulation is regarded as a hallmark of cancer cells. Mutant p53 proteins not only lose their tumor suppressive activities but often gain additional oncogenic functions that endow cells with growth and survival advantages. Interestingly, mutations in the p53 gene were shown to occur at different phases of the multistep process of malignant transformation, thus contributing differentially to tumor initiation, promotion, aggressiveness, and metastasis. Here, the authors review the different studies on the involvement of p53 inactivation at various stages of tumorigenesis and highlight the specific contribution of p53 mutations at each phase of cancer progression.","author":[{"dropping-particle":"","family":"Rivlin","given":"Noa","non-dropping-particle":"","parse-names":false,"suffix":""},{"dropping-particle":"","family":"Brosh","given":"Ran","non-dropping-particle":"","parse-names":false,"suffix":""},{"dropping-particle":"","family":"Oren","given":"Moshe","non-dropping-particle":"","parse-names":false,"suffix":""},{"dropping-particle":"","family":"Rotter","given":"Varda","non-dropping-particle":"","parse-names":false,"suffix":""}],"container-title":"Genes &amp; cancer","id":"ITEM-1","issue":"4","issued":{"date-parts":[["2011","4"]]},"language":"eng","page":"466-474","publisher":"SAGE Publications","title":"Mutations in the p53 Tumor Suppressor Gene: Important Milestones at the Various Steps of Tumorigenesis","type":"article-journal","volume":"2"},"uris":["http://www.mendeley.com/documents/?uuid=f642103a-a087-4542-a675-a6f763e31cf1"]}],"mendeley":{"formattedCitation":"[209]","plainTextFormattedCitation":"[209]","previouslyFormattedCitation":"[209]"},"properties":{"noteIndex":0},"schema":"https://github.com/citation-style-language/schema/raw/master/csl-citation.json"}</w:instrText>
      </w:r>
      <w:r w:rsidR="000403B7"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[209]</w:t>
      </w:r>
      <w:r w:rsidR="000403B7"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Mutation of the T</w:t>
      </w:r>
      <w:r w:rsidR="003D5F5E" w:rsidRPr="005B1CCB">
        <w:rPr>
          <w:rFonts w:ascii="Palatino Linotype" w:hAnsi="Palatino Linotype" w:cs="Times New Roman"/>
          <w:sz w:val="24"/>
          <w:szCs w:val="24"/>
        </w:rPr>
        <w:t>p</w:t>
      </w:r>
      <w:r w:rsidRPr="005B1CCB">
        <w:rPr>
          <w:rFonts w:ascii="Palatino Linotype" w:hAnsi="Palatino Linotype" w:cs="Times New Roman"/>
          <w:sz w:val="24"/>
          <w:szCs w:val="24"/>
        </w:rPr>
        <w:t xml:space="preserve">53 gene usually indicates cancer formation </w:t>
      </w:r>
      <w:r w:rsidR="0031349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{"citationItems":[{"id":"ITEM-1","itemData":{"DOI":"10.1038/s41418-018-0246-9","ISSN":"1476-5403","abstract":"Forty years of research have established that the p53 tumor suppressor provides a major barrier to neoplastic transformation and tumor progression by its unique ability to act as an extremely sensitive collector of stress inputs, and to coordinate a complex framework of diverse effector pathways and processes that protect cellular homeostasis and genome stability. Missense mutations in the TP53 gene are extremely widespread in human cancers and give rise to mutant p53 proteins that lose tumor suppressive activities, and some of which exert trans-dominant repression over the wild-type counterpart. Cancer cells acquire selective advantages by retaining mutant forms of the protein, which radically subvert the nature of the p53 pathway by promoting invasion, metastasis and chemoresistance. In this review, we consider available evidence suggesting that mutant p53 proteins can favor cancer cell survival and tumor progression by acting as homeostatic factors that sense and protect cancer cells from transformation-related stress stimuli, including DNA lesions, oxidative and proteotoxic stress, metabolic inbalance, interaction with the tumor microenvironment, and the immune system. These activities of mutant p53 may explain cancer cell addiction to this particular oncogene, and their study may disclose tumor vulnerabilities and synthetic lethalities that could be exploited for hitting tumors bearing missense TP53 mutations.","author":[{"dropping-particle":"","family":"Mantovani","given":"Fiamma","non-dropping-particle":"","parse-names":false,"suffix":""},{"dropping-particle":"","family":"Collavin","given":"Licio","non-dropping-particle":"","parse-names":false,"suffix":""},{"dropping-particle":"","family":"Sal","given":"Giannino","non-dropping-particle":"Del","parse-names":false,"suffix":""}],"container-title":"Cell Death &amp; Differentiation","id":"ITEM-1","issue":"2","issued":{"date-parts":[["2019"]]},"page":"199-212","title":"Mutant p53 as a guardian of the cancer cell","type":"article-journal","volume":"26"},"uris":["http://www.mendeley.com/documents/?uuid=befb9625-4815-4971-b23a-c6c417b48816"]}],"mendeley":{"formattedCitation":"[210]","plainTextFormattedCitation":"[210]","previouslyFormattedCitation":"[210]"},"properties":{"noteIndex":0},"schema":"https://github.com/citation-style-language/schema/raw/master/csl-citation.json"}</w:instrText>
      </w:r>
      <w:r w:rsidR="0031349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[210]</w:t>
      </w:r>
      <w:r w:rsidR="0031349B" w:rsidRPr="005B1CCB">
        <w:rPr>
          <w:rFonts w:ascii="Palatino Linotype" w:hAnsi="Palatino Linotype" w:cs="Times New Roman"/>
          <w:sz w:val="24"/>
          <w:szCs w:val="24"/>
        </w:rPr>
        <w:fldChar w:fldCharType="end"/>
      </w:r>
      <w:r w:rsidR="0031349B"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and is highly associated with a poor prognosis for survival in patients with glioblastoma</w:t>
      </w:r>
      <w:r w:rsidR="000403B7" w:rsidRPr="005B1CCB">
        <w:rPr>
          <w:rFonts w:ascii="Palatino Linotype" w:hAnsi="Palatino Linotype" w:cs="Times New Roman"/>
          <w:sz w:val="24"/>
          <w:szCs w:val="24"/>
        </w:rPr>
        <w:t xml:space="preserve"> </w:t>
      </w:r>
      <w:r w:rsidR="00BB6358"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{"citationItems":[{"id":"ITEM-1","itemData":{"DOI":"10.3390/cancers10090297","ISSN":"2072-6694","abstract":"The tumor suppressor and transcription factor p53 plays critical roles in tumor prevention by orchestrating a wide variety of cellular responses, including damaged cell apoptosis, maintenance of genomic stability, inhibition of angiogenesis, and regulation of cell metabolism and tumor microenvironment. TP53 is one of the most commonly deregulated genes in cancer. The p53-ARF-MDM2 pathway is deregulated in 84% of glioblastoma (GBM) patients and 94% of GBM cell lines. Deregulated p53 pathway components have been implicated in GBM cell invasion, migration, proliferation, evasion of apoptosis, and cancer cell stemness. These pathway components are also regulated by various microRNAs and long non-coding RNAs. TP53 mutations in GBM are mostly point mutations that lead to a high expression of a gain of function (GOF) oncogenic variants of the p53 protein. These relatively understudied GOF p53 mutants promote GBM malignancy, possibly by acting as transcription factors on a set of genes other than those regulated by wild type p53. Their expression correlates with worse prognosis, highlighting their potential importance as markers and targets for GBM therapy. Understanding mutant p53 functions led to the development of novel approaches to restore p53 activity or promote mutant p53 degradation for future GBM therapies.","author":[{"dropping-particle":"","family":"Zhang","given":"Ying","non-dropping-particle":"","parse-names":false,"suffix":""},{"dropping-particle":"","family":"Dube","given":"Collin","non-dropping-particle":"","parse-names":false,"suffix":""},{"dropping-particle":"","family":"Gibert  Jr","given":"Myron","non-dropping-particle":"","parse-names":false,"suffix":""},{"dropping-particle":"","family":"Cruickshanks","given":"Nichola","non-dropping-particle":"","parse-names":false,"suffix":""},{"dropping-particle":"","family":"Wang","given":"Baomin","non-dropping-particle":"","parse-names":false,"suffix":""},{"dropping-particle":"","family":"Coughlan","given":"Maeve","non-dropping-particle":"","parse-names":false,"suffix":""},{"dropping-particle":"","family":"Yang","given":"Yanzhi","non-dropping-particle":"","parse-names":false,"suffix":""},{"dropping-particle":"","family":"Setiady","given":"Initha","non-dropping-particle":"","parse-names":false,"suffix":""},{"dropping-particle":"","family":"Deveau","given":"Ciana","non-dropping-particle":"","parse-names":false,"suffix":""},{"dropping-particle":"","family":"Saoud","given":"Karim","non-dropping-particle":"","parse-names":false,"suffix":""},{"dropping-particle":"","family":"Grello","given":"Cassandra","non-dropping-particle":"","parse-names":false,"suffix":""},{"dropping-particle":"","family":"Oxford","given":"Madison","non-dropping-particle":"","parse-names":false,"suffix":""},{"dropping-particle":"","family":"Yuan","given":"Fang","non-dropping-particle":"","parse-names":false,"suffix":""},{"dropping-particle":"","family":"Abounader","given":"Roger","non-dropping-particle":"","parse-names":false,"suffix":""}],"container-title":"Cancers","id":"ITEM-1","issue":"9","issued":{"date-parts":[["2018","9","1"]]},"language":"eng","page":"297","publisher":"MDPI","title":"The p53 Pathway in Glioblastoma","type":"article-journal","volume":"10"},"uris":["http://www.mendeley.com/documents/?uuid=40b982db-32a1-4927-ba05-d1a6df46ba6a"]}],"mendeley":{"formattedCitation":"[211]","plainTextFormattedCitation":"[211]","previouslyFormattedCitation":"[211]"},"properties":{"noteIndex":0},"schema":"https://github.com/citation-style-language/schema/raw/master/csl-citation.json"}</w:instrText>
      </w:r>
      <w:r w:rsidR="00BB6358"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[211]</w:t>
      </w:r>
      <w:r w:rsidR="00BB6358" w:rsidRPr="005B1CCB">
        <w:rPr>
          <w:rFonts w:ascii="Palatino Linotype" w:hAnsi="Palatino Linotype" w:cs="Times New Roman"/>
          <w:sz w:val="24"/>
          <w:szCs w:val="24"/>
        </w:rPr>
        <w:fldChar w:fldCharType="end"/>
      </w:r>
      <w:r w:rsidR="00BB6358" w:rsidRPr="005B1CCB">
        <w:rPr>
          <w:rFonts w:ascii="Palatino Linotype" w:hAnsi="Palatino Linotype" w:cs="Times New Roman"/>
          <w:sz w:val="24"/>
          <w:szCs w:val="24"/>
        </w:rPr>
        <w:t>, breast</w:t>
      </w:r>
      <w:r w:rsidR="00333165" w:rsidRPr="005B1CCB">
        <w:rPr>
          <w:rFonts w:ascii="Palatino Linotype" w:hAnsi="Palatino Linotype" w:cs="Times New Roman"/>
          <w:sz w:val="24"/>
          <w:szCs w:val="24"/>
        </w:rPr>
        <w:t xml:space="preserve"> </w:t>
      </w:r>
      <w:r w:rsidR="003331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{"citationItems":[{"id":"ITEM-1","itemData":{"DOI":"10.1111/1759-7714.13467","ISSN":"1759-7714","abstract":"BACKGROUND: TP53 is a crucial tumor suppressor gene. However, the mutation pattern of TP53 in Chinese patients with breast cancer has not yet been determined. METHODS: A total of 411 untreated patients with invasive breast cancer diagnosed at Guangdong Provincial People's Hospital (GDPH) between June 2017 to September 2018 were recruited into the study. Mutational alterations in TP53 were detected and correlations between TP53 mutations and clinicopathological features analyzed. Comparative analysis of the data in the GDPH cohort with those in the METABRIC cohort were carried out. RESULTS: A significantly higher rate of TP53 mutations was detected in the GDPH cohort (51.3%) compared with the METABRIC cohort (34.4%) (P &lt; 0.01). In the GDPH cohort, 77.8% of the mutations were located in the conserved areas across exons 5-8 of TP53; among these, 112 were identified as missense mutations and mainly clustered in the DNA-binding region. R273C/H (n = 11) and R248Q/W (n = 10) were two of the most common mutation sites of TP53 detected in the cohort of GDPH patients. Logistic regression multivariate analysis showed that histological grade III, ki-67 &gt; = 25%, HR- and Her2+ in breast cancer had higher mutation probability of TP53 (P &lt; 0.001 in the GDPH cohort). Furthermore, receiver operating characteristic (ROC) model combining molecular typing and Ki-67 was established to predict the mutation of TP53, and the AUC was 0.846. CONCLUSIONS: A significantly higher rate of TP53 mutation was detected in the Chinese cohort compared with the METABRIC. Correlation analysis revealed a significant association of TP53 mutation with HR- and HER2+, higher Ki-67 and histological grade in breast cancer patients.","author":[{"dropping-particle":"","family":"Li","given":"Xuerui","non-dropping-particle":"","parse-names":false,"suffix":""},{"dropping-particle":"","family":"Chen","given":"Xiaoqing","non-dropping-particle":"","parse-names":false,"suffix":""},{"dropping-particle":"","family":"Wen","given":"Lingzhu","non-dropping-particle":"","parse-names":false,"suffix":""},{"dropping-particle":"","family":"Wang","given":"Yulei","non-dropping-particle":"","parse-names":false,"suffix":""},{"dropping-particle":"","family":"Chen","given":"Bo","non-dropping-particle":"","parse-names":false,"suffix":""},{"dropping-particle":"","family":"Xue","given":"Yunlian","non-dropping-particle":"","parse-names":false,"suffix":""},{"dropping-particle":"","family":"Guo","given":"Liping","non-dropping-particle":"","parse-names":false,"suffix":""},{"dropping-particle":"","family":"Liao","given":"Ning","non-dropping-particle":"","parse-names":false,"suffix":""}],"container-title":"Thoracic cancer","edition":"2020/05/15","id":"ITEM-1","issue":"7","issued":{"date-parts":[["2020","7"]]},"language":"eng","page":"1861-1868","publisher":"John Wiley &amp; Sons Australia, Ltd","title":"Impact of TP53 mutations in breast cancer: Clinicopathological features and prognosisImpact of TP53 mutations in breast CA","type":"article-journal","volume":"11"},"uris":["http://www.mendeley.com/documents/?uuid=95fc9a39-14a5-46c1-a852-a7a017942994"]}],"mendeley":{"formattedCitation":"[212]","plainTextFormattedCitation":"[212]","previouslyFormattedCitation":"[212]"},"properties":{"noteIndex":0},"schema":"https://github.com/citation-style-language/schema/raw/master/csl-citation.json"}</w:instrText>
      </w:r>
      <w:r w:rsidR="003331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[212]</w:t>
      </w:r>
      <w:r w:rsidR="00333165" w:rsidRPr="005B1CCB">
        <w:rPr>
          <w:rFonts w:ascii="Palatino Linotype" w:hAnsi="Palatino Linotype" w:cs="Times New Roman"/>
          <w:sz w:val="24"/>
          <w:szCs w:val="24"/>
        </w:rPr>
        <w:fldChar w:fldCharType="end"/>
      </w:r>
      <w:r w:rsidR="00BB6358" w:rsidRPr="005B1CCB">
        <w:rPr>
          <w:rFonts w:ascii="Palatino Linotype" w:hAnsi="Palatino Linotype" w:cs="Times New Roman"/>
          <w:sz w:val="24"/>
          <w:szCs w:val="24"/>
        </w:rPr>
        <w:t>, colorectal</w:t>
      </w:r>
      <w:r w:rsidR="00333165" w:rsidRPr="005B1CCB">
        <w:rPr>
          <w:rFonts w:ascii="Palatino Linotype" w:hAnsi="Palatino Linotype" w:cs="Times New Roman"/>
          <w:sz w:val="24"/>
          <w:szCs w:val="24"/>
        </w:rPr>
        <w:t xml:space="preserve"> </w:t>
      </w:r>
      <w:r w:rsidR="003331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{"citationItems":[{"id":"ITEM-1","itemData":{"DOI":"10.3390/ijms20235999","ISSN":"1422-0067","abstract":"Colorectal cancer (CRC) is a kind of solid tumor and the third most common cancer type in the world. It is a heterogeneous disease characterized by genetic and epigenetic aberrations. The TP53 mutation is the key step driving the transition from adenoma to adenocarcinoma. The functional roles of TP53 mutation in tumor development have been comprehensively investigated. In CRC, TP53 mutation was associated with poor prognosis and chemoresistance. A gain of function (GOF) of p53 mutants promotes cell proliferation, migration and invasion through multiple mechanisms. Restoring wild type p53 function, depleting p53 mutants, or intervention by targeting the oncogenic downstreams provides potential therapeutic strategies. In this review, we comprehensively summarize the GOF of p53 mutants in CRC progression as well as in some other solid tumors, and discuss the current strategies targeting p53 mutants in malignancies.","author":[{"dropping-particle":"","family":"Li","given":"Hui","non-dropping-particle":"","parse-names":false,"suffix":""},{"dropping-particle":"","family":"Zhang","given":"Jinglin","non-dropping-particle":"","parse-names":false,"suffix":""},{"dropping-particle":"","family":"Tong","given":"Joanna Hung Man","non-dropping-particle":"","parse-names":false,"suffix":""},{"dropping-particle":"","family":"Chan","given":"Anthony Wing Hung","non-dropping-particle":"","parse-names":false,"suffix":""},{"dropping-particle":"","family":"Yu","given":"Jun","non-dropping-particle":"","parse-names":false,"suffix":""},{"dropping-particle":"","family":"Kang","given":"Wei","non-dropping-particle":"","parse-names":false,"suffix":""},{"dropping-particle":"","family":"To","given":"Ka Fai","non-dropping-particle":"","parse-names":false,"suffix":""}],"container-title":"International journal of molecular sciences","id":"ITEM-1","issue":"23","issued":{"date-parts":[["2019","11","28"]]},"language":"eng","page":"5999","publisher":"MDPI","title":"Targeting the Oncogenic p53 Mutants in Colorectal Cancer and Other Solid Tumors","type":"article-journal","volume":"20"},"uris":["http://www.mendeley.com/documents/?uuid=be677a0c-f8fe-493a-b7f9-a76d4ad4f02a"]}],"mendeley":{"formattedCitation":"[213]","plainTextFormattedCitation":"[213]","previouslyFormattedCitation":"[213]"},"properties":{"noteIndex":0},"schema":"https://github.com/citation-style-language/schema/raw/master/csl-citation.json"}</w:instrText>
      </w:r>
      <w:r w:rsidR="003331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[213]</w:t>
      </w:r>
      <w:r w:rsidR="00333165" w:rsidRPr="005B1CCB">
        <w:rPr>
          <w:rFonts w:ascii="Palatino Linotype" w:hAnsi="Palatino Linotype" w:cs="Times New Roman"/>
          <w:sz w:val="24"/>
          <w:szCs w:val="24"/>
        </w:rPr>
        <w:fldChar w:fldCharType="end"/>
      </w:r>
      <w:r w:rsidR="00BB6358" w:rsidRPr="005B1CCB">
        <w:rPr>
          <w:rFonts w:ascii="Palatino Linotype" w:hAnsi="Palatino Linotype" w:cs="Times New Roman"/>
          <w:sz w:val="24"/>
          <w:szCs w:val="24"/>
        </w:rPr>
        <w:t>, leukaemia</w:t>
      </w:r>
      <w:r w:rsidR="00333165" w:rsidRPr="005B1CCB">
        <w:rPr>
          <w:rFonts w:ascii="Palatino Linotype" w:hAnsi="Palatino Linotype" w:cs="Times New Roman"/>
          <w:sz w:val="24"/>
          <w:szCs w:val="24"/>
        </w:rPr>
        <w:t xml:space="preserve"> </w:t>
      </w:r>
      <w:r w:rsidR="003331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{"citationItems":[{"id":"ITEM-1","itemData":{"DOI":"10.3389/fonc.2020.610820","ISSN":"2234943X","abstract":"TP53 is a key tumor suppressor gene with protean functions associated with preservation of genomic balance, including regulation of cellular senescence, apoptotic pathways, metabolism functions, and DNA repair. The vast majority of de novo acute myeloid leukemia (AML) present unaltered TP53 alleles. However, TP53 mutations are frequently detected in AML related to an increased genomic instability, such as therapy‐related (t-AML) or AML with myelodysplasia-related changes. Of note, TP53 mutations are associated with complex cytogenetic abnormalities, advanced age, chemoresistance, and poor outcomes. Recent breakthroughs in AML research and the development of targeted drugs directed at specific mutations have led to an explosion of novel treatments with different mechanisms. However, optimal treatment strategy for patients harboring TP53 mutations remains a critical area of unmet need. In this review, we focus on the incidence and clinical significance of TP53 mutations in de novo and t-AML. The influence of these alterations on response and clinical outcomes as well as the current and future therapeutic perspectives for this hardly treatable setting are discussed.","author":[{"dropping-particle":"","family":"Molica","given":"Matteo","non-dropping-particle":"","parse-names":false,"suffix":""},{"dropping-particle":"","family":"Mazzone","given":"Carla","non-dropping-particle":"","parse-names":false,"suffix":""},{"dropping-particle":"","family":"Niscola","given":"Pasquale","non-dropping-particle":"","parse-names":false,"suffix":""},{"dropping-particle":"","family":"Fabritiis","given":"Paolo","non-dropping-particle":"de","parse-names":false,"suffix":""}],"container-title":"Frontiers in Oncology","id":"ITEM-1","issue":"February","issued":{"date-parts":[["2021"]]},"page":"1-16","title":"TP53 Mutations in Acute Myeloid Leukemia: Still a Daunting Challenge?","type":"article-journal","volume":"10"},"uris":["http://www.mendeley.com/documents/?uuid=59fdda84-22e9-464a-a716-e601da4f8d9e"]}],"mendeley":{"formattedCitation":"[214]","plainTextFormattedCitation":"[214]","previouslyFormattedCitation":"[214]"},"properties":{"noteIndex":0},"schema":"https://github.com/citation-style-language/schema/raw/master/csl-citation.json"}</w:instrText>
      </w:r>
      <w:r w:rsidR="003331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[214]</w:t>
      </w:r>
      <w:r w:rsidR="00333165" w:rsidRPr="005B1CCB">
        <w:rPr>
          <w:rFonts w:ascii="Palatino Linotype" w:hAnsi="Palatino Linotype" w:cs="Times New Roman"/>
          <w:sz w:val="24"/>
          <w:szCs w:val="24"/>
        </w:rPr>
        <w:fldChar w:fldCharType="end"/>
      </w:r>
      <w:r w:rsidR="00BB6358" w:rsidRPr="005B1CCB">
        <w:rPr>
          <w:rFonts w:ascii="Palatino Linotype" w:hAnsi="Palatino Linotype" w:cs="Times New Roman"/>
          <w:sz w:val="24"/>
          <w:szCs w:val="24"/>
        </w:rPr>
        <w:t xml:space="preserve">, head </w:t>
      </w:r>
      <w:r w:rsidR="000403B7" w:rsidRPr="005B1CCB">
        <w:rPr>
          <w:rFonts w:ascii="Palatino Linotype" w:hAnsi="Palatino Linotype" w:cs="Times New Roman"/>
          <w:sz w:val="24"/>
          <w:szCs w:val="24"/>
        </w:rPr>
        <w:t>and neck</w:t>
      </w:r>
      <w:r w:rsidR="00333165" w:rsidRPr="005B1CCB">
        <w:rPr>
          <w:rFonts w:ascii="Palatino Linotype" w:hAnsi="Palatino Linotype" w:cs="Times New Roman"/>
          <w:sz w:val="24"/>
          <w:szCs w:val="24"/>
        </w:rPr>
        <w:t xml:space="preserve"> </w:t>
      </w:r>
      <w:r w:rsidR="00E07463" w:rsidRPr="005B1CCB">
        <w:rPr>
          <w:rFonts w:ascii="Palatino Linotype" w:hAnsi="Palatino Linotype" w:cs="Times New Roman"/>
          <w:sz w:val="24"/>
          <w:szCs w:val="24"/>
        </w:rPr>
        <w:t xml:space="preserve">cancers </w:t>
      </w:r>
      <w:r w:rsidR="003331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{"citationItems":[{"id":"ITEM-1","itemData":{"DOI":"10.1002/jcb.25592","ISSN":"1097-4644","abstract":"Recent studies describing the mutational landscape of head and neck squamous cell carcinoma (HNSCC) on a genomic scale by our group and others, including The Cancer Genome Atlas, have provided unprecedented perspective for understanding the molecular pathogenesis of HNSCC progression and response to treatment. These studies confirmed that mutations of the TP53 tumor suppressor gene were the most frequent of all somatic genomic alterations in HNSCC, alluding to the importance of the TP53 gene in suppressing the development and progression of this disease. Clinically, TP53 mutations are significantly associated with short survival time and tumor resistance to radiotherapy and chemotherapy in HNSCC patients, which makes the TP53 mutation status a potentially useful molecular factor for risk stratification and predictor of clinical response in these patients. In addition to loss of wild-type p53 function and the dominant-negative effect on the remaining wild-type p53, some p53 mutants often gain oncogenic functions to promote tumorigenesis and progression. Different p53 mutants may possess different gain-of-function properties. Herein, we review the most up-to-date information about TP53 mutations available via The Cancer Genome Atlas-based analysis of HNSCC and discuss our current understanding of the potential tumor-suppressive role of p53, focusing on gain-of-function activities of p53 mutations. We also summarize our knowledge regarding the use of the TP53 mutation status as a potential evaluation or stratification biomarker for prognosis and a predictor of clinical response to radiotherapy and chemotherapy in HNSCC patients. Finally, we discuss possible strategies for targeting HNSCCs bearing TP53 mutations. J. Cell. Biochem. 117: 2682-2692, 2016. © 2016 Wiley Periodicals, Inc.","author":[{"dropping-particle":"","family":"Zhou","given":"Ge","non-dropping-particle":"","parse-names":false,"suffix":""},{"dropping-particle":"","family":"Liu","given":"Zhiyi","non-dropping-particle":"","parse-names":false,"suffix":""},{"dropping-particle":"","family":"Myers","given":"Jeffrey N","non-dropping-particle":"","parse-names":false,"suffix":""}],"container-title":"Journal of cellular biochemistry","edition":"2016/06/03","id":"ITEM-1","issue":"12","issued":{"date-parts":[["2016","12"]]},"language":"eng","page":"2682-2692","title":"TP53 Mutations in Head and Neck Squamous Cell Carcinoma and Their Impact on Disease Progression and Treatment Response","type":"article-journal","volume":"117"},"uris":["http://www.mendeley.com/documents/?uuid=a8e7d201-894a-41cd-a4b9-04276c3f1691"]}],"mendeley":{"formattedCitation":"[215]","plainTextFormattedCitation":"[215]","previouslyFormattedCitation":"[215]"},"properties":{"noteIndex":0},"schema":"https://github.com/citation-style-language/schema/raw/master/csl-citation.json"}</w:instrText>
      </w:r>
      <w:r w:rsidR="003331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[215]</w:t>
      </w:r>
      <w:r w:rsidR="00333165"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r w:rsidR="004D1F5B" w:rsidRPr="005B1CCB">
        <w:rPr>
          <w:rFonts w:ascii="Palatino Linotype" w:hAnsi="Palatino Linotype" w:cs="Times New Roman"/>
          <w:sz w:val="24"/>
          <w:szCs w:val="24"/>
        </w:rPr>
        <w:t xml:space="preserve"> </w:t>
      </w:r>
      <w:r w:rsidR="00272309" w:rsidRPr="005B1CCB">
        <w:rPr>
          <w:rFonts w:ascii="Palatino Linotype" w:hAnsi="Palatino Linotype" w:cs="Times New Roman"/>
          <w:sz w:val="24"/>
          <w:szCs w:val="24"/>
        </w:rPr>
        <w:t>T</w:t>
      </w:r>
      <w:r w:rsidR="003D5F5E" w:rsidRPr="005B1CCB">
        <w:rPr>
          <w:rFonts w:ascii="Palatino Linotype" w:hAnsi="Palatino Linotype" w:cs="Times New Roman"/>
          <w:sz w:val="24"/>
          <w:szCs w:val="24"/>
        </w:rPr>
        <w:t>p</w:t>
      </w:r>
      <w:r w:rsidR="00272309" w:rsidRPr="005B1CCB">
        <w:rPr>
          <w:rFonts w:ascii="Palatino Linotype" w:hAnsi="Palatino Linotype" w:cs="Times New Roman"/>
          <w:sz w:val="24"/>
          <w:szCs w:val="24"/>
        </w:rPr>
        <w:t>53 has been detected in the cfDNA of healthy subjects up to one year before cancer diagnosis</w:t>
      </w:r>
      <w:r w:rsidR="00043726" w:rsidRPr="005B1CCB">
        <w:rPr>
          <w:rFonts w:ascii="Palatino Linotype" w:hAnsi="Palatino Linotype" w:cs="Times New Roman"/>
          <w:sz w:val="24"/>
          <w:szCs w:val="24"/>
        </w:rPr>
        <w:t xml:space="preserve"> </w:t>
      </w:r>
      <w:r w:rsidR="00043726"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{"citationItems":[{"id":"ITEM-1","itemData":{"DOI":"10.1186/s40246-019-0220-8","ISSN":"1479-7364","abstract":"In recent years, the rapid development of next-generation sequencing (NGS) technologies has led to a significant reduction in sequencing cost with improved accuracy. In the area of liquid biopsy, NGS has been applied to sequence circulating tumor DNA (ctDNA). Since ctDNA is the DNA fragments released by tumor cells, it can provide a molecular profile of cancer. Liquid biopsy can be applied to all stages of cancer diagnosis and treatment, allowing non-invasive and real-time monitoring of disease development. The most promising aspects of liquid biopsy in cancer applications are cancer screening and early diagnosis because they can lead to better survival results and less disease burden. Although many ctDNA sequencing methods have enough sensitivity to detect extremely low levels of mutation frequency at the early stage of cancer, how to effectively implement them in population screening settings remains challenging. This paper focuses on the application of liquid biopsy in the early screening and diagnosis of cancer, introduces NGS-related methods, reviews recent progress, summarizes challenges, and discusses future research directions.","author":[{"dropping-particle":"","family":"Chen","given":"Ming","non-dropping-particle":"","parse-names":false,"suffix":""},{"dropping-particle":"","family":"Zhao","given":"Hongyu","non-dropping-particle":"","parse-names":false,"suffix":""}],"container-title":"Human Genomics","id":"ITEM-1","issue":"1","issued":{"date-parts":[["2019"]]},"page":"34","title":"Next-generation sequencing in liquid biopsy: cancer screening and early detection","type":"article-journal","volume":"13"},"uris":["http://www.mendeley.com/documents/?uuid=5bcdfd8a-4b54-4b76-b871-639dfeeab78e"]}],"mendeley":{"formattedCitation":"[74]","plainTextFormattedCitation":"[74]","previouslyFormattedCitation":"[74]"},"properties":{"noteIndex":0},"schema":"https://github.com/citation-style-language/schema/raw/master/csl-citation.json"}</w:instrText>
      </w:r>
      <w:r w:rsidR="00043726"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[74]</w:t>
      </w:r>
      <w:r w:rsidR="00043726" w:rsidRPr="005B1CCB">
        <w:rPr>
          <w:rFonts w:ascii="Palatino Linotype" w:hAnsi="Palatino Linotype" w:cs="Times New Roman"/>
          <w:sz w:val="24"/>
          <w:szCs w:val="24"/>
        </w:rPr>
        <w:fldChar w:fldCharType="end"/>
      </w:r>
      <w:r w:rsidR="00272309" w:rsidRPr="005B1CCB">
        <w:rPr>
          <w:rFonts w:ascii="Palatino Linotype" w:hAnsi="Palatino Linotype" w:cs="Times New Roman"/>
          <w:sz w:val="24"/>
          <w:szCs w:val="24"/>
        </w:rPr>
        <w:t>.</w:t>
      </w:r>
      <w:r w:rsidR="000D50D0" w:rsidRPr="005B1CCB">
        <w:rPr>
          <w:rFonts w:ascii="Palatino Linotype" w:hAnsi="Palatino Linotype" w:cs="Times New Roman"/>
          <w:sz w:val="24"/>
          <w:szCs w:val="24"/>
        </w:rPr>
        <w:t xml:space="preserve"> </w:t>
      </w:r>
      <w:r w:rsidR="00126051" w:rsidRPr="005B1CCB">
        <w:rPr>
          <w:rFonts w:ascii="Palatino Linotype" w:hAnsi="Palatino Linotype" w:cs="Times New Roman"/>
          <w:sz w:val="24"/>
          <w:szCs w:val="24"/>
        </w:rPr>
        <w:t xml:space="preserve">Initial </w:t>
      </w:r>
      <w:r w:rsidR="000D50D0" w:rsidRPr="005B1CCB">
        <w:rPr>
          <w:rFonts w:ascii="Palatino Linotype" w:hAnsi="Palatino Linotype" w:cs="Times New Roman"/>
          <w:sz w:val="24"/>
          <w:szCs w:val="24"/>
        </w:rPr>
        <w:t xml:space="preserve">work was carried out </w:t>
      </w:r>
      <w:r w:rsidR="00BB65D9" w:rsidRPr="005B1CCB">
        <w:rPr>
          <w:rFonts w:ascii="Palatino Linotype" w:hAnsi="Palatino Linotype" w:cs="Times New Roman"/>
          <w:sz w:val="24"/>
          <w:szCs w:val="24"/>
        </w:rPr>
        <w:t xml:space="preserve">and is presented </w:t>
      </w:r>
      <w:r w:rsidR="000D50D0" w:rsidRPr="005B1CCB">
        <w:rPr>
          <w:rFonts w:ascii="Palatino Linotype" w:hAnsi="Palatino Linotype" w:cs="Times New Roman"/>
          <w:sz w:val="24"/>
          <w:szCs w:val="24"/>
        </w:rPr>
        <w:t>in this section using the T</w:t>
      </w:r>
      <w:r w:rsidR="003D5F5E" w:rsidRPr="005B1CCB">
        <w:rPr>
          <w:rFonts w:ascii="Palatino Linotype" w:hAnsi="Palatino Linotype" w:cs="Times New Roman"/>
          <w:sz w:val="24"/>
          <w:szCs w:val="24"/>
        </w:rPr>
        <w:t>p</w:t>
      </w:r>
      <w:r w:rsidR="000D50D0" w:rsidRPr="005B1CCB">
        <w:rPr>
          <w:rFonts w:ascii="Palatino Linotype" w:hAnsi="Palatino Linotype" w:cs="Times New Roman"/>
          <w:sz w:val="24"/>
          <w:szCs w:val="24"/>
        </w:rPr>
        <w:t>53 gene in order to understand and establish a platform for the detection of ctDNA</w:t>
      </w:r>
      <w:r w:rsidR="00D50EA1" w:rsidRPr="005B1CCB">
        <w:rPr>
          <w:rFonts w:ascii="Palatino Linotype" w:hAnsi="Palatino Linotype" w:cs="Times New Roman"/>
          <w:sz w:val="24"/>
          <w:szCs w:val="24"/>
        </w:rPr>
        <w:t xml:space="preserve"> electrochemically</w:t>
      </w:r>
      <w:r w:rsidR="000D50D0" w:rsidRPr="005B1CCB">
        <w:rPr>
          <w:rFonts w:ascii="Palatino Linotype" w:hAnsi="Palatino Linotype" w:cs="Times New Roman"/>
          <w:sz w:val="24"/>
          <w:szCs w:val="24"/>
        </w:rPr>
        <w:t xml:space="preserve">. </w:t>
      </w:r>
      <w:r w:rsidR="00364056" w:rsidRPr="00101B10">
        <w:rPr>
          <w:rFonts w:ascii="Palatino Linotype" w:hAnsi="Palatino Linotype" w:cs="Times New Roman"/>
          <w:sz w:val="24"/>
          <w:szCs w:val="24"/>
        </w:rPr>
        <w:t xml:space="preserve">A </w:t>
      </w:r>
      <w:r w:rsidR="00BB65D9" w:rsidRPr="00101B10">
        <w:rPr>
          <w:rFonts w:ascii="Palatino Linotype" w:hAnsi="Palatino Linotype" w:cs="Times New Roman"/>
          <w:sz w:val="24"/>
          <w:szCs w:val="24"/>
        </w:rPr>
        <w:t xml:space="preserve">human glioblastoma </w:t>
      </w:r>
      <w:r w:rsidR="00364056" w:rsidRPr="00101B10">
        <w:rPr>
          <w:rFonts w:ascii="Palatino Linotype" w:hAnsi="Palatino Linotype" w:cs="Times New Roman"/>
          <w:sz w:val="24"/>
          <w:szCs w:val="24"/>
        </w:rPr>
        <w:t>cell line carrying the T</w:t>
      </w:r>
      <w:r w:rsidR="003D5F5E" w:rsidRPr="00101B10">
        <w:rPr>
          <w:rFonts w:ascii="Palatino Linotype" w:hAnsi="Palatino Linotype" w:cs="Times New Roman"/>
          <w:sz w:val="24"/>
          <w:szCs w:val="24"/>
        </w:rPr>
        <w:t>p</w:t>
      </w:r>
      <w:r w:rsidR="00364056" w:rsidRPr="00101B10">
        <w:rPr>
          <w:rFonts w:ascii="Palatino Linotype" w:hAnsi="Palatino Linotype" w:cs="Times New Roman"/>
          <w:sz w:val="24"/>
          <w:szCs w:val="24"/>
        </w:rPr>
        <w:t xml:space="preserve">53 p.273H mutation was cultured and </w:t>
      </w:r>
      <w:r w:rsidR="00B45D49">
        <w:rPr>
          <w:rFonts w:ascii="Palatino Linotype" w:hAnsi="Palatino Linotype" w:cs="Times New Roman"/>
          <w:sz w:val="24"/>
          <w:szCs w:val="24"/>
        </w:rPr>
        <w:t xml:space="preserve">plasmid </w:t>
      </w:r>
      <w:r w:rsidR="00364056" w:rsidRPr="00101B10">
        <w:rPr>
          <w:rFonts w:ascii="Palatino Linotype" w:hAnsi="Palatino Linotype" w:cs="Times New Roman"/>
          <w:sz w:val="24"/>
          <w:szCs w:val="24"/>
        </w:rPr>
        <w:t xml:space="preserve">DNA was extracted </w:t>
      </w:r>
      <w:r w:rsidR="0022031C" w:rsidRPr="00101B10">
        <w:rPr>
          <w:rFonts w:ascii="Palatino Linotype" w:hAnsi="Palatino Linotype" w:cs="Times New Roman"/>
          <w:sz w:val="24"/>
          <w:szCs w:val="24"/>
        </w:rPr>
        <w:t xml:space="preserve">and analysed </w:t>
      </w:r>
      <w:r w:rsidR="00364056" w:rsidRPr="00101B10">
        <w:rPr>
          <w:rFonts w:ascii="Palatino Linotype" w:hAnsi="Palatino Linotype" w:cs="Times New Roman"/>
          <w:sz w:val="24"/>
          <w:szCs w:val="24"/>
        </w:rPr>
        <w:t xml:space="preserve">to demonstrate </w:t>
      </w:r>
      <w:r w:rsidR="00D258E3" w:rsidRPr="00101B10">
        <w:rPr>
          <w:rFonts w:ascii="Palatino Linotype" w:hAnsi="Palatino Linotype" w:cs="Times New Roman"/>
          <w:sz w:val="24"/>
          <w:szCs w:val="24"/>
        </w:rPr>
        <w:t>initial</w:t>
      </w:r>
      <w:r w:rsidR="000C0AD0" w:rsidRPr="00101B10">
        <w:rPr>
          <w:rFonts w:ascii="Palatino Linotype" w:hAnsi="Palatino Linotype" w:cs="Times New Roman"/>
          <w:sz w:val="24"/>
          <w:szCs w:val="24"/>
        </w:rPr>
        <w:t xml:space="preserve"> isolation of </w:t>
      </w:r>
      <w:r w:rsidR="00AC37B9">
        <w:rPr>
          <w:rFonts w:ascii="Palatino Linotype" w:hAnsi="Palatino Linotype" w:cs="Times New Roman"/>
          <w:sz w:val="24"/>
          <w:szCs w:val="24"/>
        </w:rPr>
        <w:t>cf</w:t>
      </w:r>
      <w:r w:rsidR="000C0AD0" w:rsidRPr="00101B10">
        <w:rPr>
          <w:rFonts w:ascii="Palatino Linotype" w:hAnsi="Palatino Linotype" w:cs="Times New Roman"/>
          <w:sz w:val="24"/>
          <w:szCs w:val="24"/>
        </w:rPr>
        <w:t>DNA in-vitro</w:t>
      </w:r>
      <w:r w:rsidR="00D258E3" w:rsidRPr="005B1CCB">
        <w:rPr>
          <w:rFonts w:ascii="Palatino Linotype" w:hAnsi="Palatino Linotype" w:cs="Times New Roman"/>
          <w:sz w:val="24"/>
          <w:szCs w:val="24"/>
        </w:rPr>
        <w:t xml:space="preserve">. </w:t>
      </w:r>
      <w:r w:rsidR="0022031C" w:rsidRPr="005B1CCB">
        <w:rPr>
          <w:rFonts w:ascii="Palatino Linotype" w:hAnsi="Palatino Linotype" w:cs="Times New Roman"/>
          <w:sz w:val="24"/>
          <w:szCs w:val="24"/>
        </w:rPr>
        <w:t xml:space="preserve">DNA hybridisation was </w:t>
      </w:r>
      <w:r w:rsidR="000C0AD0" w:rsidRPr="005B1CCB">
        <w:rPr>
          <w:rFonts w:ascii="Palatino Linotype" w:hAnsi="Palatino Linotype" w:cs="Times New Roman"/>
          <w:sz w:val="24"/>
          <w:szCs w:val="24"/>
        </w:rPr>
        <w:t xml:space="preserve">then </w:t>
      </w:r>
      <w:r w:rsidR="0022031C" w:rsidRPr="005B1CCB">
        <w:rPr>
          <w:rFonts w:ascii="Palatino Linotype" w:hAnsi="Palatino Linotype" w:cs="Times New Roman"/>
          <w:sz w:val="24"/>
          <w:szCs w:val="24"/>
        </w:rPr>
        <w:t>explored using screen printed gold electrodes and thiolated T</w:t>
      </w:r>
      <w:r w:rsidR="003D5F5E" w:rsidRPr="005B1CCB">
        <w:rPr>
          <w:rFonts w:ascii="Palatino Linotype" w:hAnsi="Palatino Linotype" w:cs="Times New Roman"/>
          <w:sz w:val="24"/>
          <w:szCs w:val="24"/>
        </w:rPr>
        <w:t>p</w:t>
      </w:r>
      <w:r w:rsidR="0022031C" w:rsidRPr="005B1CCB">
        <w:rPr>
          <w:rFonts w:ascii="Palatino Linotype" w:hAnsi="Palatino Linotype" w:cs="Times New Roman"/>
          <w:sz w:val="24"/>
          <w:szCs w:val="24"/>
        </w:rPr>
        <w:t>53 oligonucleotide probes.</w:t>
      </w:r>
      <w:r w:rsidR="0028752F" w:rsidRPr="005B1CCB">
        <w:rPr>
          <w:rFonts w:ascii="Palatino Linotype" w:hAnsi="Palatino Linotype" w:cs="Times New Roman"/>
          <w:sz w:val="24"/>
          <w:szCs w:val="24"/>
        </w:rPr>
        <w:t xml:space="preserve"> Finally, the real electrochemical surface area of each of the macro-electrode used and its influence on the sensitivity of the DNA hybridisation was explored.</w:t>
      </w:r>
    </w:p>
    <w:p w14:paraId="304AA651" w14:textId="77777777" w:rsidR="00251F4F" w:rsidRPr="005B1CCB" w:rsidRDefault="00251F4F" w:rsidP="00364056">
      <w:pPr>
        <w:spacing w:line="360" w:lineRule="auto"/>
        <w:jc w:val="both"/>
        <w:rPr>
          <w:rFonts w:ascii="Palatino Linotype" w:hAnsi="Palatino Linotype" w:cs="Times New Roman"/>
          <w:sz w:val="24"/>
          <w:szCs w:val="24"/>
        </w:rPr>
      </w:pPr>
    </w:p>
    <w:p w14:paraId="3ADB4B57" w14:textId="77777777" w:rsidR="00620858" w:rsidRPr="005B1CCB" w:rsidRDefault="00620858" w:rsidP="00BF381B">
      <w:pPr>
        <w:pStyle w:val="Heading2"/>
      </w:pPr>
      <w:bookmarkStart w:id="105" w:name="_Toc84528088"/>
      <w:r w:rsidRPr="005B1CCB">
        <w:t>Methods</w:t>
      </w:r>
      <w:bookmarkEnd w:id="105"/>
    </w:p>
    <w:p w14:paraId="09E62140" w14:textId="77777777" w:rsidR="00FA5BF9" w:rsidRPr="005B1CCB" w:rsidRDefault="00FA5BF9" w:rsidP="00D71969">
      <w:pPr>
        <w:pStyle w:val="Heading3"/>
      </w:pPr>
      <w:bookmarkStart w:id="106" w:name="_Toc84528089"/>
      <w:r w:rsidRPr="005B1CCB">
        <w:t>Reagents</w:t>
      </w:r>
      <w:r w:rsidR="00DB28A7" w:rsidRPr="005B1CCB">
        <w:t xml:space="preserve"> and materials</w:t>
      </w:r>
      <w:bookmarkEnd w:id="106"/>
    </w:p>
    <w:p w14:paraId="5C964327" w14:textId="0C3741CF" w:rsidR="009B1764" w:rsidRPr="005B1CCB" w:rsidRDefault="00E61220" w:rsidP="00736D3B">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251F4F" w:rsidRPr="005B1CCB">
        <w:rPr>
          <w:rFonts w:ascii="Palatino Linotype" w:hAnsi="Palatino Linotype"/>
          <w:sz w:val="24"/>
          <w:szCs w:val="24"/>
        </w:rPr>
        <w:t xml:space="preserve"> </w:t>
      </w:r>
      <w:r w:rsidR="00736D3B" w:rsidRPr="005B1CCB">
        <w:rPr>
          <w:rFonts w:ascii="Palatino Linotype" w:hAnsi="Palatino Linotype"/>
          <w:sz w:val="24"/>
          <w:szCs w:val="24"/>
        </w:rPr>
        <w:t>Custom synthesised oligonucleotides (</w:t>
      </w:r>
      <w:r w:rsidR="00431B38" w:rsidRPr="005B1CCB">
        <w:rPr>
          <w:rFonts w:ascii="Palatino Linotype" w:hAnsi="Palatino Linotype"/>
          <w:sz w:val="24"/>
          <w:szCs w:val="24"/>
        </w:rPr>
        <w:t>Tp</w:t>
      </w:r>
      <w:r w:rsidR="00736D3B" w:rsidRPr="005B1CCB">
        <w:rPr>
          <w:rFonts w:ascii="Palatino Linotype" w:hAnsi="Palatino Linotype"/>
          <w:sz w:val="24"/>
          <w:szCs w:val="24"/>
        </w:rPr>
        <w:t xml:space="preserve">53 wild type probe, </w:t>
      </w:r>
      <w:r w:rsidR="00431B38" w:rsidRPr="005B1CCB">
        <w:rPr>
          <w:rFonts w:ascii="Palatino Linotype" w:hAnsi="Palatino Linotype"/>
          <w:sz w:val="24"/>
          <w:szCs w:val="24"/>
        </w:rPr>
        <w:t>Tp</w:t>
      </w:r>
      <w:r w:rsidR="00736D3B" w:rsidRPr="005B1CCB">
        <w:rPr>
          <w:rFonts w:ascii="Palatino Linotype" w:hAnsi="Palatino Linotype"/>
          <w:sz w:val="24"/>
          <w:szCs w:val="24"/>
        </w:rPr>
        <w:t xml:space="preserve">53 mutated target and </w:t>
      </w:r>
      <w:r w:rsidR="00431B38" w:rsidRPr="005B1CCB">
        <w:rPr>
          <w:rFonts w:ascii="Palatino Linotype" w:hAnsi="Palatino Linotype"/>
          <w:sz w:val="24"/>
          <w:szCs w:val="24"/>
        </w:rPr>
        <w:t>T</w:t>
      </w:r>
      <w:r w:rsidR="00736D3B" w:rsidRPr="005B1CCB">
        <w:rPr>
          <w:rFonts w:ascii="Palatino Linotype" w:hAnsi="Palatino Linotype"/>
          <w:sz w:val="24"/>
          <w:szCs w:val="24"/>
        </w:rPr>
        <w:t>p53 wild</w:t>
      </w:r>
      <w:r w:rsidR="00EA14BF" w:rsidRPr="005B1CCB">
        <w:rPr>
          <w:rFonts w:ascii="Palatino Linotype" w:hAnsi="Palatino Linotype"/>
          <w:sz w:val="24"/>
          <w:szCs w:val="24"/>
        </w:rPr>
        <w:t>-</w:t>
      </w:r>
      <w:r w:rsidR="00736D3B" w:rsidRPr="005B1CCB">
        <w:rPr>
          <w:rFonts w:ascii="Palatino Linotype" w:hAnsi="Palatino Linotype"/>
          <w:sz w:val="24"/>
          <w:szCs w:val="24"/>
        </w:rPr>
        <w:t>type target) with a concentration of 200µM respectively were all obtained from Sigma-Aldrich and stored at -80</w:t>
      </w:r>
      <w:r w:rsidR="003D5F5E" w:rsidRPr="005B1CCB">
        <w:rPr>
          <w:rFonts w:ascii="Palatino Linotype" w:hAnsi="Palatino Linotype"/>
          <w:sz w:val="24"/>
          <w:szCs w:val="24"/>
        </w:rPr>
        <w:t xml:space="preserve"> </w:t>
      </w:r>
      <w:r w:rsidR="00736D3B" w:rsidRPr="005B1CCB">
        <w:rPr>
          <w:rFonts w:ascii="Palatino Linotype" w:hAnsi="Palatino Linotype"/>
          <w:sz w:val="24"/>
          <w:szCs w:val="24"/>
          <w:vertAlign w:val="superscript"/>
        </w:rPr>
        <w:t>o</w:t>
      </w:r>
      <w:r w:rsidR="00736D3B" w:rsidRPr="005B1CCB">
        <w:rPr>
          <w:rFonts w:ascii="Palatino Linotype" w:hAnsi="Palatino Linotype"/>
          <w:sz w:val="24"/>
          <w:szCs w:val="24"/>
        </w:rPr>
        <w:t>C prior to aliquoting. 6-mercaptohexanol (MCH), Distilled water, Sulphuric acid, Phosphate buffered saline (PBS), potassium ferricyanide, potassium chloride and potassium ferrocyanide were all purchased from Sigma-Aldrich. All the DNA stocks were diluted to 1</w:t>
      </w:r>
      <w:r w:rsidR="003D5F5E" w:rsidRPr="005B1CCB">
        <w:rPr>
          <w:rFonts w:ascii="Palatino Linotype" w:hAnsi="Palatino Linotype"/>
          <w:sz w:val="24"/>
          <w:szCs w:val="24"/>
        </w:rPr>
        <w:t xml:space="preserve"> </w:t>
      </w:r>
      <w:r w:rsidR="00736D3B" w:rsidRPr="005B1CCB">
        <w:rPr>
          <w:rFonts w:ascii="Palatino Linotype" w:hAnsi="Palatino Linotype"/>
          <w:sz w:val="24"/>
          <w:szCs w:val="24"/>
        </w:rPr>
        <w:t>µM in 1</w:t>
      </w:r>
      <w:r w:rsidR="00251F4F" w:rsidRPr="005B1CCB">
        <w:rPr>
          <w:rFonts w:ascii="Palatino Linotype" w:hAnsi="Palatino Linotype"/>
          <w:sz w:val="24"/>
          <w:szCs w:val="24"/>
        </w:rPr>
        <w:t xml:space="preserve"> </w:t>
      </w:r>
      <w:r w:rsidR="00736D3B" w:rsidRPr="005B1CCB">
        <w:rPr>
          <w:rFonts w:ascii="Palatino Linotype" w:hAnsi="Palatino Linotype"/>
          <w:sz w:val="24"/>
          <w:szCs w:val="24"/>
        </w:rPr>
        <w:t>x</w:t>
      </w:r>
      <w:r w:rsidR="003D5F5E" w:rsidRPr="005B1CCB">
        <w:rPr>
          <w:rFonts w:ascii="Palatino Linotype" w:hAnsi="Palatino Linotype"/>
          <w:sz w:val="24"/>
          <w:szCs w:val="24"/>
        </w:rPr>
        <w:t xml:space="preserve"> </w:t>
      </w:r>
      <w:r w:rsidR="00736D3B" w:rsidRPr="005B1CCB">
        <w:rPr>
          <w:rFonts w:ascii="Palatino Linotype" w:hAnsi="Palatino Linotype"/>
          <w:sz w:val="24"/>
          <w:szCs w:val="24"/>
        </w:rPr>
        <w:t>PBS just before use and the MCH was diluted to 1</w:t>
      </w:r>
      <w:r w:rsidR="003D5F5E" w:rsidRPr="005B1CCB">
        <w:rPr>
          <w:rFonts w:ascii="Palatino Linotype" w:hAnsi="Palatino Linotype"/>
          <w:sz w:val="24"/>
          <w:szCs w:val="24"/>
        </w:rPr>
        <w:t xml:space="preserve"> </w:t>
      </w:r>
      <w:r w:rsidR="00736D3B" w:rsidRPr="005B1CCB">
        <w:rPr>
          <w:rFonts w:ascii="Palatino Linotype" w:hAnsi="Palatino Linotype"/>
          <w:sz w:val="24"/>
          <w:szCs w:val="24"/>
        </w:rPr>
        <w:t>µM in 1</w:t>
      </w:r>
      <w:r w:rsidR="003D5F5E" w:rsidRPr="005B1CCB">
        <w:rPr>
          <w:rFonts w:ascii="Palatino Linotype" w:hAnsi="Palatino Linotype"/>
          <w:sz w:val="24"/>
          <w:szCs w:val="24"/>
        </w:rPr>
        <w:t xml:space="preserve"> </w:t>
      </w:r>
      <w:r w:rsidR="00736D3B" w:rsidRPr="005B1CCB">
        <w:rPr>
          <w:rFonts w:ascii="Palatino Linotype" w:hAnsi="Palatino Linotype"/>
          <w:sz w:val="24"/>
          <w:szCs w:val="24"/>
        </w:rPr>
        <w:t>ml of 1</w:t>
      </w:r>
      <w:r w:rsidR="00251F4F" w:rsidRPr="005B1CCB">
        <w:rPr>
          <w:rFonts w:ascii="Palatino Linotype" w:hAnsi="Palatino Linotype"/>
          <w:sz w:val="24"/>
          <w:szCs w:val="24"/>
        </w:rPr>
        <w:t xml:space="preserve"> </w:t>
      </w:r>
      <w:r w:rsidR="00736D3B" w:rsidRPr="005B1CCB">
        <w:rPr>
          <w:rFonts w:ascii="Palatino Linotype" w:hAnsi="Palatino Linotype"/>
          <w:sz w:val="24"/>
          <w:szCs w:val="24"/>
        </w:rPr>
        <w:t>x</w:t>
      </w:r>
      <w:r w:rsidR="003D5F5E" w:rsidRPr="005B1CCB">
        <w:rPr>
          <w:rFonts w:ascii="Palatino Linotype" w:hAnsi="Palatino Linotype"/>
          <w:sz w:val="24"/>
          <w:szCs w:val="24"/>
        </w:rPr>
        <w:t xml:space="preserve"> </w:t>
      </w:r>
      <w:r w:rsidR="00736D3B" w:rsidRPr="005B1CCB">
        <w:rPr>
          <w:rFonts w:ascii="Palatino Linotype" w:hAnsi="Palatino Linotype"/>
          <w:sz w:val="24"/>
          <w:szCs w:val="24"/>
        </w:rPr>
        <w:t>PBS.</w:t>
      </w:r>
      <w:r w:rsidR="005C35C9" w:rsidRPr="005B1CCB">
        <w:rPr>
          <w:rFonts w:ascii="Palatino Linotype" w:hAnsi="Palatino Linotype"/>
          <w:sz w:val="24"/>
          <w:szCs w:val="24"/>
        </w:rPr>
        <w:t xml:space="preserve"> The screen-printed gold electrodes used for DNA hybridisation were obtained from  Dropsens </w:t>
      </w:r>
      <w:r w:rsidR="005C35C9"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URL":"http://www.dropsens.com/en/screen_printed_electrodes_pag.html","accessed":{"date-parts":[["2019","10","7"]]},"author":[{"dropping-particle":"","family":"Dropsens","given":"","non-dropping-particle":"","parse-names":false,"suffix":""}],"id":"ITEM-1","issued":{"date-parts":[["2019"]]},"title":"Screen-printed electrodes","type":"webpage"},"uris":["http://www.mendeley.com/documents/?uuid=a457159a-1b76-421d-8412-f4452eee476b"]}],"mendeley":{"formattedCitation":"[147]","plainTextFormattedCitation":"[147]","previouslyFormattedCitation":"[147]"},"properties":{"noteIndex":0},"schema":"https://github.com/citation-style-language/schema/raw/master/csl-citation.json"}</w:instrText>
      </w:r>
      <w:r w:rsidR="005C35C9" w:rsidRPr="005B1CCB">
        <w:rPr>
          <w:rFonts w:ascii="Palatino Linotype" w:hAnsi="Palatino Linotype"/>
          <w:sz w:val="24"/>
          <w:szCs w:val="24"/>
        </w:rPr>
        <w:fldChar w:fldCharType="separate"/>
      </w:r>
      <w:r w:rsidR="005F2946" w:rsidRPr="005F2946">
        <w:rPr>
          <w:rFonts w:ascii="Palatino Linotype" w:hAnsi="Palatino Linotype"/>
          <w:noProof/>
          <w:sz w:val="24"/>
          <w:szCs w:val="24"/>
        </w:rPr>
        <w:t>[147]</w:t>
      </w:r>
      <w:r w:rsidR="005C35C9" w:rsidRPr="005B1CCB">
        <w:rPr>
          <w:rFonts w:ascii="Palatino Linotype" w:hAnsi="Palatino Linotype"/>
          <w:sz w:val="24"/>
          <w:szCs w:val="24"/>
        </w:rPr>
        <w:fldChar w:fldCharType="end"/>
      </w:r>
      <w:r w:rsidR="005C35C9" w:rsidRPr="005B1CCB">
        <w:rPr>
          <w:rFonts w:ascii="Palatino Linotype" w:hAnsi="Palatino Linotype"/>
          <w:sz w:val="24"/>
          <w:szCs w:val="24"/>
        </w:rPr>
        <w:t>.</w:t>
      </w:r>
    </w:p>
    <w:p w14:paraId="0B9B2422" w14:textId="77777777" w:rsidR="00907A3D" w:rsidRPr="005B1CCB" w:rsidRDefault="00907A3D" w:rsidP="00736D3B">
      <w:pPr>
        <w:spacing w:line="360" w:lineRule="auto"/>
        <w:jc w:val="both"/>
        <w:rPr>
          <w:rFonts w:ascii="Palatino Linotype" w:hAnsi="Palatino Linotype"/>
          <w:sz w:val="24"/>
          <w:szCs w:val="24"/>
        </w:rPr>
      </w:pPr>
    </w:p>
    <w:p w14:paraId="59C5F495" w14:textId="77777777" w:rsidR="009A03F4" w:rsidRPr="005B1CCB" w:rsidRDefault="009A03F4" w:rsidP="00D71969">
      <w:pPr>
        <w:pStyle w:val="Heading3"/>
      </w:pPr>
      <w:bookmarkStart w:id="107" w:name="_Toc84528090"/>
      <w:r w:rsidRPr="005B1CCB">
        <w:t>Cell culture and DNA extraction</w:t>
      </w:r>
      <w:bookmarkEnd w:id="107"/>
    </w:p>
    <w:p w14:paraId="1A44D5DE" w14:textId="756EB4A3" w:rsidR="001E3D25" w:rsidRPr="005B1CCB" w:rsidRDefault="00BF2F0A" w:rsidP="0052183A">
      <w:pPr>
        <w:spacing w:line="360" w:lineRule="auto"/>
        <w:jc w:val="both"/>
        <w:rPr>
          <w:rFonts w:ascii="Palatino Linotype" w:eastAsia="Times New Roman" w:hAnsi="Palatino Linotype" w:cs="Times New Roman"/>
          <w:sz w:val="24"/>
          <w:szCs w:val="24"/>
          <w:lang w:val="en-US"/>
        </w:rPr>
      </w:pPr>
      <w:r w:rsidRPr="005B1CCB">
        <w:rPr>
          <w:rFonts w:ascii="Palatino Linotype" w:hAnsi="Palatino Linotype" w:cs="Times New Roman"/>
          <w:sz w:val="24"/>
          <w:szCs w:val="24"/>
        </w:rPr>
        <w:t xml:space="preserve">   </w:t>
      </w:r>
      <w:r w:rsidR="00907A3D"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 xml:space="preserve">The U-373 MG (Uppsala) (ECACC 08061901) cell line carrying the TP53 p.273H mutation alongside all the reagents used in this section were obtained from Sigma Aldrich Co Ltd, Poole, Dorset. Media was decanted from </w:t>
      </w:r>
      <w:r w:rsidR="00247E1E">
        <w:rPr>
          <w:rFonts w:ascii="Palatino Linotype" w:hAnsi="Palatino Linotype" w:cs="Times New Roman"/>
          <w:sz w:val="24"/>
          <w:szCs w:val="24"/>
        </w:rPr>
        <w:t>a</w:t>
      </w:r>
      <w:r w:rsidR="00247E1E"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25</w:t>
      </w:r>
      <w:r w:rsidR="00873EEF"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cm</w:t>
      </w:r>
      <w:r w:rsidR="001E3D25" w:rsidRPr="005B1CCB">
        <w:rPr>
          <w:rFonts w:ascii="Palatino Linotype" w:hAnsi="Palatino Linotype" w:cs="Times New Roman"/>
          <w:sz w:val="24"/>
          <w:szCs w:val="24"/>
          <w:vertAlign w:val="superscript"/>
        </w:rPr>
        <w:t>2</w:t>
      </w:r>
      <w:r w:rsidR="001E3D25" w:rsidRPr="005B1CCB">
        <w:rPr>
          <w:rFonts w:ascii="Palatino Linotype" w:hAnsi="Palatino Linotype" w:cs="Times New Roman"/>
          <w:sz w:val="24"/>
          <w:szCs w:val="24"/>
        </w:rPr>
        <w:t xml:space="preserve"> flask containing the adherent cell line a</w:t>
      </w:r>
      <w:r w:rsidR="00C964D0" w:rsidRPr="005B1CCB">
        <w:rPr>
          <w:rFonts w:ascii="Palatino Linotype" w:hAnsi="Palatino Linotype" w:cs="Times New Roman"/>
          <w:sz w:val="24"/>
          <w:szCs w:val="24"/>
        </w:rPr>
        <w:t>nd 5</w:t>
      </w:r>
      <w:r w:rsidR="00907A3D" w:rsidRPr="005B1CCB">
        <w:rPr>
          <w:rFonts w:ascii="Palatino Linotype" w:hAnsi="Palatino Linotype" w:cs="Times New Roman"/>
          <w:sz w:val="24"/>
          <w:szCs w:val="24"/>
        </w:rPr>
        <w:t xml:space="preserve"> </w:t>
      </w:r>
      <w:r w:rsidR="00C964D0" w:rsidRPr="005B1CCB">
        <w:rPr>
          <w:rFonts w:ascii="Palatino Linotype" w:hAnsi="Palatino Linotype" w:cs="Times New Roman"/>
          <w:sz w:val="24"/>
          <w:szCs w:val="24"/>
        </w:rPr>
        <w:t>ml of Versene (EDTA) in PBS</w:t>
      </w:r>
      <w:r w:rsidR="001E3D25" w:rsidRPr="005B1CCB">
        <w:rPr>
          <w:rFonts w:ascii="Palatino Linotype" w:hAnsi="Palatino Linotype" w:cs="Times New Roman"/>
          <w:sz w:val="24"/>
          <w:szCs w:val="24"/>
        </w:rPr>
        <w:t xml:space="preserve"> </w:t>
      </w:r>
      <w:r w:rsidR="00C964D0" w:rsidRPr="005B1CCB">
        <w:rPr>
          <w:rFonts w:ascii="Palatino Linotype" w:hAnsi="Palatino Linotype" w:cs="Times New Roman"/>
          <w:sz w:val="24"/>
          <w:szCs w:val="24"/>
        </w:rPr>
        <w:t>(</w:t>
      </w:r>
      <w:r w:rsidR="001E3D25" w:rsidRPr="005B1CCB">
        <w:rPr>
          <w:rFonts w:ascii="Palatino Linotype" w:hAnsi="Palatino Linotype" w:cs="Times New Roman"/>
          <w:sz w:val="24"/>
          <w:szCs w:val="24"/>
        </w:rPr>
        <w:t>pH 7.2</w:t>
      </w:r>
      <w:r w:rsidR="00C964D0" w:rsidRPr="005B1CCB">
        <w:rPr>
          <w:rFonts w:ascii="Palatino Linotype" w:hAnsi="Palatino Linotype" w:cs="Times New Roman"/>
          <w:sz w:val="24"/>
          <w:szCs w:val="24"/>
        </w:rPr>
        <w:t>)</w:t>
      </w:r>
      <w:r w:rsidR="001E3D25" w:rsidRPr="005B1CCB">
        <w:rPr>
          <w:rFonts w:ascii="Palatino Linotype" w:hAnsi="Palatino Linotype" w:cs="Times New Roman"/>
          <w:sz w:val="24"/>
          <w:szCs w:val="24"/>
        </w:rPr>
        <w:t xml:space="preserve"> was used to wash the cell layer twice. The Versene was discarded and 1ml of Trypsin (TRIS buffered saline (TBS) for trypsin stock dissolved in 500</w:t>
      </w:r>
      <w:r w:rsidR="00873EEF"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ml of distilled water) was used to cover the cell layer for 1</w:t>
      </w:r>
      <w:r w:rsidR="00AE1DCE"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minute.</w:t>
      </w:r>
      <w:r w:rsidR="00C964D0"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After the cells were detached, 5</w:t>
      </w:r>
      <w:r w:rsidR="00873EEF"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ml of Fetal-bovine serum containing 10</w:t>
      </w:r>
      <w:r w:rsidR="00873EEF" w:rsidRPr="005B1CCB">
        <w:rPr>
          <w:rFonts w:ascii="Palatino Linotype" w:hAnsi="Palatino Linotype" w:cs="Times New Roman"/>
          <w:sz w:val="24"/>
          <w:szCs w:val="24"/>
        </w:rPr>
        <w:t xml:space="preserve"> </w:t>
      </w:r>
      <w:r w:rsidR="001E3D25" w:rsidRPr="005B1CCB">
        <w:rPr>
          <w:rFonts w:ascii="Palatino Linotype" w:hAnsi="Palatino Linotype" w:cs="Times New Roman"/>
          <w:sz w:val="24"/>
          <w:szCs w:val="24"/>
        </w:rPr>
        <w:t xml:space="preserve">% Dulbecco’s modified Eagles media was pipetted into the flask but away from cells to inhibit the action of trypsin. The cells were then reseeded using a 1:5 passage and placed in a humidified incubator </w:t>
      </w:r>
      <w:r w:rsidR="001E3D25" w:rsidRPr="005B1CCB">
        <w:rPr>
          <w:rFonts w:ascii="Palatino Linotype" w:eastAsia="Times New Roman" w:hAnsi="Palatino Linotype" w:cs="Times New Roman"/>
          <w:sz w:val="24"/>
          <w:szCs w:val="24"/>
          <w:lang w:val="en-US"/>
        </w:rPr>
        <w:t>containing 5</w:t>
      </w:r>
      <w:r w:rsidR="00945A5B" w:rsidRPr="005B1CCB">
        <w:rPr>
          <w:rFonts w:ascii="Palatino Linotype" w:eastAsia="Times New Roman" w:hAnsi="Palatino Linotype" w:cs="Times New Roman"/>
          <w:sz w:val="24"/>
          <w:szCs w:val="24"/>
          <w:lang w:val="en-US"/>
        </w:rPr>
        <w:t xml:space="preserve"> </w:t>
      </w:r>
      <w:r w:rsidR="001E3D25" w:rsidRPr="005B1CCB">
        <w:rPr>
          <w:rFonts w:ascii="Palatino Linotype" w:eastAsia="Times New Roman" w:hAnsi="Palatino Linotype" w:cs="Times New Roman"/>
          <w:sz w:val="24"/>
          <w:szCs w:val="24"/>
          <w:lang w:val="en-US"/>
        </w:rPr>
        <w:t>%</w:t>
      </w:r>
      <w:r w:rsidR="00597024" w:rsidRPr="005B1CCB">
        <w:rPr>
          <w:rFonts w:ascii="Palatino Linotype" w:eastAsia="Times New Roman" w:hAnsi="Palatino Linotype" w:cs="Times New Roman"/>
          <w:sz w:val="24"/>
          <w:szCs w:val="24"/>
          <w:lang w:val="en-US"/>
        </w:rPr>
        <w:t xml:space="preserve"> </w:t>
      </w:r>
      <w:r w:rsidR="001E3D25" w:rsidRPr="005B1CCB">
        <w:rPr>
          <w:rFonts w:ascii="Palatino Linotype" w:eastAsia="Times New Roman" w:hAnsi="Palatino Linotype" w:cs="Times New Roman"/>
          <w:sz w:val="24"/>
          <w:szCs w:val="24"/>
          <w:lang w:val="en-US"/>
        </w:rPr>
        <w:t>CO</w:t>
      </w:r>
      <w:r w:rsidR="001E3D25" w:rsidRPr="005B1CCB">
        <w:rPr>
          <w:rFonts w:ascii="Palatino Linotype" w:eastAsia="Times New Roman" w:hAnsi="Palatino Linotype" w:cs="Times New Roman"/>
          <w:sz w:val="24"/>
          <w:szCs w:val="24"/>
          <w:vertAlign w:val="subscript"/>
          <w:lang w:val="en-US"/>
        </w:rPr>
        <w:t>2</w:t>
      </w:r>
      <w:r w:rsidR="001E3D25" w:rsidRPr="005B1CCB">
        <w:rPr>
          <w:rFonts w:ascii="Palatino Linotype" w:eastAsia="Times New Roman" w:hAnsi="Palatino Linotype" w:cs="Times New Roman"/>
          <w:sz w:val="24"/>
          <w:szCs w:val="24"/>
          <w:lang w:val="en-US"/>
        </w:rPr>
        <w:t xml:space="preserve"> and 95</w:t>
      </w:r>
      <w:r w:rsidR="00945A5B" w:rsidRPr="005B1CCB">
        <w:rPr>
          <w:rFonts w:ascii="Palatino Linotype" w:eastAsia="Times New Roman" w:hAnsi="Palatino Linotype" w:cs="Times New Roman"/>
          <w:sz w:val="24"/>
          <w:szCs w:val="24"/>
          <w:lang w:val="en-US"/>
        </w:rPr>
        <w:t xml:space="preserve"> </w:t>
      </w:r>
      <w:r w:rsidR="001E3D25" w:rsidRPr="005B1CCB">
        <w:rPr>
          <w:rFonts w:ascii="Palatino Linotype" w:eastAsia="Times New Roman" w:hAnsi="Palatino Linotype" w:cs="Times New Roman"/>
          <w:sz w:val="24"/>
          <w:szCs w:val="24"/>
          <w:lang w:val="en-US"/>
        </w:rPr>
        <w:t>%</w:t>
      </w:r>
      <w:r w:rsidR="00597024" w:rsidRPr="005B1CCB">
        <w:rPr>
          <w:rFonts w:ascii="Palatino Linotype" w:eastAsia="Times New Roman" w:hAnsi="Palatino Linotype" w:cs="Times New Roman"/>
          <w:sz w:val="24"/>
          <w:szCs w:val="24"/>
          <w:lang w:val="en-US"/>
        </w:rPr>
        <w:t xml:space="preserve"> </w:t>
      </w:r>
      <w:r w:rsidR="001E3D25" w:rsidRPr="005B1CCB">
        <w:rPr>
          <w:rFonts w:ascii="Palatino Linotype" w:eastAsia="Times New Roman" w:hAnsi="Palatino Linotype" w:cs="Times New Roman"/>
          <w:sz w:val="24"/>
          <w:szCs w:val="24"/>
          <w:lang w:val="en-US"/>
        </w:rPr>
        <w:t>O</w:t>
      </w:r>
      <w:r w:rsidR="001E3D25" w:rsidRPr="005B1CCB">
        <w:rPr>
          <w:rFonts w:ascii="Palatino Linotype" w:eastAsia="Times New Roman" w:hAnsi="Palatino Linotype" w:cs="Times New Roman"/>
          <w:sz w:val="24"/>
          <w:szCs w:val="24"/>
          <w:vertAlign w:val="subscript"/>
          <w:lang w:val="en-US"/>
        </w:rPr>
        <w:t>2</w:t>
      </w:r>
      <w:r w:rsidR="001E3D25" w:rsidRPr="005B1CCB">
        <w:rPr>
          <w:rFonts w:ascii="Palatino Linotype" w:eastAsia="Times New Roman" w:hAnsi="Palatino Linotype" w:cs="Times New Roman"/>
          <w:sz w:val="24"/>
          <w:szCs w:val="24"/>
          <w:lang w:val="en-US"/>
        </w:rPr>
        <w:t xml:space="preserve"> at 37</w:t>
      </w:r>
      <w:r w:rsidR="00E61220" w:rsidRPr="005B1CCB">
        <w:rPr>
          <w:rFonts w:ascii="Palatino Linotype" w:eastAsia="Times New Roman" w:hAnsi="Palatino Linotype" w:cs="Times New Roman"/>
          <w:sz w:val="24"/>
          <w:szCs w:val="24"/>
          <w:lang w:val="en-US"/>
        </w:rPr>
        <w:t xml:space="preserve"> </w:t>
      </w:r>
      <w:r w:rsidR="001E3D25" w:rsidRPr="005B1CCB">
        <w:rPr>
          <w:rFonts w:ascii="Palatino Linotype" w:eastAsia="Times New Roman" w:hAnsi="Palatino Linotype" w:cs="Times New Roman"/>
          <w:sz w:val="24"/>
          <w:szCs w:val="24"/>
          <w:vertAlign w:val="superscript"/>
          <w:lang w:val="en-US"/>
        </w:rPr>
        <w:t>O</w:t>
      </w:r>
      <w:r w:rsidR="001E3D25" w:rsidRPr="005B1CCB">
        <w:rPr>
          <w:rFonts w:ascii="Palatino Linotype" w:eastAsia="Times New Roman" w:hAnsi="Palatino Linotype" w:cs="Times New Roman"/>
          <w:sz w:val="24"/>
          <w:szCs w:val="24"/>
          <w:lang w:val="en-US"/>
        </w:rPr>
        <w:t xml:space="preserve">C for 48 hours. </w:t>
      </w:r>
    </w:p>
    <w:p w14:paraId="5DCD620A" w14:textId="4AD7E1CE" w:rsidR="001E3D25" w:rsidRPr="005B1CCB" w:rsidRDefault="001E3D25" w:rsidP="0052183A">
      <w:pPr>
        <w:autoSpaceDE w:val="0"/>
        <w:autoSpaceDN w:val="0"/>
        <w:spacing w:line="360" w:lineRule="auto"/>
        <w:jc w:val="both"/>
        <w:rPr>
          <w:rFonts w:ascii="Palatino Linotype" w:eastAsia="Times New Roman" w:hAnsi="Palatino Linotype" w:cs="Times New Roman"/>
          <w:sz w:val="24"/>
          <w:szCs w:val="24"/>
          <w:lang w:val="en-US"/>
        </w:rPr>
      </w:pPr>
      <w:r w:rsidRPr="005B1CCB">
        <w:rPr>
          <w:rFonts w:ascii="Palatino Linotype" w:eastAsia="Times New Roman" w:hAnsi="Palatino Linotype" w:cs="Times New Roman"/>
          <w:sz w:val="24"/>
          <w:szCs w:val="24"/>
          <w:lang w:val="en-US"/>
        </w:rPr>
        <w:t xml:space="preserve">    The DNA plasmid vector arrived in an agar stab with 1.5</w:t>
      </w:r>
      <w:r w:rsidR="00873EEF" w:rsidRPr="005B1CCB">
        <w:rPr>
          <w:rFonts w:ascii="Palatino Linotype" w:eastAsia="Times New Roman" w:hAnsi="Palatino Linotype" w:cs="Times New Roman"/>
          <w:sz w:val="24"/>
          <w:szCs w:val="24"/>
          <w:lang w:val="en-US"/>
        </w:rPr>
        <w:t xml:space="preserve"> </w:t>
      </w:r>
      <w:r w:rsidRPr="005B1CCB">
        <w:rPr>
          <w:rFonts w:ascii="Palatino Linotype" w:eastAsia="Times New Roman" w:hAnsi="Palatino Linotype" w:cs="Times New Roman"/>
          <w:sz w:val="24"/>
          <w:szCs w:val="24"/>
          <w:lang w:val="en-US"/>
        </w:rPr>
        <w:t>% volume concentration. For 10</w:t>
      </w:r>
      <w:r w:rsidR="00873EEF" w:rsidRPr="005B1CCB">
        <w:rPr>
          <w:rFonts w:ascii="Palatino Linotype" w:eastAsia="Times New Roman" w:hAnsi="Palatino Linotype" w:cs="Times New Roman"/>
          <w:sz w:val="24"/>
          <w:szCs w:val="24"/>
          <w:lang w:val="en-US"/>
        </w:rPr>
        <w:t xml:space="preserve"> </w:t>
      </w:r>
      <w:r w:rsidRPr="005B1CCB">
        <w:rPr>
          <w:rFonts w:ascii="Palatino Linotype" w:eastAsia="Times New Roman" w:hAnsi="Palatino Linotype" w:cs="Times New Roman"/>
          <w:sz w:val="24"/>
          <w:szCs w:val="24"/>
          <w:lang w:val="en-US"/>
        </w:rPr>
        <w:t xml:space="preserve">ml </w:t>
      </w:r>
      <w:r w:rsidR="00D258E3" w:rsidRPr="005B1CCB">
        <w:rPr>
          <w:rFonts w:ascii="Palatino Linotype" w:eastAsia="Times New Roman" w:hAnsi="Palatino Linotype" w:cs="Times New Roman"/>
          <w:sz w:val="24"/>
          <w:szCs w:val="24"/>
          <w:lang w:val="en-US"/>
        </w:rPr>
        <w:t>T</w:t>
      </w:r>
      <w:r w:rsidRPr="005B1CCB">
        <w:rPr>
          <w:rFonts w:ascii="Palatino Linotype" w:eastAsia="Times New Roman" w:hAnsi="Palatino Linotype" w:cs="Times New Roman"/>
          <w:sz w:val="24"/>
          <w:szCs w:val="24"/>
          <w:lang w:val="en-US"/>
        </w:rPr>
        <w:t>p53 DNA plasmid culture, 100</w:t>
      </w:r>
      <w:r w:rsidR="00873EEF" w:rsidRPr="005B1CCB">
        <w:rPr>
          <w:rFonts w:ascii="Palatino Linotype" w:eastAsia="Times New Roman" w:hAnsi="Palatino Linotype" w:cs="Times New Roman"/>
          <w:sz w:val="24"/>
          <w:szCs w:val="24"/>
          <w:lang w:val="en-US"/>
        </w:rPr>
        <w:t xml:space="preserve"> </w:t>
      </w:r>
      <w:r w:rsidRPr="005B1CCB">
        <w:rPr>
          <w:rFonts w:ascii="Palatino Linotype" w:eastAsia="Times New Roman" w:hAnsi="Palatino Linotype" w:cs="Times New Roman"/>
          <w:sz w:val="24"/>
          <w:szCs w:val="24"/>
          <w:lang w:val="en-US"/>
        </w:rPr>
        <w:t>ml of carbicilin was added and the sample was placed on an orbital shaker at 250 RPM for 16 hours. DNA extraction was carried out as described in the ISOLATE II Plasmid Mini Kit using the SDS/alkaline lysis technique</w:t>
      </w:r>
      <w:r w:rsidR="00D258E3" w:rsidRPr="005B1CCB">
        <w:rPr>
          <w:rFonts w:ascii="Palatino Linotype" w:eastAsia="Times New Roman" w:hAnsi="Palatino Linotype" w:cs="Times New Roman"/>
          <w:sz w:val="24"/>
          <w:szCs w:val="24"/>
          <w:lang w:val="en-US"/>
        </w:rPr>
        <w:t xml:space="preserve"> </w:t>
      </w:r>
      <w:r w:rsidR="00D258E3" w:rsidRPr="005B1CCB">
        <w:rPr>
          <w:rFonts w:ascii="Palatino Linotype" w:eastAsia="Times New Roman" w:hAnsi="Palatino Linotype" w:cs="Times New Roman"/>
          <w:sz w:val="24"/>
          <w:szCs w:val="24"/>
          <w:lang w:val="en-US"/>
        </w:rPr>
        <w:fldChar w:fldCharType="begin" w:fldLock="1"/>
      </w:r>
      <w:r w:rsidR="000766C5">
        <w:rPr>
          <w:rFonts w:ascii="Palatino Linotype" w:eastAsia="Times New Roman" w:hAnsi="Palatino Linotype" w:cs="Times New Roman"/>
          <w:sz w:val="24"/>
          <w:szCs w:val="24"/>
          <w:lang w:val="en-US"/>
        </w:rPr>
        <w:instrText>ADDIN CSL_CITATION {"citationItems":[{"id":"ITEM-1","itemData":{"URL":"https://www.bioline.com/isolate-ii-plasmid-mini-kit.html","author":[{"dropping-particle":"","family":"Bioline","given":"","non-dropping-particle":"","parse-names":false,"suffix":""}],"id":"ITEM-1","issued":{"date-parts":[["2017"]]},"title":"ISOLATE II Plasmid Mini Kit","type":"webpage"},"uris":["http://www.mendeley.com/documents/?uuid=4a6dd539-9baf-45d1-8f46-6433bcce1f6a"]}],"mendeley":{"formattedCitation":"[216]","plainTextFormattedCitation":"[216]","previouslyFormattedCitation":"[216]"},"properties":{"noteIndex":0},"schema":"https://github.com/citation-style-language/schema/raw/master/csl-citation.json"}</w:instrText>
      </w:r>
      <w:r w:rsidR="00D258E3" w:rsidRPr="005B1CCB">
        <w:rPr>
          <w:rFonts w:ascii="Palatino Linotype" w:eastAsia="Times New Roman" w:hAnsi="Palatino Linotype" w:cs="Times New Roman"/>
          <w:sz w:val="24"/>
          <w:szCs w:val="24"/>
          <w:lang w:val="en-US"/>
        </w:rPr>
        <w:fldChar w:fldCharType="separate"/>
      </w:r>
      <w:r w:rsidR="005F2946" w:rsidRPr="005F2946">
        <w:rPr>
          <w:rFonts w:ascii="Palatino Linotype" w:eastAsia="Times New Roman" w:hAnsi="Palatino Linotype" w:cs="Times New Roman"/>
          <w:noProof/>
          <w:sz w:val="24"/>
          <w:szCs w:val="24"/>
          <w:lang w:val="en-US"/>
        </w:rPr>
        <w:t>[216]</w:t>
      </w:r>
      <w:r w:rsidR="00D258E3" w:rsidRPr="005B1CCB">
        <w:rPr>
          <w:rFonts w:ascii="Palatino Linotype" w:eastAsia="Times New Roman" w:hAnsi="Palatino Linotype" w:cs="Times New Roman"/>
          <w:sz w:val="24"/>
          <w:szCs w:val="24"/>
          <w:lang w:val="en-US"/>
        </w:rPr>
        <w:fldChar w:fldCharType="end"/>
      </w:r>
      <w:r w:rsidR="00D258E3" w:rsidRPr="005B1CCB">
        <w:rPr>
          <w:rFonts w:ascii="Palatino Linotype" w:eastAsia="Times New Roman" w:hAnsi="Palatino Linotype" w:cs="Times New Roman"/>
          <w:sz w:val="24"/>
          <w:szCs w:val="24"/>
          <w:lang w:val="en-US"/>
        </w:rPr>
        <w:t xml:space="preserve">. </w:t>
      </w:r>
      <w:r w:rsidRPr="005B1CCB">
        <w:rPr>
          <w:rFonts w:ascii="Palatino Linotype" w:eastAsia="Times New Roman" w:hAnsi="Palatino Linotype" w:cs="Times New Roman"/>
          <w:sz w:val="24"/>
          <w:szCs w:val="24"/>
          <w:lang w:val="en-US"/>
        </w:rPr>
        <w:t>Contamination was avoided during culture by passaging in an appropriately clean hood and using separate tips between samples.</w:t>
      </w:r>
    </w:p>
    <w:p w14:paraId="2B3702E9" w14:textId="3314BFE3" w:rsidR="00790E33" w:rsidRPr="005B1CCB" w:rsidRDefault="006362CF" w:rsidP="0052183A">
      <w:pPr>
        <w:autoSpaceDE w:val="0"/>
        <w:autoSpaceDN w:val="0"/>
        <w:spacing w:line="360" w:lineRule="auto"/>
        <w:jc w:val="both"/>
        <w:rPr>
          <w:rFonts w:ascii="Palatino Linotype" w:eastAsia="Times New Roman" w:hAnsi="Palatino Linotype" w:cs="Times New Roman"/>
          <w:sz w:val="24"/>
          <w:szCs w:val="24"/>
          <w:lang w:val="en-US"/>
        </w:rPr>
      </w:pPr>
      <w:r w:rsidRPr="005B1CCB">
        <w:rPr>
          <w:rFonts w:ascii="Palatino Linotype" w:eastAsia="Times New Roman" w:hAnsi="Palatino Linotype" w:cs="Times New Roman"/>
          <w:sz w:val="24"/>
          <w:szCs w:val="24"/>
          <w:lang w:val="en-US"/>
        </w:rPr>
        <w:t xml:space="preserve">   </w:t>
      </w:r>
      <w:r w:rsidR="003D5F5E" w:rsidRPr="005B1CCB">
        <w:rPr>
          <w:rFonts w:ascii="Palatino Linotype" w:eastAsia="Times New Roman" w:hAnsi="Palatino Linotype" w:cs="Times New Roman"/>
          <w:sz w:val="24"/>
          <w:szCs w:val="24"/>
          <w:lang w:val="en-US"/>
        </w:rPr>
        <w:t xml:space="preserve">Sequences employed for this study are shown in Table </w:t>
      </w:r>
      <w:r w:rsidR="00CD7488">
        <w:rPr>
          <w:rFonts w:ascii="Palatino Linotype" w:eastAsia="Times New Roman" w:hAnsi="Palatino Linotype" w:cs="Times New Roman"/>
          <w:sz w:val="24"/>
          <w:szCs w:val="24"/>
          <w:lang w:val="en-US"/>
        </w:rPr>
        <w:t>9</w:t>
      </w:r>
      <w:r w:rsidR="00CD7488" w:rsidRPr="005B1CCB">
        <w:rPr>
          <w:rFonts w:ascii="Palatino Linotype" w:eastAsia="Times New Roman" w:hAnsi="Palatino Linotype" w:cs="Times New Roman"/>
          <w:sz w:val="24"/>
          <w:szCs w:val="24"/>
          <w:lang w:val="en-US"/>
        </w:rPr>
        <w:t xml:space="preserve"> </w:t>
      </w:r>
      <w:r w:rsidR="003D5F5E" w:rsidRPr="005B1CCB">
        <w:rPr>
          <w:rFonts w:ascii="Palatino Linotype" w:eastAsia="Times New Roman" w:hAnsi="Palatino Linotype" w:cs="Times New Roman"/>
          <w:sz w:val="24"/>
          <w:szCs w:val="24"/>
          <w:lang w:val="en-US"/>
        </w:rPr>
        <w:t xml:space="preserve">and sequences for the Tp53 wild-type Plasmid DNA (From E.coli) and Tp53 p.R273H Mutation in U-373 MG cell line are in </w:t>
      </w:r>
      <w:r w:rsidR="00837464" w:rsidRPr="005B1CCB">
        <w:rPr>
          <w:rFonts w:ascii="Palatino Linotype" w:eastAsia="Times New Roman" w:hAnsi="Palatino Linotype" w:cs="Times New Roman"/>
          <w:sz w:val="24"/>
          <w:szCs w:val="24"/>
          <w:lang w:val="en-US"/>
        </w:rPr>
        <w:t xml:space="preserve">section 1 of </w:t>
      </w:r>
      <w:r w:rsidR="003D5F5E" w:rsidRPr="005B1CCB">
        <w:rPr>
          <w:rFonts w:ascii="Palatino Linotype" w:eastAsia="Times New Roman" w:hAnsi="Palatino Linotype" w:cs="Times New Roman"/>
          <w:sz w:val="24"/>
          <w:szCs w:val="24"/>
          <w:lang w:val="en-US"/>
        </w:rPr>
        <w:t>the appendix section.</w:t>
      </w:r>
    </w:p>
    <w:p w14:paraId="78775FFC" w14:textId="3E1225E1" w:rsidR="006E6BC6" w:rsidRPr="005B1CCB" w:rsidRDefault="006E6BC6" w:rsidP="006E6BC6">
      <w:pPr>
        <w:pStyle w:val="Caption"/>
        <w:keepNext/>
        <w:jc w:val="center"/>
        <w:rPr>
          <w:sz w:val="22"/>
          <w:szCs w:val="22"/>
        </w:rPr>
      </w:pPr>
      <w:bookmarkStart w:id="108" w:name="_Toc84272330"/>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9</w:t>
      </w:r>
      <w:r w:rsidRPr="005B1CCB">
        <w:rPr>
          <w:sz w:val="22"/>
          <w:szCs w:val="22"/>
        </w:rPr>
        <w:fldChar w:fldCharType="end"/>
      </w:r>
      <w:r w:rsidRPr="005B1CCB">
        <w:rPr>
          <w:sz w:val="22"/>
          <w:szCs w:val="22"/>
        </w:rPr>
        <w:t>: TP53 DNA oligonucleotides used for hybridisation</w:t>
      </w:r>
      <w:bookmarkEnd w:id="108"/>
    </w:p>
    <w:tbl>
      <w:tblPr>
        <w:tblW w:w="9776" w:type="dxa"/>
        <w:jc w:val="center"/>
        <w:tblLayout w:type="fixed"/>
        <w:tblLook w:val="04A0" w:firstRow="1" w:lastRow="0" w:firstColumn="1" w:lastColumn="0" w:noHBand="0" w:noVBand="1"/>
      </w:tblPr>
      <w:tblGrid>
        <w:gridCol w:w="3114"/>
        <w:gridCol w:w="6662"/>
      </w:tblGrid>
      <w:tr w:rsidR="0029793D" w:rsidRPr="005B1CCB" w14:paraId="5D36F15E" w14:textId="77777777" w:rsidTr="002A5859">
        <w:trPr>
          <w:trHeight w:val="368"/>
          <w:jc w:val="center"/>
        </w:trPr>
        <w:tc>
          <w:tcPr>
            <w:tcW w:w="3114" w:type="dxa"/>
            <w:tcBorders>
              <w:top w:val="single" w:sz="4" w:space="0" w:color="auto"/>
              <w:left w:val="single" w:sz="4" w:space="0" w:color="auto"/>
              <w:bottom w:val="single" w:sz="4" w:space="0" w:color="auto"/>
              <w:right w:val="single" w:sz="4" w:space="0" w:color="auto"/>
            </w:tcBorders>
          </w:tcPr>
          <w:p w14:paraId="16AA415B" w14:textId="77777777" w:rsidR="0029793D" w:rsidRPr="005B1CCB" w:rsidRDefault="0029793D" w:rsidP="0029793D">
            <w:pPr>
              <w:autoSpaceDE w:val="0"/>
              <w:autoSpaceDN w:val="0"/>
              <w:spacing w:line="360" w:lineRule="auto"/>
              <w:jc w:val="both"/>
              <w:rPr>
                <w:rFonts w:ascii="Palatino Linotype" w:eastAsia="Times New Roman" w:hAnsi="Palatino Linotype" w:cs="Times New Roman"/>
                <w:b/>
                <w:sz w:val="24"/>
                <w:szCs w:val="24"/>
              </w:rPr>
            </w:pPr>
            <w:r w:rsidRPr="005B1CCB">
              <w:rPr>
                <w:rFonts w:ascii="Palatino Linotype" w:eastAsia="Times New Roman" w:hAnsi="Palatino Linotype" w:cs="Times New Roman"/>
                <w:b/>
                <w:sz w:val="24"/>
                <w:szCs w:val="24"/>
              </w:rPr>
              <w:t>ID</w:t>
            </w:r>
          </w:p>
        </w:tc>
        <w:tc>
          <w:tcPr>
            <w:tcW w:w="6662" w:type="dxa"/>
            <w:tcBorders>
              <w:top w:val="single" w:sz="4" w:space="0" w:color="auto"/>
              <w:left w:val="single" w:sz="4" w:space="0" w:color="auto"/>
              <w:bottom w:val="single" w:sz="4" w:space="0" w:color="auto"/>
              <w:right w:val="single" w:sz="4" w:space="0" w:color="auto"/>
            </w:tcBorders>
          </w:tcPr>
          <w:p w14:paraId="1C9A0ED0" w14:textId="77777777" w:rsidR="0029793D" w:rsidRPr="005B1CCB" w:rsidRDefault="0029793D" w:rsidP="0029793D">
            <w:pPr>
              <w:autoSpaceDE w:val="0"/>
              <w:autoSpaceDN w:val="0"/>
              <w:spacing w:line="360" w:lineRule="auto"/>
              <w:jc w:val="both"/>
              <w:rPr>
                <w:rFonts w:ascii="Palatino Linotype" w:eastAsia="Times New Roman" w:hAnsi="Palatino Linotype" w:cs="Times New Roman"/>
                <w:b/>
                <w:sz w:val="24"/>
                <w:szCs w:val="24"/>
              </w:rPr>
            </w:pPr>
            <w:r w:rsidRPr="005B1CCB">
              <w:rPr>
                <w:rFonts w:ascii="Palatino Linotype" w:eastAsia="Times New Roman" w:hAnsi="Palatino Linotype" w:cs="Times New Roman"/>
                <w:b/>
                <w:sz w:val="24"/>
                <w:szCs w:val="24"/>
              </w:rPr>
              <w:t>DNA Sequence 5’ -3’</w:t>
            </w:r>
          </w:p>
        </w:tc>
      </w:tr>
      <w:tr w:rsidR="0029793D" w:rsidRPr="005B1CCB" w14:paraId="65527ADC" w14:textId="77777777" w:rsidTr="002A5859">
        <w:trPr>
          <w:jc w:val="center"/>
        </w:trPr>
        <w:tc>
          <w:tcPr>
            <w:tcW w:w="3114" w:type="dxa"/>
            <w:tcBorders>
              <w:top w:val="single" w:sz="4" w:space="0" w:color="auto"/>
              <w:left w:val="single" w:sz="4" w:space="0" w:color="auto"/>
              <w:bottom w:val="single" w:sz="4" w:space="0" w:color="auto"/>
              <w:right w:val="single" w:sz="4" w:space="0" w:color="auto"/>
            </w:tcBorders>
            <w:hideMark/>
          </w:tcPr>
          <w:p w14:paraId="1FD678A5" w14:textId="77777777" w:rsidR="0029793D" w:rsidRPr="005B1CCB" w:rsidRDefault="0029793D" w:rsidP="006362CF">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T</w:t>
            </w:r>
            <w:r w:rsidR="006362CF" w:rsidRPr="005B1CCB">
              <w:rPr>
                <w:rFonts w:ascii="Palatino Linotype" w:eastAsia="Times New Roman" w:hAnsi="Palatino Linotype" w:cs="Times New Roman"/>
                <w:sz w:val="24"/>
                <w:szCs w:val="24"/>
              </w:rPr>
              <w:t>p</w:t>
            </w:r>
            <w:r w:rsidRPr="005B1CCB">
              <w:rPr>
                <w:rFonts w:ascii="Palatino Linotype" w:eastAsia="Times New Roman" w:hAnsi="Palatino Linotype" w:cs="Times New Roman"/>
                <w:sz w:val="24"/>
                <w:szCs w:val="24"/>
              </w:rPr>
              <w:t xml:space="preserve">53 wild-type </w:t>
            </w:r>
            <w:r w:rsidR="004B04A0" w:rsidRPr="005B1CCB">
              <w:rPr>
                <w:rFonts w:ascii="Palatino Linotype" w:eastAsia="Times New Roman" w:hAnsi="Palatino Linotype" w:cs="Times New Roman"/>
                <w:sz w:val="24"/>
                <w:szCs w:val="24"/>
              </w:rPr>
              <w:t>p</w:t>
            </w:r>
            <w:r w:rsidRPr="005B1CCB">
              <w:rPr>
                <w:rFonts w:ascii="Palatino Linotype" w:eastAsia="Times New Roman" w:hAnsi="Palatino Linotype" w:cs="Times New Roman"/>
                <w:sz w:val="24"/>
                <w:szCs w:val="24"/>
              </w:rPr>
              <w:t>robe</w:t>
            </w:r>
          </w:p>
        </w:tc>
        <w:tc>
          <w:tcPr>
            <w:tcW w:w="6662" w:type="dxa"/>
            <w:tcBorders>
              <w:top w:val="single" w:sz="4" w:space="0" w:color="auto"/>
              <w:left w:val="single" w:sz="4" w:space="0" w:color="auto"/>
              <w:bottom w:val="single" w:sz="4" w:space="0" w:color="auto"/>
              <w:right w:val="single" w:sz="4" w:space="0" w:color="auto"/>
            </w:tcBorders>
            <w:hideMark/>
          </w:tcPr>
          <w:p w14:paraId="01DF0F16" w14:textId="77777777" w:rsidR="0029793D" w:rsidRPr="005B1CCB" w:rsidRDefault="0029793D" w:rsidP="0029793D">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TTTGAGGTGCGTGTTTGTGCC [ThiC6]</w:t>
            </w:r>
          </w:p>
        </w:tc>
      </w:tr>
      <w:tr w:rsidR="0029793D" w:rsidRPr="005B1CCB" w14:paraId="27F4C6F4" w14:textId="77777777" w:rsidTr="002A5859">
        <w:trPr>
          <w:jc w:val="center"/>
        </w:trPr>
        <w:tc>
          <w:tcPr>
            <w:tcW w:w="3114" w:type="dxa"/>
            <w:tcBorders>
              <w:top w:val="single" w:sz="4" w:space="0" w:color="auto"/>
              <w:left w:val="single" w:sz="4" w:space="0" w:color="auto"/>
              <w:bottom w:val="single" w:sz="4" w:space="0" w:color="auto"/>
              <w:right w:val="single" w:sz="4" w:space="0" w:color="auto"/>
            </w:tcBorders>
            <w:hideMark/>
          </w:tcPr>
          <w:p w14:paraId="284028C9" w14:textId="77777777" w:rsidR="0029793D" w:rsidRPr="005B1CCB" w:rsidRDefault="0029793D" w:rsidP="006362CF">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T</w:t>
            </w:r>
            <w:r w:rsidR="006362CF" w:rsidRPr="005B1CCB">
              <w:rPr>
                <w:rFonts w:ascii="Palatino Linotype" w:eastAsia="Times New Roman" w:hAnsi="Palatino Linotype" w:cs="Times New Roman"/>
                <w:sz w:val="24"/>
                <w:szCs w:val="24"/>
              </w:rPr>
              <w:t>p</w:t>
            </w:r>
            <w:r w:rsidRPr="005B1CCB">
              <w:rPr>
                <w:rFonts w:ascii="Palatino Linotype" w:eastAsia="Times New Roman" w:hAnsi="Palatino Linotype" w:cs="Times New Roman"/>
                <w:sz w:val="24"/>
                <w:szCs w:val="24"/>
              </w:rPr>
              <w:t>53 wild-</w:t>
            </w:r>
            <w:r w:rsidR="004B04A0" w:rsidRPr="005B1CCB">
              <w:rPr>
                <w:rFonts w:ascii="Palatino Linotype" w:eastAsia="Times New Roman" w:hAnsi="Palatino Linotype" w:cs="Times New Roman"/>
                <w:sz w:val="24"/>
                <w:szCs w:val="24"/>
              </w:rPr>
              <w:t>t</w:t>
            </w:r>
            <w:r w:rsidRPr="005B1CCB">
              <w:rPr>
                <w:rFonts w:ascii="Palatino Linotype" w:eastAsia="Times New Roman" w:hAnsi="Palatino Linotype" w:cs="Times New Roman"/>
                <w:sz w:val="24"/>
                <w:szCs w:val="24"/>
              </w:rPr>
              <w:t xml:space="preserve">ype </w:t>
            </w:r>
            <w:r w:rsidR="004B04A0" w:rsidRPr="005B1CCB">
              <w:rPr>
                <w:rFonts w:ascii="Palatino Linotype" w:eastAsia="Times New Roman" w:hAnsi="Palatino Linotype" w:cs="Times New Roman"/>
                <w:sz w:val="24"/>
                <w:szCs w:val="24"/>
              </w:rPr>
              <w:t>t</w:t>
            </w:r>
            <w:r w:rsidRPr="005B1CCB">
              <w:rPr>
                <w:rFonts w:ascii="Palatino Linotype" w:eastAsia="Times New Roman" w:hAnsi="Palatino Linotype" w:cs="Times New Roman"/>
                <w:sz w:val="24"/>
                <w:szCs w:val="24"/>
              </w:rPr>
              <w:t>arget</w:t>
            </w:r>
          </w:p>
        </w:tc>
        <w:tc>
          <w:tcPr>
            <w:tcW w:w="6662" w:type="dxa"/>
            <w:tcBorders>
              <w:top w:val="single" w:sz="4" w:space="0" w:color="auto"/>
              <w:left w:val="single" w:sz="4" w:space="0" w:color="auto"/>
              <w:bottom w:val="single" w:sz="4" w:space="0" w:color="auto"/>
              <w:right w:val="single" w:sz="4" w:space="0" w:color="auto"/>
            </w:tcBorders>
            <w:hideMark/>
          </w:tcPr>
          <w:p w14:paraId="40696FDA" w14:textId="77777777" w:rsidR="0029793D" w:rsidRPr="005B1CCB" w:rsidRDefault="0029793D" w:rsidP="0029793D">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GGCACAAACACGCACCTCAAA</w:t>
            </w:r>
          </w:p>
        </w:tc>
      </w:tr>
      <w:tr w:rsidR="0029793D" w:rsidRPr="005B1CCB" w14:paraId="72300D9E" w14:textId="77777777" w:rsidTr="002A5859">
        <w:trPr>
          <w:jc w:val="center"/>
        </w:trPr>
        <w:tc>
          <w:tcPr>
            <w:tcW w:w="3114" w:type="dxa"/>
            <w:tcBorders>
              <w:top w:val="single" w:sz="4" w:space="0" w:color="auto"/>
              <w:left w:val="single" w:sz="4" w:space="0" w:color="auto"/>
              <w:bottom w:val="single" w:sz="4" w:space="0" w:color="auto"/>
              <w:right w:val="single" w:sz="4" w:space="0" w:color="auto"/>
            </w:tcBorders>
            <w:hideMark/>
          </w:tcPr>
          <w:p w14:paraId="7481406D" w14:textId="77777777" w:rsidR="0029793D" w:rsidRPr="005B1CCB" w:rsidRDefault="0029793D" w:rsidP="006362CF">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T</w:t>
            </w:r>
            <w:r w:rsidR="006362CF" w:rsidRPr="005B1CCB">
              <w:rPr>
                <w:rFonts w:ascii="Palatino Linotype" w:eastAsia="Times New Roman" w:hAnsi="Palatino Linotype" w:cs="Times New Roman"/>
                <w:sz w:val="24"/>
                <w:szCs w:val="24"/>
              </w:rPr>
              <w:t>p</w:t>
            </w:r>
            <w:r w:rsidRPr="005B1CCB">
              <w:rPr>
                <w:rFonts w:ascii="Palatino Linotype" w:eastAsia="Times New Roman" w:hAnsi="Palatino Linotype" w:cs="Times New Roman"/>
                <w:sz w:val="24"/>
                <w:szCs w:val="24"/>
              </w:rPr>
              <w:t xml:space="preserve">53 </w:t>
            </w:r>
            <w:r w:rsidR="004B04A0" w:rsidRPr="005B1CCB">
              <w:rPr>
                <w:rFonts w:ascii="Palatino Linotype" w:eastAsia="Times New Roman" w:hAnsi="Palatino Linotype" w:cs="Times New Roman"/>
                <w:sz w:val="24"/>
                <w:szCs w:val="24"/>
              </w:rPr>
              <w:t>m</w:t>
            </w:r>
            <w:r w:rsidRPr="005B1CCB">
              <w:rPr>
                <w:rFonts w:ascii="Palatino Linotype" w:eastAsia="Times New Roman" w:hAnsi="Palatino Linotype" w:cs="Times New Roman"/>
                <w:sz w:val="24"/>
                <w:szCs w:val="24"/>
              </w:rPr>
              <w:t xml:space="preserve">utant </w:t>
            </w:r>
            <w:r w:rsidR="004B04A0" w:rsidRPr="005B1CCB">
              <w:rPr>
                <w:rFonts w:ascii="Palatino Linotype" w:eastAsia="Times New Roman" w:hAnsi="Palatino Linotype" w:cs="Times New Roman"/>
                <w:sz w:val="24"/>
                <w:szCs w:val="24"/>
              </w:rPr>
              <w:t>t</w:t>
            </w:r>
            <w:r w:rsidRPr="005B1CCB">
              <w:rPr>
                <w:rFonts w:ascii="Palatino Linotype" w:eastAsia="Times New Roman" w:hAnsi="Palatino Linotype" w:cs="Times New Roman"/>
                <w:sz w:val="24"/>
                <w:szCs w:val="24"/>
              </w:rPr>
              <w:t>arget</w:t>
            </w:r>
          </w:p>
        </w:tc>
        <w:tc>
          <w:tcPr>
            <w:tcW w:w="6662" w:type="dxa"/>
            <w:tcBorders>
              <w:top w:val="single" w:sz="4" w:space="0" w:color="auto"/>
              <w:left w:val="single" w:sz="4" w:space="0" w:color="auto"/>
              <w:bottom w:val="single" w:sz="4" w:space="0" w:color="auto"/>
              <w:right w:val="single" w:sz="4" w:space="0" w:color="auto"/>
            </w:tcBorders>
            <w:hideMark/>
          </w:tcPr>
          <w:p w14:paraId="1D9181DF" w14:textId="77777777" w:rsidR="0029793D" w:rsidRPr="005B1CCB" w:rsidRDefault="0029793D" w:rsidP="0029793D">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GGCACAAACATGCACCTCAAA</w:t>
            </w:r>
          </w:p>
        </w:tc>
      </w:tr>
    </w:tbl>
    <w:p w14:paraId="38875CC9" w14:textId="77777777" w:rsidR="00873EEF" w:rsidRPr="005B1CCB" w:rsidRDefault="00873EEF" w:rsidP="00873EEF">
      <w:pPr>
        <w:autoSpaceDE w:val="0"/>
        <w:autoSpaceDN w:val="0"/>
        <w:spacing w:line="360" w:lineRule="auto"/>
        <w:jc w:val="both"/>
        <w:rPr>
          <w:rFonts w:ascii="Palatino Linotype" w:eastAsia="Times New Roman" w:hAnsi="Palatino Linotype" w:cs="Times New Roman"/>
          <w:sz w:val="24"/>
          <w:szCs w:val="24"/>
        </w:rPr>
      </w:pPr>
    </w:p>
    <w:p w14:paraId="3BFF648F" w14:textId="77777777" w:rsidR="0087560A" w:rsidRPr="005B1CCB" w:rsidRDefault="003E444E" w:rsidP="00D71969">
      <w:pPr>
        <w:pStyle w:val="Heading3"/>
      </w:pPr>
      <w:bookmarkStart w:id="109" w:name="_Toc84528091"/>
      <w:r w:rsidRPr="005B1CCB">
        <w:t>Workflow</w:t>
      </w:r>
      <w:bookmarkEnd w:id="109"/>
    </w:p>
    <w:p w14:paraId="4FC19E1C" w14:textId="77777777" w:rsidR="00F657F1" w:rsidRPr="005B1CCB" w:rsidRDefault="00FE6192" w:rsidP="0052183A">
      <w:pPr>
        <w:spacing w:line="360" w:lineRule="auto"/>
        <w:jc w:val="both"/>
        <w:rPr>
          <w:rFonts w:ascii="Palatino Linotype" w:hAnsi="Palatino Linotype"/>
          <w:sz w:val="24"/>
          <w:szCs w:val="24"/>
        </w:rPr>
      </w:pPr>
      <w:r w:rsidRPr="005B1CCB">
        <w:rPr>
          <w:rFonts w:ascii="Palatino Linotype" w:hAnsi="Palatino Linotype" w:cs="Times New Roman"/>
          <w:sz w:val="24"/>
          <w:szCs w:val="24"/>
        </w:rPr>
        <w:t xml:space="preserve">    </w:t>
      </w:r>
      <w:r w:rsidR="008F6217" w:rsidRPr="005B1CCB">
        <w:rPr>
          <w:rFonts w:ascii="Palatino Linotype" w:hAnsi="Palatino Linotype" w:cs="Times New Roman"/>
          <w:sz w:val="24"/>
          <w:szCs w:val="24"/>
        </w:rPr>
        <w:t>Five screen</w:t>
      </w:r>
      <w:r w:rsidR="00B95C1D" w:rsidRPr="005B1CCB">
        <w:rPr>
          <w:rFonts w:ascii="Palatino Linotype" w:hAnsi="Palatino Linotype" w:cs="Times New Roman"/>
          <w:sz w:val="24"/>
          <w:szCs w:val="24"/>
        </w:rPr>
        <w:t>-</w:t>
      </w:r>
      <w:r w:rsidR="008F6217" w:rsidRPr="005B1CCB">
        <w:rPr>
          <w:rFonts w:ascii="Palatino Linotype" w:hAnsi="Palatino Linotype" w:cs="Times New Roman"/>
          <w:sz w:val="24"/>
          <w:szCs w:val="24"/>
        </w:rPr>
        <w:t xml:space="preserve">printed DropSens </w:t>
      </w:r>
      <w:r w:rsidR="00B95C1D" w:rsidRPr="005B1CCB">
        <w:rPr>
          <w:rFonts w:ascii="Palatino Linotype" w:hAnsi="Palatino Linotype" w:cs="Times New Roman"/>
          <w:sz w:val="24"/>
          <w:szCs w:val="24"/>
        </w:rPr>
        <w:t xml:space="preserve">gold </w:t>
      </w:r>
      <w:r w:rsidR="008F6217" w:rsidRPr="005B1CCB">
        <w:rPr>
          <w:rFonts w:ascii="Palatino Linotype" w:hAnsi="Palatino Linotype" w:cs="Times New Roman"/>
          <w:sz w:val="24"/>
          <w:szCs w:val="24"/>
        </w:rPr>
        <w:t>electrodes were tested to obtain an ideal cleaning protocol. The first electrode was cleaned by imposing a voltage of 2</w:t>
      </w:r>
      <w:r w:rsidR="00A934D5" w:rsidRPr="005B1CCB">
        <w:rPr>
          <w:rFonts w:ascii="Palatino Linotype" w:hAnsi="Palatino Linotype" w:cs="Times New Roman"/>
          <w:sz w:val="24"/>
          <w:szCs w:val="24"/>
        </w:rPr>
        <w:t xml:space="preserve"> </w:t>
      </w:r>
      <w:r w:rsidR="008F6217" w:rsidRPr="005B1CCB">
        <w:rPr>
          <w:rFonts w:ascii="Palatino Linotype" w:hAnsi="Palatino Linotype" w:cs="Times New Roman"/>
          <w:sz w:val="24"/>
          <w:szCs w:val="24"/>
        </w:rPr>
        <w:t>V in 0.1</w:t>
      </w:r>
      <w:r w:rsidR="00A934D5" w:rsidRPr="005B1CCB">
        <w:rPr>
          <w:rFonts w:ascii="Palatino Linotype" w:hAnsi="Palatino Linotype" w:cs="Times New Roman"/>
          <w:sz w:val="24"/>
          <w:szCs w:val="24"/>
        </w:rPr>
        <w:t xml:space="preserve"> </w:t>
      </w:r>
      <w:r w:rsidR="008F6217" w:rsidRPr="005B1CCB">
        <w:rPr>
          <w:rFonts w:ascii="Palatino Linotype" w:hAnsi="Palatino Linotype" w:cs="Times New Roman"/>
          <w:sz w:val="24"/>
          <w:szCs w:val="24"/>
        </w:rPr>
        <w:t>M sulphuric acid for 120</w:t>
      </w:r>
      <w:r w:rsidR="00A934D5" w:rsidRPr="005B1CCB">
        <w:rPr>
          <w:rFonts w:ascii="Palatino Linotype" w:hAnsi="Palatino Linotype" w:cs="Times New Roman"/>
          <w:sz w:val="24"/>
          <w:szCs w:val="24"/>
        </w:rPr>
        <w:t xml:space="preserve"> </w:t>
      </w:r>
      <w:r w:rsidR="008F6217" w:rsidRPr="005B1CCB">
        <w:rPr>
          <w:rFonts w:ascii="Palatino Linotype" w:hAnsi="Palatino Linotype" w:cs="Times New Roman"/>
          <w:sz w:val="24"/>
          <w:szCs w:val="24"/>
        </w:rPr>
        <w:t>s</w:t>
      </w:r>
      <w:r w:rsidR="00A934D5" w:rsidRPr="005B1CCB">
        <w:rPr>
          <w:rFonts w:ascii="Palatino Linotype" w:hAnsi="Palatino Linotype" w:cs="Times New Roman"/>
          <w:sz w:val="24"/>
          <w:szCs w:val="24"/>
        </w:rPr>
        <w:t>econds</w:t>
      </w:r>
      <w:r w:rsidR="008F6217" w:rsidRPr="005B1CCB">
        <w:rPr>
          <w:rFonts w:ascii="Palatino Linotype" w:hAnsi="Palatino Linotype" w:cs="Times New Roman"/>
          <w:sz w:val="24"/>
          <w:szCs w:val="24"/>
        </w:rPr>
        <w:t xml:space="preserve"> and then characterized using the EIS characterization buffer for 3 cycles between 0 and 1.5</w:t>
      </w:r>
      <w:r w:rsidR="00A934D5" w:rsidRPr="005B1CCB">
        <w:rPr>
          <w:rFonts w:ascii="Palatino Linotype" w:hAnsi="Palatino Linotype" w:cs="Times New Roman"/>
          <w:sz w:val="24"/>
          <w:szCs w:val="24"/>
        </w:rPr>
        <w:t xml:space="preserve"> </w:t>
      </w:r>
      <w:r w:rsidR="008F6217" w:rsidRPr="005B1CCB">
        <w:rPr>
          <w:rFonts w:ascii="Palatino Linotype" w:hAnsi="Palatino Linotype" w:cs="Times New Roman"/>
          <w:sz w:val="24"/>
          <w:szCs w:val="24"/>
        </w:rPr>
        <w:t>V. The second and third electrodes were cycled in 0.1</w:t>
      </w:r>
      <w:r w:rsidR="00A934D5" w:rsidRPr="005B1CCB">
        <w:rPr>
          <w:rFonts w:ascii="Palatino Linotype" w:hAnsi="Palatino Linotype" w:cs="Times New Roman"/>
          <w:sz w:val="24"/>
          <w:szCs w:val="24"/>
        </w:rPr>
        <w:t xml:space="preserve"> </w:t>
      </w:r>
      <w:r w:rsidR="008F6217" w:rsidRPr="005B1CCB">
        <w:rPr>
          <w:rFonts w:ascii="Palatino Linotype" w:hAnsi="Palatino Linotype" w:cs="Times New Roman"/>
          <w:sz w:val="24"/>
          <w:szCs w:val="24"/>
        </w:rPr>
        <w:t xml:space="preserve">M sulphuric acid </w:t>
      </w:r>
      <w:r w:rsidR="008F6217" w:rsidRPr="005B1CCB">
        <w:rPr>
          <w:rFonts w:ascii="Palatino Linotype" w:hAnsi="Palatino Linotype"/>
          <w:sz w:val="24"/>
          <w:szCs w:val="24"/>
        </w:rPr>
        <w:t>10 and 20 times respectively between 0 and 1.5</w:t>
      </w:r>
      <w:r w:rsidR="00A934D5" w:rsidRPr="005B1CCB">
        <w:rPr>
          <w:rFonts w:ascii="Palatino Linotype" w:hAnsi="Palatino Linotype"/>
          <w:sz w:val="24"/>
          <w:szCs w:val="24"/>
        </w:rPr>
        <w:t xml:space="preserve"> </w:t>
      </w:r>
      <w:r w:rsidR="008F6217" w:rsidRPr="005B1CCB">
        <w:rPr>
          <w:rFonts w:ascii="Palatino Linotype" w:hAnsi="Palatino Linotype"/>
          <w:sz w:val="24"/>
          <w:szCs w:val="24"/>
        </w:rPr>
        <w:t>V. The fourth electrode was dipped in sulphuric acid for 30 minutes while the fifth electrode was used straight out of the box. CV measurements were conducted in a measurement buffer containing 5</w:t>
      </w:r>
      <w:r w:rsidR="00046A02" w:rsidRPr="005B1CCB">
        <w:rPr>
          <w:rFonts w:ascii="Palatino Linotype" w:hAnsi="Palatino Linotype"/>
          <w:sz w:val="24"/>
          <w:szCs w:val="24"/>
        </w:rPr>
        <w:t xml:space="preserve"> </w:t>
      </w:r>
      <w:r w:rsidR="008F6217" w:rsidRPr="005B1CCB">
        <w:rPr>
          <w:rFonts w:ascii="Palatino Linotype" w:hAnsi="Palatino Linotype"/>
          <w:sz w:val="24"/>
          <w:szCs w:val="24"/>
        </w:rPr>
        <w:t>mM potassium ferri-ferrocyanide and 100 mM potassium chloride which served as the supporting electrolyte. CV for all the electrodes were co</w:t>
      </w:r>
      <w:r w:rsidR="00907A3D" w:rsidRPr="005B1CCB">
        <w:rPr>
          <w:rFonts w:ascii="Palatino Linotype" w:hAnsi="Palatino Linotype"/>
          <w:sz w:val="24"/>
          <w:szCs w:val="24"/>
        </w:rPr>
        <w:t>llected at different scan rates</w:t>
      </w:r>
      <w:r w:rsidR="00046A02" w:rsidRPr="005B1CCB">
        <w:rPr>
          <w:rFonts w:ascii="Palatino Linotype" w:hAnsi="Palatino Linotype"/>
          <w:sz w:val="24"/>
          <w:szCs w:val="24"/>
        </w:rPr>
        <w:t xml:space="preserve"> </w:t>
      </w:r>
      <w:r w:rsidR="008F6217" w:rsidRPr="005B1CCB">
        <w:rPr>
          <w:rFonts w:ascii="Palatino Linotype" w:hAnsi="Palatino Linotype"/>
          <w:sz w:val="24"/>
          <w:szCs w:val="24"/>
        </w:rPr>
        <w:t>(10</w:t>
      </w:r>
      <w:r w:rsidR="00046A02" w:rsidRPr="005B1CCB">
        <w:rPr>
          <w:rFonts w:ascii="Palatino Linotype" w:hAnsi="Palatino Linotype"/>
          <w:sz w:val="24"/>
          <w:szCs w:val="24"/>
        </w:rPr>
        <w:t xml:space="preserve"> </w:t>
      </w:r>
      <w:r w:rsidR="008F6217" w:rsidRPr="005B1CCB">
        <w:rPr>
          <w:rFonts w:ascii="Palatino Linotype" w:hAnsi="Palatino Linotype"/>
          <w:sz w:val="24"/>
          <w:szCs w:val="24"/>
        </w:rPr>
        <w:t>mV/s, 25</w:t>
      </w:r>
      <w:r w:rsidR="00046A02" w:rsidRPr="005B1CCB">
        <w:rPr>
          <w:rFonts w:ascii="Palatino Linotype" w:hAnsi="Palatino Linotype"/>
          <w:sz w:val="24"/>
          <w:szCs w:val="24"/>
        </w:rPr>
        <w:t xml:space="preserve"> </w:t>
      </w:r>
      <w:r w:rsidR="008F6217" w:rsidRPr="005B1CCB">
        <w:rPr>
          <w:rFonts w:ascii="Palatino Linotype" w:hAnsi="Palatino Linotype"/>
          <w:sz w:val="24"/>
          <w:szCs w:val="24"/>
        </w:rPr>
        <w:t>mV/s, 50</w:t>
      </w:r>
      <w:r w:rsidR="00046A02" w:rsidRPr="005B1CCB">
        <w:rPr>
          <w:rFonts w:ascii="Palatino Linotype" w:hAnsi="Palatino Linotype"/>
          <w:sz w:val="24"/>
          <w:szCs w:val="24"/>
        </w:rPr>
        <w:t xml:space="preserve"> </w:t>
      </w:r>
      <w:r w:rsidR="008F6217" w:rsidRPr="005B1CCB">
        <w:rPr>
          <w:rFonts w:ascii="Palatino Linotype" w:hAnsi="Palatino Linotype"/>
          <w:sz w:val="24"/>
          <w:szCs w:val="24"/>
        </w:rPr>
        <w:t>mV/s and 100</w:t>
      </w:r>
      <w:r w:rsidR="00046A02" w:rsidRPr="005B1CCB">
        <w:rPr>
          <w:rFonts w:ascii="Palatino Linotype" w:hAnsi="Palatino Linotype"/>
          <w:sz w:val="24"/>
          <w:szCs w:val="24"/>
        </w:rPr>
        <w:t xml:space="preserve"> </w:t>
      </w:r>
      <w:r w:rsidR="008F6217" w:rsidRPr="005B1CCB">
        <w:rPr>
          <w:rFonts w:ascii="Palatino Linotype" w:hAnsi="Palatino Linotype"/>
          <w:sz w:val="24"/>
          <w:szCs w:val="24"/>
        </w:rPr>
        <w:t>mV/s).</w:t>
      </w:r>
    </w:p>
    <w:p w14:paraId="51DB820B" w14:textId="77777777" w:rsidR="008F6217" w:rsidRPr="005B1CCB" w:rsidRDefault="00944614" w:rsidP="0052183A">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8F6217" w:rsidRPr="005B1CCB">
        <w:rPr>
          <w:rFonts w:ascii="Palatino Linotype" w:hAnsi="Palatino Linotype"/>
          <w:sz w:val="24"/>
          <w:szCs w:val="24"/>
        </w:rPr>
        <w:t>The prepared screen</w:t>
      </w:r>
      <w:r w:rsidR="00B95C1D" w:rsidRPr="005B1CCB">
        <w:rPr>
          <w:rFonts w:ascii="Palatino Linotype" w:hAnsi="Palatino Linotype"/>
          <w:sz w:val="24"/>
          <w:szCs w:val="24"/>
        </w:rPr>
        <w:t>-</w:t>
      </w:r>
      <w:r w:rsidR="008F6217" w:rsidRPr="005B1CCB">
        <w:rPr>
          <w:rFonts w:ascii="Palatino Linotype" w:hAnsi="Palatino Linotype"/>
          <w:sz w:val="24"/>
          <w:szCs w:val="24"/>
        </w:rPr>
        <w:t xml:space="preserve">printed </w:t>
      </w:r>
      <w:r w:rsidR="003E444E" w:rsidRPr="005B1CCB">
        <w:rPr>
          <w:rFonts w:ascii="Palatino Linotype" w:hAnsi="Palatino Linotype"/>
          <w:sz w:val="24"/>
          <w:szCs w:val="24"/>
        </w:rPr>
        <w:t xml:space="preserve">gold </w:t>
      </w:r>
      <w:r w:rsidR="008F6217" w:rsidRPr="005B1CCB">
        <w:rPr>
          <w:rFonts w:ascii="Palatino Linotype" w:hAnsi="Palatino Linotype"/>
          <w:sz w:val="24"/>
          <w:szCs w:val="24"/>
        </w:rPr>
        <w:t xml:space="preserve">electrodes </w:t>
      </w:r>
      <w:r w:rsidR="00B95C1D" w:rsidRPr="005B1CCB">
        <w:rPr>
          <w:rFonts w:ascii="Palatino Linotype" w:hAnsi="Palatino Linotype"/>
          <w:sz w:val="24"/>
          <w:szCs w:val="24"/>
        </w:rPr>
        <w:t xml:space="preserve">(SPEs) </w:t>
      </w:r>
      <w:r w:rsidR="008F6217" w:rsidRPr="005B1CCB">
        <w:rPr>
          <w:rFonts w:ascii="Palatino Linotype" w:hAnsi="Palatino Linotype"/>
          <w:sz w:val="24"/>
          <w:szCs w:val="24"/>
        </w:rPr>
        <w:t>were immobilized with the thiolated probe DNA solution, incubated for 1 and 16 hours respectively and washed using 1</w:t>
      </w:r>
      <w:r w:rsidR="007A4FF2" w:rsidRPr="005B1CCB">
        <w:rPr>
          <w:rFonts w:ascii="Palatino Linotype" w:hAnsi="Palatino Linotype"/>
          <w:sz w:val="24"/>
          <w:szCs w:val="24"/>
        </w:rPr>
        <w:t xml:space="preserve"> </w:t>
      </w:r>
      <w:r w:rsidR="008F6217" w:rsidRPr="005B1CCB">
        <w:rPr>
          <w:rFonts w:ascii="Palatino Linotype" w:hAnsi="Palatino Linotype"/>
          <w:sz w:val="24"/>
          <w:szCs w:val="24"/>
        </w:rPr>
        <w:t>x</w:t>
      </w:r>
      <w:r w:rsidR="007A4FF2" w:rsidRPr="005B1CCB">
        <w:rPr>
          <w:rFonts w:ascii="Palatino Linotype" w:hAnsi="Palatino Linotype"/>
          <w:sz w:val="24"/>
          <w:szCs w:val="24"/>
        </w:rPr>
        <w:t xml:space="preserve"> </w:t>
      </w:r>
      <w:r w:rsidR="008F6217" w:rsidRPr="005B1CCB">
        <w:rPr>
          <w:rFonts w:ascii="Palatino Linotype" w:hAnsi="Palatino Linotype"/>
          <w:sz w:val="24"/>
          <w:szCs w:val="24"/>
        </w:rPr>
        <w:t>PBS. The electrodes were further incubated in 1 µl of MCH blocking solution for 30 minutes and washed again in 1</w:t>
      </w:r>
      <w:r w:rsidR="007A4FF2" w:rsidRPr="005B1CCB">
        <w:rPr>
          <w:rFonts w:ascii="Palatino Linotype" w:hAnsi="Palatino Linotype"/>
          <w:sz w:val="24"/>
          <w:szCs w:val="24"/>
        </w:rPr>
        <w:t xml:space="preserve"> </w:t>
      </w:r>
      <w:r w:rsidR="008F6217" w:rsidRPr="005B1CCB">
        <w:rPr>
          <w:rFonts w:ascii="Palatino Linotype" w:hAnsi="Palatino Linotype"/>
          <w:sz w:val="24"/>
          <w:szCs w:val="24"/>
        </w:rPr>
        <w:t>x</w:t>
      </w:r>
      <w:r w:rsidR="007A4FF2" w:rsidRPr="005B1CCB">
        <w:rPr>
          <w:rFonts w:ascii="Palatino Linotype" w:hAnsi="Palatino Linotype"/>
          <w:sz w:val="24"/>
          <w:szCs w:val="24"/>
        </w:rPr>
        <w:t xml:space="preserve"> </w:t>
      </w:r>
      <w:r w:rsidR="008F6217" w:rsidRPr="005B1CCB">
        <w:rPr>
          <w:rFonts w:ascii="Palatino Linotype" w:hAnsi="Palatino Linotype"/>
          <w:sz w:val="24"/>
          <w:szCs w:val="24"/>
        </w:rPr>
        <w:t>PBS. Utilising these solutions in this way resulted in preparation of a chemically tethered single stranded DNA film on the electrode surface. The DNA characterization buffer containing potassium ferri-ferrocyanide and potassium chloride was equilibrated on the electrode for 30 minutes prior to EIS measurement to allow ions to fully permeate the sensing film. Afterwards both the wild type and mutated target DNA solutions were incubated on separately labelled electrodes for 30 minutes. The SPEs were washed with 1</w:t>
      </w:r>
      <w:r w:rsidR="007A4FF2" w:rsidRPr="005B1CCB">
        <w:rPr>
          <w:rFonts w:ascii="Palatino Linotype" w:hAnsi="Palatino Linotype"/>
          <w:sz w:val="24"/>
          <w:szCs w:val="24"/>
        </w:rPr>
        <w:t xml:space="preserve"> </w:t>
      </w:r>
      <w:r w:rsidR="008F6217" w:rsidRPr="005B1CCB">
        <w:rPr>
          <w:rFonts w:ascii="Palatino Linotype" w:hAnsi="Palatino Linotype"/>
          <w:sz w:val="24"/>
          <w:szCs w:val="24"/>
        </w:rPr>
        <w:t>x</w:t>
      </w:r>
      <w:r w:rsidR="007A4FF2" w:rsidRPr="005B1CCB">
        <w:rPr>
          <w:rFonts w:ascii="Palatino Linotype" w:hAnsi="Palatino Linotype"/>
          <w:sz w:val="24"/>
          <w:szCs w:val="24"/>
        </w:rPr>
        <w:t xml:space="preserve"> </w:t>
      </w:r>
      <w:r w:rsidR="008F6217" w:rsidRPr="005B1CCB">
        <w:rPr>
          <w:rFonts w:ascii="Palatino Linotype" w:hAnsi="Palatino Linotype"/>
          <w:sz w:val="24"/>
          <w:szCs w:val="24"/>
        </w:rPr>
        <w:t>PBS and impedance was re-measured again using the EIS DNA characterization buffer to detect a difference in hybridisation efficiency between the wild</w:t>
      </w:r>
      <w:r w:rsidR="00B95C1D" w:rsidRPr="005B1CCB">
        <w:rPr>
          <w:rFonts w:ascii="Palatino Linotype" w:hAnsi="Palatino Linotype"/>
          <w:sz w:val="24"/>
          <w:szCs w:val="24"/>
        </w:rPr>
        <w:t>-</w:t>
      </w:r>
      <w:r w:rsidR="008F6217" w:rsidRPr="005B1CCB">
        <w:rPr>
          <w:rFonts w:ascii="Palatino Linotype" w:hAnsi="Palatino Linotype"/>
          <w:sz w:val="24"/>
          <w:szCs w:val="24"/>
        </w:rPr>
        <w:t xml:space="preserve"> type complementary strand and the mutant strand.</w:t>
      </w:r>
    </w:p>
    <w:p w14:paraId="6D18D315" w14:textId="77777777" w:rsidR="00907A3D" w:rsidRPr="005B1CCB" w:rsidRDefault="00907A3D" w:rsidP="0052183A">
      <w:pPr>
        <w:spacing w:line="360" w:lineRule="auto"/>
        <w:jc w:val="both"/>
        <w:rPr>
          <w:rFonts w:ascii="Palatino Linotype" w:hAnsi="Palatino Linotype"/>
          <w:sz w:val="24"/>
          <w:szCs w:val="24"/>
        </w:rPr>
      </w:pPr>
    </w:p>
    <w:p w14:paraId="6C66CCD4" w14:textId="77777777" w:rsidR="00F4595F" w:rsidRPr="005B1CCB" w:rsidRDefault="00F4595F" w:rsidP="00D71969">
      <w:pPr>
        <w:pStyle w:val="Heading3"/>
      </w:pPr>
      <w:bookmarkStart w:id="110" w:name="_Toc84528092"/>
      <w:r w:rsidRPr="005B1CCB">
        <w:t>Analysis</w:t>
      </w:r>
      <w:bookmarkEnd w:id="110"/>
    </w:p>
    <w:p w14:paraId="3F11BEF1" w14:textId="2E861055" w:rsidR="00282003" w:rsidRPr="005B1CCB" w:rsidRDefault="0022031C" w:rsidP="00437569">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F4595F" w:rsidRPr="005B1CCB">
        <w:rPr>
          <w:rFonts w:ascii="Palatino Linotype" w:hAnsi="Palatino Linotype"/>
          <w:sz w:val="24"/>
          <w:szCs w:val="24"/>
        </w:rPr>
        <w:t xml:space="preserve">An inverted tissue culture microscope (Nikon DIAPHOT from Nikon instruments inc, Surrey, United Kingdom) was used to observe and capture images of the cultured U373 glioblastoma cell line.  The extracted DNA was analysed using a NanoDrop 2000 C spectrophotometer obtained from Thermo Fisher Scientific. The results obtained from the CV and EIS measurements carried out using PS Trace 5 were statistically analysed using </w:t>
      </w:r>
      <w:r w:rsidR="00907A3D" w:rsidRPr="005B1CCB">
        <w:rPr>
          <w:rFonts w:ascii="Palatino Linotype" w:hAnsi="Palatino Linotype"/>
          <w:sz w:val="24"/>
          <w:szCs w:val="24"/>
        </w:rPr>
        <w:t>Origin</w:t>
      </w:r>
      <w:r w:rsidR="005F1838" w:rsidRPr="005B1CCB">
        <w:rPr>
          <w:rFonts w:ascii="Palatino Linotype" w:hAnsi="Palatino Linotype"/>
          <w:sz w:val="24"/>
          <w:szCs w:val="24"/>
        </w:rPr>
        <w:t>pro</w:t>
      </w:r>
      <w:r w:rsidR="00907A3D" w:rsidRPr="005B1CCB">
        <w:rPr>
          <w:rFonts w:ascii="Palatino Linotype" w:hAnsi="Palatino Linotype"/>
          <w:sz w:val="24"/>
          <w:szCs w:val="24"/>
        </w:rPr>
        <w:t xml:space="preserve"> data analysis and graphing software 202</w:t>
      </w:r>
      <w:r w:rsidR="005F1838" w:rsidRPr="005B1CCB">
        <w:rPr>
          <w:rFonts w:ascii="Palatino Linotype" w:hAnsi="Palatino Linotype"/>
          <w:sz w:val="24"/>
          <w:szCs w:val="24"/>
        </w:rPr>
        <w:t>1</w:t>
      </w:r>
      <w:r w:rsidR="00F4595F" w:rsidRPr="005B1CCB">
        <w:rPr>
          <w:rFonts w:ascii="Palatino Linotype" w:hAnsi="Palatino Linotype"/>
          <w:sz w:val="24"/>
          <w:szCs w:val="24"/>
        </w:rPr>
        <w:t xml:space="preserve">. The last scan of each peak current obtained from the CV and the square root of the scan rate was plotted and analysed using </w:t>
      </w:r>
      <w:r w:rsidR="00437569" w:rsidRPr="005B1CCB">
        <w:rPr>
          <w:rFonts w:ascii="Palatino Linotype" w:hAnsi="Palatino Linotype"/>
          <w:sz w:val="24"/>
          <w:szCs w:val="24"/>
        </w:rPr>
        <w:t>Randles-</w:t>
      </w:r>
      <w:r w:rsidR="00F4595F" w:rsidRPr="005B1CCB">
        <w:rPr>
          <w:rFonts w:ascii="Palatino Linotype" w:hAnsi="Palatino Linotype"/>
          <w:sz w:val="24"/>
          <w:szCs w:val="24"/>
        </w:rPr>
        <w:t xml:space="preserve">Sevcik equation to </w:t>
      </w:r>
      <w:r w:rsidR="00437569" w:rsidRPr="005B1CCB">
        <w:rPr>
          <w:rFonts w:ascii="Palatino Linotype" w:hAnsi="Palatino Linotype"/>
          <w:sz w:val="24"/>
          <w:szCs w:val="24"/>
        </w:rPr>
        <w:t xml:space="preserve">determine the diffusion coefficients of the electroactive species. </w:t>
      </w:r>
      <w:r w:rsidR="00F4595F" w:rsidRPr="005B1CCB">
        <w:rPr>
          <w:rFonts w:ascii="Palatino Linotype" w:hAnsi="Palatino Linotype"/>
          <w:sz w:val="24"/>
          <w:szCs w:val="24"/>
        </w:rPr>
        <w:t>The circuit fitting tool in the PS Trace software was used to fit the response to the Randles equivalent circuit for each EIS measurement and obtain the R</w:t>
      </w:r>
      <w:r w:rsidR="00F4595F" w:rsidRPr="005B1CCB">
        <w:rPr>
          <w:rFonts w:ascii="Palatino Linotype" w:hAnsi="Palatino Linotype"/>
          <w:sz w:val="24"/>
          <w:szCs w:val="24"/>
          <w:vertAlign w:val="subscript"/>
        </w:rPr>
        <w:t>CT</w:t>
      </w:r>
      <w:r w:rsidR="00F4595F" w:rsidRPr="005B1CCB">
        <w:rPr>
          <w:rFonts w:ascii="Palatino Linotype" w:hAnsi="Palatino Linotype"/>
          <w:sz w:val="24"/>
          <w:szCs w:val="24"/>
        </w:rPr>
        <w:t xml:space="preserve"> values used to analyse sensitivity</w:t>
      </w:r>
      <w:r w:rsidR="00907A3D" w:rsidRPr="005B1CCB">
        <w:rPr>
          <w:rFonts w:ascii="Palatino Linotype" w:hAnsi="Palatino Linotype"/>
          <w:sz w:val="24"/>
          <w:szCs w:val="24"/>
        </w:rPr>
        <w:t>.</w:t>
      </w:r>
    </w:p>
    <w:p w14:paraId="6B5DF5AF" w14:textId="77777777" w:rsidR="00C573E3" w:rsidRPr="005B1CCB" w:rsidRDefault="00C573E3" w:rsidP="0052183A">
      <w:pPr>
        <w:spacing w:line="360" w:lineRule="auto"/>
        <w:jc w:val="both"/>
        <w:rPr>
          <w:rFonts w:ascii="Palatino Linotype" w:hAnsi="Palatino Linotype"/>
          <w:sz w:val="24"/>
          <w:szCs w:val="24"/>
        </w:rPr>
      </w:pPr>
    </w:p>
    <w:p w14:paraId="0EA729C6" w14:textId="152E5F15" w:rsidR="00EB09C6" w:rsidRPr="005B1CCB" w:rsidRDefault="00EB09C6" w:rsidP="00BF381B">
      <w:pPr>
        <w:pStyle w:val="Heading2"/>
      </w:pPr>
      <w:bookmarkStart w:id="111" w:name="_Toc84528093"/>
      <w:r w:rsidRPr="005B1CCB">
        <w:t>Results</w:t>
      </w:r>
      <w:r w:rsidR="005B5EC7">
        <w:t xml:space="preserve"> and discussion</w:t>
      </w:r>
      <w:bookmarkEnd w:id="111"/>
    </w:p>
    <w:p w14:paraId="3DFA4A66" w14:textId="77777777" w:rsidR="00F8140F" w:rsidRPr="005B1CCB" w:rsidRDefault="00F8140F" w:rsidP="00845140">
      <w:pPr>
        <w:pStyle w:val="Heading3"/>
      </w:pPr>
      <w:bookmarkStart w:id="112" w:name="_Toc84528094"/>
      <w:r w:rsidRPr="005B1CCB">
        <w:t>Extracted</w:t>
      </w:r>
      <w:r w:rsidR="00EB09C6" w:rsidRPr="005B1CCB">
        <w:t xml:space="preserve"> DNA </w:t>
      </w:r>
      <w:r w:rsidRPr="005B1CCB">
        <w:t>characterisatio</w:t>
      </w:r>
      <w:r w:rsidR="00EB09C6" w:rsidRPr="005B1CCB">
        <w:t>n</w:t>
      </w:r>
      <w:bookmarkEnd w:id="112"/>
    </w:p>
    <w:p w14:paraId="4605111B" w14:textId="73BACC15" w:rsidR="000915AE" w:rsidRPr="005B1CCB" w:rsidRDefault="00C860E2" w:rsidP="000915A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0915AE" w:rsidRPr="005B1CCB">
        <w:rPr>
          <w:rFonts w:ascii="Palatino Linotype" w:hAnsi="Palatino Linotype" w:cs="Times New Roman"/>
          <w:sz w:val="24"/>
          <w:szCs w:val="24"/>
        </w:rPr>
        <w:t xml:space="preserve">Suspended cells in media are observed in the passaged glioblastoma cell line as seen in </w:t>
      </w:r>
      <w:r w:rsidR="00797B21" w:rsidRPr="005B1CCB">
        <w:rPr>
          <w:rFonts w:ascii="Palatino Linotype" w:hAnsi="Palatino Linotype" w:cs="Times New Roman"/>
          <w:sz w:val="24"/>
          <w:szCs w:val="24"/>
        </w:rPr>
        <w:t>F</w:t>
      </w:r>
      <w:r w:rsidR="000915AE" w:rsidRPr="005B1CCB">
        <w:rPr>
          <w:rFonts w:ascii="Palatino Linotype" w:hAnsi="Palatino Linotype" w:cs="Times New Roman"/>
          <w:sz w:val="24"/>
          <w:szCs w:val="24"/>
        </w:rPr>
        <w:t>igure 2</w:t>
      </w:r>
      <w:r w:rsidR="00907A3D" w:rsidRPr="005B1CCB">
        <w:rPr>
          <w:rFonts w:ascii="Palatino Linotype" w:hAnsi="Palatino Linotype" w:cs="Times New Roman"/>
          <w:sz w:val="24"/>
          <w:szCs w:val="24"/>
        </w:rPr>
        <w:t>2</w:t>
      </w:r>
      <w:r w:rsidR="000915AE" w:rsidRPr="005B1CCB">
        <w:rPr>
          <w:rFonts w:ascii="Palatino Linotype" w:hAnsi="Palatino Linotype" w:cs="Times New Roman"/>
          <w:sz w:val="24"/>
          <w:szCs w:val="24"/>
        </w:rPr>
        <w:t xml:space="preserve"> after 48 hours. It was calculated that a total of 20</w:t>
      </w:r>
      <w:r w:rsidR="00907A3D" w:rsidRPr="005B1CCB">
        <w:rPr>
          <w:rFonts w:ascii="Palatino Linotype" w:hAnsi="Palatino Linotype" w:cs="Times New Roman"/>
          <w:sz w:val="24"/>
          <w:szCs w:val="24"/>
        </w:rPr>
        <w:t xml:space="preserve"> </w:t>
      </w:r>
      <w:r w:rsidR="000915AE" w:rsidRPr="005B1CCB">
        <w:rPr>
          <w:rFonts w:ascii="Palatino Linotype" w:hAnsi="Palatino Linotype" w:cs="Times New Roman"/>
          <w:sz w:val="24"/>
          <w:szCs w:val="24"/>
        </w:rPr>
        <w:t xml:space="preserve">µg of plasmid DNA was extracted into a solution with a resulting concentration of 471.9 ng/µl. </w:t>
      </w:r>
      <w:r w:rsidR="000915AE" w:rsidRPr="0061102A">
        <w:rPr>
          <w:rFonts w:ascii="Palatino Linotype" w:hAnsi="Palatino Linotype" w:cs="Times New Roman"/>
          <w:sz w:val="24"/>
          <w:szCs w:val="24"/>
        </w:rPr>
        <w:t xml:space="preserve">The floating cells in suspension and DNA extraction demonstrates initial isolation of </w:t>
      </w:r>
      <w:r w:rsidR="00AC37B9">
        <w:rPr>
          <w:rFonts w:ascii="Palatino Linotype" w:hAnsi="Palatino Linotype" w:cs="Times New Roman"/>
          <w:sz w:val="24"/>
          <w:szCs w:val="24"/>
        </w:rPr>
        <w:t>cf</w:t>
      </w:r>
      <w:r w:rsidR="000915AE" w:rsidRPr="0061102A">
        <w:rPr>
          <w:rFonts w:ascii="Palatino Linotype" w:hAnsi="Palatino Linotype" w:cs="Times New Roman"/>
          <w:sz w:val="24"/>
          <w:szCs w:val="24"/>
        </w:rPr>
        <w:t>DNA in-vitro and the potential of exploring cell viability and survival in cell culture</w:t>
      </w:r>
      <w:r w:rsidR="000915AE" w:rsidRPr="005B1CCB">
        <w:rPr>
          <w:rFonts w:ascii="Palatino Linotype" w:hAnsi="Palatino Linotype" w:cs="Times New Roman"/>
          <w:sz w:val="24"/>
          <w:szCs w:val="24"/>
        </w:rPr>
        <w:t xml:space="preserve">. </w:t>
      </w:r>
    </w:p>
    <w:p w14:paraId="4B6E21C8" w14:textId="77777777" w:rsidR="003E7EA2" w:rsidRPr="005B1CCB" w:rsidRDefault="00EB09C6" w:rsidP="00581472">
      <w:pPr>
        <w:keepNext/>
        <w:jc w:val="center"/>
      </w:pPr>
      <w:r w:rsidRPr="005B1CCB">
        <w:rPr>
          <w:noProof/>
          <w:lang w:eastAsia="en-GB"/>
        </w:rPr>
        <w:drawing>
          <wp:inline distT="0" distB="0" distL="0" distR="0" wp14:anchorId="27691C2F" wp14:editId="066B09B9">
            <wp:extent cx="3369365" cy="3727791"/>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ltured cells.png"/>
                    <pic:cNvPicPr/>
                  </pic:nvPicPr>
                  <pic:blipFill rotWithShape="1">
                    <a:blip r:embed="rId34">
                      <a:extLst>
                        <a:ext uri="{28A0092B-C50C-407E-A947-70E740481C1C}">
                          <a14:useLocalDpi xmlns:a14="http://schemas.microsoft.com/office/drawing/2010/main" val="0"/>
                        </a:ext>
                      </a:extLst>
                    </a:blip>
                    <a:srcRect l="37074" t="29845" r="40822" b="22857"/>
                    <a:stretch/>
                  </pic:blipFill>
                  <pic:spPr bwMode="auto">
                    <a:xfrm>
                      <a:off x="0" y="0"/>
                      <a:ext cx="3411156" cy="3774027"/>
                    </a:xfrm>
                    <a:prstGeom prst="rect">
                      <a:avLst/>
                    </a:prstGeom>
                    <a:ln>
                      <a:noFill/>
                    </a:ln>
                    <a:extLst>
                      <a:ext uri="{53640926-AAD7-44D8-BBD7-CCE9431645EC}">
                        <a14:shadowObscured xmlns:a14="http://schemas.microsoft.com/office/drawing/2010/main"/>
                      </a:ext>
                    </a:extLst>
                  </pic:spPr>
                </pic:pic>
              </a:graphicData>
            </a:graphic>
          </wp:inline>
        </w:drawing>
      </w:r>
    </w:p>
    <w:p w14:paraId="5B12E1DA" w14:textId="77777777" w:rsidR="00EB09C6" w:rsidRPr="005B1CCB" w:rsidRDefault="003E7EA2" w:rsidP="003E7EA2">
      <w:pPr>
        <w:pStyle w:val="Caption"/>
        <w:jc w:val="center"/>
        <w:rPr>
          <w:sz w:val="22"/>
          <w:szCs w:val="22"/>
        </w:rPr>
      </w:pPr>
      <w:bookmarkStart w:id="113" w:name="_Toc84519617"/>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22</w:t>
      </w:r>
      <w:r w:rsidRPr="005B1CCB">
        <w:rPr>
          <w:sz w:val="22"/>
          <w:szCs w:val="22"/>
        </w:rPr>
        <w:fldChar w:fldCharType="end"/>
      </w:r>
      <w:r w:rsidR="005D7333" w:rsidRPr="005B1CCB">
        <w:rPr>
          <w:sz w:val="22"/>
          <w:szCs w:val="22"/>
        </w:rPr>
        <w:t xml:space="preserve">: </w:t>
      </w:r>
      <w:r w:rsidRPr="005B1CCB">
        <w:rPr>
          <w:sz w:val="22"/>
          <w:szCs w:val="22"/>
        </w:rPr>
        <w:t>Floating cells in suspension containing the R273H mutation in the U373 glioblastoma mammalian cell line culture</w:t>
      </w:r>
      <w:r w:rsidR="003B3CFE" w:rsidRPr="005B1CCB">
        <w:rPr>
          <w:sz w:val="22"/>
          <w:szCs w:val="22"/>
        </w:rPr>
        <w:t>.</w:t>
      </w:r>
      <w:bookmarkEnd w:id="113"/>
    </w:p>
    <w:p w14:paraId="7E6F4D1F" w14:textId="77777777" w:rsidR="00627A39" w:rsidRPr="005B1CCB" w:rsidRDefault="00627A39" w:rsidP="00627A39"/>
    <w:p w14:paraId="0EEE91CE" w14:textId="77777777" w:rsidR="00E0461F" w:rsidRPr="005B1CCB" w:rsidRDefault="00E0461F" w:rsidP="00D71969">
      <w:pPr>
        <w:pStyle w:val="Heading3"/>
        <w:rPr>
          <w:lang w:val="en-US"/>
        </w:rPr>
      </w:pPr>
      <w:bookmarkStart w:id="114" w:name="_Toc84528095"/>
      <w:r w:rsidRPr="005B1CCB">
        <w:rPr>
          <w:lang w:val="en-US"/>
        </w:rPr>
        <w:t xml:space="preserve">DNA </w:t>
      </w:r>
      <w:r w:rsidR="00CE73C4" w:rsidRPr="005B1CCB">
        <w:rPr>
          <w:lang w:val="en-US"/>
        </w:rPr>
        <w:t>hybridisation</w:t>
      </w:r>
      <w:bookmarkEnd w:id="114"/>
    </w:p>
    <w:p w14:paraId="715C42E8" w14:textId="3604596D" w:rsidR="00E0461F" w:rsidRPr="005B1CCB" w:rsidRDefault="00E0461F" w:rsidP="0052183A">
      <w:pPr>
        <w:autoSpaceDE w:val="0"/>
        <w:autoSpaceDN w:val="0"/>
        <w:spacing w:line="360" w:lineRule="auto"/>
        <w:jc w:val="both"/>
        <w:rPr>
          <w:rFonts w:ascii="Palatino Linotype" w:eastAsia="Times New Roman" w:hAnsi="Palatino Linotype" w:cs="Times New Roman"/>
          <w:sz w:val="24"/>
          <w:szCs w:val="24"/>
          <w:lang w:val="en-US"/>
        </w:rPr>
      </w:pPr>
      <w:r w:rsidRPr="005B1CCB">
        <w:rPr>
          <w:rFonts w:ascii="Palatino Linotype" w:eastAsia="Times New Roman" w:hAnsi="Palatino Linotype" w:cs="Times New Roman"/>
          <w:sz w:val="24"/>
          <w:szCs w:val="24"/>
          <w:lang w:val="en-US"/>
        </w:rPr>
        <w:t xml:space="preserve">    This section shows EIS responses recorded from electrodes sequentially mod</w:t>
      </w:r>
      <w:r w:rsidR="00C860E2" w:rsidRPr="005B1CCB">
        <w:rPr>
          <w:rFonts w:ascii="Palatino Linotype" w:eastAsia="Times New Roman" w:hAnsi="Palatino Linotype" w:cs="Times New Roman"/>
          <w:sz w:val="24"/>
          <w:szCs w:val="24"/>
          <w:lang w:val="en-US"/>
        </w:rPr>
        <w:t xml:space="preserve">ified with </w:t>
      </w:r>
      <w:r w:rsidR="00082444" w:rsidRPr="005B1CCB">
        <w:rPr>
          <w:rFonts w:ascii="Palatino Linotype" w:eastAsia="Times New Roman" w:hAnsi="Palatino Linotype" w:cs="Times New Roman"/>
          <w:sz w:val="24"/>
          <w:szCs w:val="24"/>
          <w:lang w:val="en-US"/>
        </w:rPr>
        <w:t>wild-type</w:t>
      </w:r>
      <w:r w:rsidR="00C860E2" w:rsidRPr="005B1CCB">
        <w:rPr>
          <w:rFonts w:ascii="Palatino Linotype" w:eastAsia="Times New Roman" w:hAnsi="Palatino Linotype" w:cs="Times New Roman"/>
          <w:sz w:val="24"/>
          <w:szCs w:val="24"/>
          <w:lang w:val="en-US"/>
        </w:rPr>
        <w:t xml:space="preserve"> probe DNA and hybridized using</w:t>
      </w:r>
      <w:r w:rsidRPr="005B1CCB">
        <w:rPr>
          <w:rFonts w:ascii="Palatino Linotype" w:eastAsia="Times New Roman" w:hAnsi="Palatino Linotype" w:cs="Times New Roman"/>
          <w:sz w:val="24"/>
          <w:szCs w:val="24"/>
          <w:lang w:val="en-US"/>
        </w:rPr>
        <w:t xml:space="preserve"> complementary (wild</w:t>
      </w:r>
      <w:r w:rsidR="00082444" w:rsidRPr="005B1CCB">
        <w:rPr>
          <w:rFonts w:ascii="Palatino Linotype" w:eastAsia="Times New Roman" w:hAnsi="Palatino Linotype" w:cs="Times New Roman"/>
          <w:sz w:val="24"/>
          <w:szCs w:val="24"/>
          <w:lang w:val="en-US"/>
        </w:rPr>
        <w:t>-</w:t>
      </w:r>
      <w:r w:rsidRPr="005B1CCB">
        <w:rPr>
          <w:rFonts w:ascii="Palatino Linotype" w:eastAsia="Times New Roman" w:hAnsi="Palatino Linotype" w:cs="Times New Roman"/>
          <w:sz w:val="24"/>
          <w:szCs w:val="24"/>
          <w:lang w:val="en-US"/>
        </w:rPr>
        <w:t xml:space="preserve">type) and single mismatch (mutated) target DNA from the </w:t>
      </w:r>
      <w:r w:rsidR="000915AE" w:rsidRPr="005B1CCB">
        <w:rPr>
          <w:rFonts w:ascii="Palatino Linotype" w:eastAsia="Times New Roman" w:hAnsi="Palatino Linotype" w:cs="Times New Roman"/>
          <w:sz w:val="24"/>
          <w:szCs w:val="24"/>
          <w:lang w:val="en-US"/>
        </w:rPr>
        <w:t>T</w:t>
      </w:r>
      <w:r w:rsidR="00EC41D1" w:rsidRPr="005B1CCB">
        <w:rPr>
          <w:rFonts w:ascii="Palatino Linotype" w:eastAsia="Times New Roman" w:hAnsi="Palatino Linotype" w:cs="Times New Roman"/>
          <w:sz w:val="24"/>
          <w:szCs w:val="24"/>
          <w:lang w:val="en-US"/>
        </w:rPr>
        <w:t>p</w:t>
      </w:r>
      <w:r w:rsidRPr="005B1CCB">
        <w:rPr>
          <w:rFonts w:ascii="Palatino Linotype" w:eastAsia="Times New Roman" w:hAnsi="Palatino Linotype" w:cs="Times New Roman"/>
          <w:sz w:val="24"/>
          <w:szCs w:val="24"/>
          <w:lang w:val="en-US"/>
        </w:rPr>
        <w:t>53 gene.</w:t>
      </w:r>
      <w:r w:rsidR="008400B9" w:rsidRPr="005B1CCB">
        <w:rPr>
          <w:rFonts w:ascii="Palatino Linotype" w:eastAsia="Times New Roman" w:hAnsi="Palatino Linotype" w:cs="Times New Roman"/>
          <w:sz w:val="24"/>
          <w:szCs w:val="24"/>
          <w:lang w:val="en-US"/>
        </w:rPr>
        <w:t xml:space="preserve"> Some sets of electrodes were pre</w:t>
      </w:r>
      <w:r w:rsidR="00DD7377">
        <w:rPr>
          <w:rFonts w:ascii="Palatino Linotype" w:eastAsia="Times New Roman" w:hAnsi="Palatino Linotype" w:cs="Times New Roman"/>
          <w:sz w:val="24"/>
          <w:szCs w:val="24"/>
          <w:lang w:val="en-US"/>
        </w:rPr>
        <w:t>-</w:t>
      </w:r>
      <w:r w:rsidR="008400B9" w:rsidRPr="005B1CCB">
        <w:rPr>
          <w:rFonts w:ascii="Palatino Linotype" w:eastAsia="Times New Roman" w:hAnsi="Palatino Linotype" w:cs="Times New Roman"/>
          <w:sz w:val="24"/>
          <w:szCs w:val="24"/>
          <w:lang w:val="en-US"/>
        </w:rPr>
        <w:t>treated by dipping in H</w:t>
      </w:r>
      <w:r w:rsidR="008400B9" w:rsidRPr="005B1CCB">
        <w:rPr>
          <w:rFonts w:ascii="Palatino Linotype" w:eastAsia="Times New Roman" w:hAnsi="Palatino Linotype" w:cs="Times New Roman"/>
          <w:sz w:val="24"/>
          <w:szCs w:val="24"/>
          <w:vertAlign w:val="subscript"/>
          <w:lang w:val="en-US"/>
        </w:rPr>
        <w:t>2</w:t>
      </w:r>
      <w:r w:rsidR="008400B9" w:rsidRPr="005B1CCB">
        <w:rPr>
          <w:rFonts w:ascii="Palatino Linotype" w:eastAsia="Times New Roman" w:hAnsi="Palatino Linotype" w:cs="Times New Roman"/>
          <w:sz w:val="24"/>
          <w:szCs w:val="24"/>
          <w:lang w:val="en-US"/>
        </w:rPr>
        <w:t>SO</w:t>
      </w:r>
      <w:r w:rsidR="008400B9" w:rsidRPr="005B1CCB">
        <w:rPr>
          <w:rFonts w:ascii="Palatino Linotype" w:eastAsia="Times New Roman" w:hAnsi="Palatino Linotype" w:cs="Times New Roman"/>
          <w:sz w:val="24"/>
          <w:szCs w:val="24"/>
          <w:vertAlign w:val="subscript"/>
          <w:lang w:val="en-US"/>
        </w:rPr>
        <w:t>4</w:t>
      </w:r>
      <w:r w:rsidR="008400B9" w:rsidRPr="005B1CCB">
        <w:rPr>
          <w:rFonts w:ascii="Palatino Linotype" w:eastAsia="Times New Roman" w:hAnsi="Palatino Linotype" w:cs="Times New Roman"/>
          <w:sz w:val="24"/>
          <w:szCs w:val="24"/>
          <w:lang w:val="en-US"/>
        </w:rPr>
        <w:t xml:space="preserve"> while some were pre</w:t>
      </w:r>
      <w:r w:rsidR="00DD7377">
        <w:rPr>
          <w:rFonts w:ascii="Palatino Linotype" w:eastAsia="Times New Roman" w:hAnsi="Palatino Linotype" w:cs="Times New Roman"/>
          <w:sz w:val="24"/>
          <w:szCs w:val="24"/>
          <w:lang w:val="en-US"/>
        </w:rPr>
        <w:t>-</w:t>
      </w:r>
      <w:r w:rsidR="008400B9" w:rsidRPr="005B1CCB">
        <w:rPr>
          <w:rFonts w:ascii="Palatino Linotype" w:eastAsia="Times New Roman" w:hAnsi="Palatino Linotype" w:cs="Times New Roman"/>
          <w:sz w:val="24"/>
          <w:szCs w:val="24"/>
          <w:lang w:val="en-US"/>
        </w:rPr>
        <w:t>treated by cycling in H</w:t>
      </w:r>
      <w:r w:rsidR="008400B9" w:rsidRPr="005B1CCB">
        <w:rPr>
          <w:rFonts w:ascii="Palatino Linotype" w:eastAsia="Times New Roman" w:hAnsi="Palatino Linotype" w:cs="Times New Roman"/>
          <w:sz w:val="24"/>
          <w:szCs w:val="24"/>
          <w:vertAlign w:val="subscript"/>
          <w:lang w:val="en-US"/>
        </w:rPr>
        <w:t>2</w:t>
      </w:r>
      <w:r w:rsidR="008400B9" w:rsidRPr="005B1CCB">
        <w:rPr>
          <w:rFonts w:ascii="Palatino Linotype" w:eastAsia="Times New Roman" w:hAnsi="Palatino Linotype" w:cs="Times New Roman"/>
          <w:sz w:val="24"/>
          <w:szCs w:val="24"/>
          <w:lang w:val="en-US"/>
        </w:rPr>
        <w:t>SO</w:t>
      </w:r>
      <w:r w:rsidR="008400B9" w:rsidRPr="005B1CCB">
        <w:rPr>
          <w:rFonts w:ascii="Palatino Linotype" w:eastAsia="Times New Roman" w:hAnsi="Palatino Linotype" w:cs="Times New Roman"/>
          <w:sz w:val="24"/>
          <w:szCs w:val="24"/>
          <w:vertAlign w:val="subscript"/>
          <w:lang w:val="en-US"/>
        </w:rPr>
        <w:t>4</w:t>
      </w:r>
      <w:r w:rsidR="008400B9" w:rsidRPr="005B1CCB">
        <w:rPr>
          <w:rFonts w:ascii="Palatino Linotype" w:eastAsia="Times New Roman" w:hAnsi="Palatino Linotype" w:cs="Times New Roman"/>
          <w:sz w:val="24"/>
          <w:szCs w:val="24"/>
          <w:lang w:val="en-US"/>
        </w:rPr>
        <w:t>. For each specific pre</w:t>
      </w:r>
      <w:r w:rsidR="003A717F" w:rsidRPr="005B1CCB">
        <w:rPr>
          <w:rFonts w:ascii="Palatino Linotype" w:eastAsia="Times New Roman" w:hAnsi="Palatino Linotype" w:cs="Times New Roman"/>
          <w:sz w:val="24"/>
          <w:szCs w:val="24"/>
          <w:lang w:val="en-US"/>
        </w:rPr>
        <w:t>-</w:t>
      </w:r>
      <w:r w:rsidR="008400B9" w:rsidRPr="005B1CCB">
        <w:rPr>
          <w:rFonts w:ascii="Palatino Linotype" w:eastAsia="Times New Roman" w:hAnsi="Palatino Linotype" w:cs="Times New Roman"/>
          <w:sz w:val="24"/>
          <w:szCs w:val="24"/>
          <w:lang w:val="en-US"/>
        </w:rPr>
        <w:t>treatment and hybridization set, a</w:t>
      </w:r>
      <w:r w:rsidR="003A717F" w:rsidRPr="005B1CCB">
        <w:rPr>
          <w:rFonts w:ascii="Palatino Linotype" w:eastAsia="Times New Roman" w:hAnsi="Palatino Linotype" w:cs="Times New Roman"/>
          <w:sz w:val="24"/>
          <w:szCs w:val="24"/>
          <w:lang w:val="en-US"/>
        </w:rPr>
        <w:t>n</w:t>
      </w:r>
      <w:r w:rsidR="008400B9" w:rsidRPr="005B1CCB">
        <w:rPr>
          <w:rFonts w:ascii="Palatino Linotype" w:eastAsia="Times New Roman" w:hAnsi="Palatino Linotype" w:cs="Times New Roman"/>
          <w:sz w:val="24"/>
          <w:szCs w:val="24"/>
          <w:lang w:val="en-US"/>
        </w:rPr>
        <w:t xml:space="preserve"> incubation time of either 1 hour or 16 hours was carried out</w:t>
      </w:r>
      <w:r w:rsidR="003A717F" w:rsidRPr="005B1CCB">
        <w:rPr>
          <w:rFonts w:ascii="Palatino Linotype" w:eastAsia="Times New Roman" w:hAnsi="Palatino Linotype" w:cs="Times New Roman"/>
          <w:sz w:val="24"/>
          <w:szCs w:val="24"/>
          <w:lang w:val="en-US"/>
        </w:rPr>
        <w:t xml:space="preserve"> for probe-target binding</w:t>
      </w:r>
      <w:r w:rsidR="008400B9" w:rsidRPr="005B1CCB">
        <w:rPr>
          <w:rFonts w:ascii="Palatino Linotype" w:eastAsia="Times New Roman" w:hAnsi="Palatino Linotype" w:cs="Times New Roman"/>
          <w:sz w:val="24"/>
          <w:szCs w:val="24"/>
          <w:lang w:val="en-US"/>
        </w:rPr>
        <w:t>.</w:t>
      </w:r>
    </w:p>
    <w:p w14:paraId="7B7FAB86" w14:textId="77777777" w:rsidR="003E7EA2" w:rsidRPr="005B1CCB" w:rsidRDefault="00F41725" w:rsidP="00B713EF">
      <w:pPr>
        <w:autoSpaceDE w:val="0"/>
        <w:autoSpaceDN w:val="0"/>
        <w:spacing w:line="360" w:lineRule="auto"/>
        <w:jc w:val="both"/>
        <w:rPr>
          <w:rFonts w:ascii="Palatino Linotype" w:eastAsia="Times New Roman" w:hAnsi="Palatino Linotype" w:cs="Times New Roman"/>
          <w:sz w:val="24"/>
          <w:szCs w:val="24"/>
          <w:lang w:val="en-US"/>
        </w:rPr>
      </w:pPr>
      <w:r w:rsidRPr="005B1CCB">
        <w:rPr>
          <w:noProof/>
          <w:lang w:eastAsia="en-GB"/>
        </w:rPr>
        <w:drawing>
          <wp:inline distT="0" distB="0" distL="0" distR="0" wp14:anchorId="5360BF18" wp14:editId="418FE119">
            <wp:extent cx="6021340" cy="499935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30000"/>
                              </a14:imgEffect>
                              <a14:imgEffect>
                                <a14:brightnessContrast bright="5000"/>
                              </a14:imgEffect>
                            </a14:imgLayer>
                          </a14:imgProps>
                        </a:ext>
                      </a:extLst>
                    </a:blip>
                    <a:stretch>
                      <a:fillRect/>
                    </a:stretch>
                  </pic:blipFill>
                  <pic:spPr>
                    <a:xfrm>
                      <a:off x="0" y="0"/>
                      <a:ext cx="6036661" cy="5012075"/>
                    </a:xfrm>
                    <a:prstGeom prst="rect">
                      <a:avLst/>
                    </a:prstGeom>
                  </pic:spPr>
                </pic:pic>
              </a:graphicData>
            </a:graphic>
          </wp:inline>
        </w:drawing>
      </w:r>
    </w:p>
    <w:p w14:paraId="6BE42D96" w14:textId="6034394A" w:rsidR="00A93EEE" w:rsidRPr="005B1CCB" w:rsidRDefault="003E7EA2" w:rsidP="00A93EEE">
      <w:pPr>
        <w:pStyle w:val="Caption"/>
        <w:jc w:val="center"/>
        <w:rPr>
          <w:lang w:val="en-US"/>
        </w:rPr>
      </w:pPr>
      <w:bookmarkStart w:id="115" w:name="_Toc84519618"/>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23</w:t>
      </w:r>
      <w:r w:rsidRPr="005B1CCB">
        <w:rPr>
          <w:sz w:val="22"/>
          <w:szCs w:val="22"/>
        </w:rPr>
        <w:fldChar w:fldCharType="end"/>
      </w:r>
      <w:r w:rsidRPr="005B1CCB">
        <w:rPr>
          <w:sz w:val="22"/>
          <w:szCs w:val="22"/>
        </w:rPr>
        <w:t xml:space="preserve">: EIS measurements for </w:t>
      </w:r>
      <w:r w:rsidR="000C29A3">
        <w:rPr>
          <w:sz w:val="22"/>
          <w:szCs w:val="22"/>
        </w:rPr>
        <w:t>wild-type p53 synthetic oligonucleotide</w:t>
      </w:r>
      <w:r w:rsidRPr="005B1CCB">
        <w:rPr>
          <w:sz w:val="22"/>
          <w:szCs w:val="22"/>
        </w:rPr>
        <w:t xml:space="preserve"> binding (1 hour incubation) </w:t>
      </w:r>
      <w:r w:rsidR="008400B9" w:rsidRPr="005B1CCB">
        <w:rPr>
          <w:sz w:val="22"/>
          <w:szCs w:val="22"/>
        </w:rPr>
        <w:t xml:space="preserve">– (A) and (B) shows complementary hybridisation, (C) and (D) shows </w:t>
      </w:r>
      <w:r w:rsidR="00632124" w:rsidRPr="005B1CCB">
        <w:rPr>
          <w:sz w:val="22"/>
          <w:szCs w:val="22"/>
        </w:rPr>
        <w:t>single-base mismatch</w:t>
      </w:r>
      <w:r w:rsidR="008400B9" w:rsidRPr="005B1CCB">
        <w:rPr>
          <w:sz w:val="22"/>
          <w:szCs w:val="22"/>
        </w:rPr>
        <w:t xml:space="preserve"> hybridisation. (A) and (C) shows pre-treatment by dipping in H</w:t>
      </w:r>
      <w:r w:rsidR="008400B9" w:rsidRPr="005B1CCB">
        <w:rPr>
          <w:sz w:val="22"/>
          <w:szCs w:val="22"/>
          <w:vertAlign w:val="subscript"/>
        </w:rPr>
        <w:t>2</w:t>
      </w:r>
      <w:r w:rsidR="008400B9" w:rsidRPr="005B1CCB">
        <w:rPr>
          <w:sz w:val="22"/>
          <w:szCs w:val="22"/>
        </w:rPr>
        <w:t>SO</w:t>
      </w:r>
      <w:r w:rsidR="008400B9" w:rsidRPr="005B1CCB">
        <w:rPr>
          <w:sz w:val="22"/>
          <w:szCs w:val="22"/>
          <w:vertAlign w:val="subscript"/>
        </w:rPr>
        <w:t>4</w:t>
      </w:r>
      <w:r w:rsidR="008400B9" w:rsidRPr="005B1CCB">
        <w:rPr>
          <w:sz w:val="22"/>
          <w:szCs w:val="22"/>
        </w:rPr>
        <w:t xml:space="preserve"> while (B) and (D) shows pre-treatment by cycling in H</w:t>
      </w:r>
      <w:r w:rsidR="008400B9" w:rsidRPr="005B1CCB">
        <w:rPr>
          <w:sz w:val="22"/>
          <w:szCs w:val="22"/>
          <w:vertAlign w:val="subscript"/>
        </w:rPr>
        <w:t>2</w:t>
      </w:r>
      <w:r w:rsidR="008400B9" w:rsidRPr="005B1CCB">
        <w:rPr>
          <w:sz w:val="22"/>
          <w:szCs w:val="22"/>
        </w:rPr>
        <w:t>SO</w:t>
      </w:r>
      <w:r w:rsidR="008400B9" w:rsidRPr="005B1CCB">
        <w:rPr>
          <w:sz w:val="22"/>
          <w:szCs w:val="22"/>
          <w:vertAlign w:val="subscript"/>
        </w:rPr>
        <w:t>4</w:t>
      </w:r>
      <w:r w:rsidR="008400B9" w:rsidRPr="005B1CCB">
        <w:rPr>
          <w:sz w:val="22"/>
          <w:szCs w:val="22"/>
        </w:rPr>
        <w:t>.</w:t>
      </w:r>
      <w:bookmarkEnd w:id="115"/>
    </w:p>
    <w:p w14:paraId="2BB5C1B7" w14:textId="77777777" w:rsidR="00E0461F" w:rsidRPr="005B1CCB" w:rsidRDefault="00E0461F" w:rsidP="003E7EA2">
      <w:pPr>
        <w:pStyle w:val="Caption"/>
        <w:jc w:val="center"/>
        <w:rPr>
          <w:rFonts w:ascii="Palatino Linotype" w:eastAsia="Times New Roman" w:hAnsi="Palatino Linotype" w:cs="Times New Roman"/>
          <w:sz w:val="22"/>
          <w:szCs w:val="22"/>
          <w:lang w:val="en-US"/>
        </w:rPr>
      </w:pPr>
    </w:p>
    <w:p w14:paraId="76D54472" w14:textId="77777777" w:rsidR="00A42A86" w:rsidRPr="005B1CCB" w:rsidRDefault="000760A4" w:rsidP="0052183A">
      <w:pPr>
        <w:spacing w:line="360" w:lineRule="auto"/>
        <w:jc w:val="both"/>
        <w:rPr>
          <w:rFonts w:ascii="Palatino Linotype" w:eastAsia="Times New Roman" w:hAnsi="Palatino Linotype" w:cs="Times New Roman"/>
          <w:sz w:val="24"/>
          <w:szCs w:val="24"/>
          <w:lang w:val="en-US"/>
        </w:rPr>
      </w:pPr>
      <w:r w:rsidRPr="005B1CCB">
        <w:rPr>
          <w:rFonts w:ascii="Palatino Linotype" w:hAnsi="Palatino Linotype" w:cs="Times New Roman"/>
          <w:sz w:val="24"/>
          <w:szCs w:val="24"/>
        </w:rPr>
        <w:t xml:space="preserve">    </w:t>
      </w:r>
      <w:r w:rsidR="00A42A86" w:rsidRPr="005B1CCB">
        <w:rPr>
          <w:rFonts w:ascii="Palatino Linotype" w:hAnsi="Palatino Linotype" w:cs="Times New Roman"/>
          <w:sz w:val="24"/>
          <w:szCs w:val="24"/>
        </w:rPr>
        <w:t>The Randles’ circuit used to fit the Nyquist plots provided key parameters such as the solution resistance R1, double layer capacitance Q1, electron transfer resistance R2 (R</w:t>
      </w:r>
      <w:r w:rsidR="00A42A86" w:rsidRPr="005B1CCB">
        <w:rPr>
          <w:rFonts w:ascii="Palatino Linotype" w:hAnsi="Palatino Linotype" w:cs="Times New Roman"/>
          <w:sz w:val="24"/>
          <w:szCs w:val="24"/>
          <w:vertAlign w:val="subscript"/>
        </w:rPr>
        <w:t>CT</w:t>
      </w:r>
      <w:r w:rsidR="00A42A86" w:rsidRPr="005B1CCB">
        <w:rPr>
          <w:rFonts w:ascii="Palatino Linotype" w:hAnsi="Palatino Linotype" w:cs="Times New Roman"/>
          <w:sz w:val="24"/>
          <w:szCs w:val="24"/>
        </w:rPr>
        <w:t xml:space="preserve">), and a Warburg electrochemical element of diffusion W </w:t>
      </w:r>
      <w:r w:rsidR="00A42A86" w:rsidRPr="005B1CCB">
        <w:rPr>
          <w:rFonts w:ascii="Palatino Linotype" w:eastAsia="Times New Roman" w:hAnsi="Palatino Linotype" w:cs="Times New Roman"/>
          <w:sz w:val="24"/>
          <w:szCs w:val="24"/>
          <w:lang w:val="en-US"/>
        </w:rPr>
        <w:t>which presented itself in the EIS spectra as a line with an angle of 45</w:t>
      </w:r>
      <w:r w:rsidR="00A42A86" w:rsidRPr="005B1CCB">
        <w:rPr>
          <w:rFonts w:ascii="Palatino Linotype" w:eastAsia="Times New Roman" w:hAnsi="Palatino Linotype" w:cs="Times New Roman"/>
          <w:sz w:val="24"/>
          <w:szCs w:val="24"/>
          <w:vertAlign w:val="superscript"/>
          <w:lang w:val="en-US"/>
        </w:rPr>
        <w:t>O</w:t>
      </w:r>
      <w:r w:rsidR="00A42A86" w:rsidRPr="005B1CCB">
        <w:rPr>
          <w:rFonts w:ascii="Palatino Linotype" w:eastAsia="Times New Roman" w:hAnsi="Palatino Linotype" w:cs="Times New Roman"/>
          <w:sz w:val="24"/>
          <w:szCs w:val="24"/>
          <w:lang w:val="en-US"/>
        </w:rPr>
        <w:t xml:space="preserve"> in the low frequency region. </w:t>
      </w:r>
      <w:r w:rsidR="00A42A86" w:rsidRPr="0061102A">
        <w:rPr>
          <w:rFonts w:ascii="Palatino Linotype" w:eastAsia="Times New Roman" w:hAnsi="Palatino Linotype" w:cs="Times New Roman"/>
          <w:sz w:val="24"/>
          <w:szCs w:val="24"/>
          <w:lang w:val="en-US"/>
        </w:rPr>
        <w:t>The highest point in the semi-circular response relates to the capacitance of the double layer formed on the surface of the SPE as a result of the accumulation on the electrode surface of ionic species from the measurement buffer solution</w:t>
      </w:r>
      <w:r w:rsidR="00A42A86" w:rsidRPr="005B1CCB">
        <w:rPr>
          <w:rFonts w:ascii="Palatino Linotype" w:eastAsia="Times New Roman" w:hAnsi="Palatino Linotype" w:cs="Times New Roman"/>
          <w:sz w:val="24"/>
          <w:szCs w:val="24"/>
          <w:lang w:val="en-US"/>
        </w:rPr>
        <w:t xml:space="preserve">. </w:t>
      </w:r>
    </w:p>
    <w:p w14:paraId="6EAFC7BE" w14:textId="77777777" w:rsidR="00C878E5" w:rsidRPr="005B1CCB" w:rsidRDefault="00A42A86" w:rsidP="0052183A">
      <w:pPr>
        <w:spacing w:line="360" w:lineRule="auto"/>
        <w:jc w:val="both"/>
        <w:rPr>
          <w:rFonts w:ascii="Palatino Linotype" w:hAnsi="Palatino Linotype" w:cs="Times New Roman"/>
          <w:sz w:val="24"/>
          <w:szCs w:val="24"/>
        </w:rPr>
      </w:pPr>
      <w:r w:rsidRPr="005B1CCB">
        <w:rPr>
          <w:rFonts w:ascii="Palatino Linotype" w:eastAsia="Times New Roman" w:hAnsi="Palatino Linotype" w:cs="Times New Roman"/>
          <w:sz w:val="24"/>
          <w:szCs w:val="24"/>
          <w:lang w:val="en-US"/>
        </w:rPr>
        <w:t xml:space="preserve">    </w:t>
      </w:r>
      <w:r w:rsidR="005A625A" w:rsidRPr="005B1CCB">
        <w:rPr>
          <w:rFonts w:ascii="Palatino Linotype" w:hAnsi="Palatino Linotype" w:cs="Times New Roman"/>
          <w:sz w:val="24"/>
          <w:szCs w:val="24"/>
        </w:rPr>
        <w:t xml:space="preserve">The Nyquist plots in </w:t>
      </w:r>
      <w:r w:rsidR="00797B21" w:rsidRPr="005B1CCB">
        <w:rPr>
          <w:rFonts w:ascii="Palatino Linotype" w:hAnsi="Palatino Linotype" w:cs="Times New Roman"/>
          <w:sz w:val="24"/>
          <w:szCs w:val="24"/>
        </w:rPr>
        <w:t>F</w:t>
      </w:r>
      <w:r w:rsidR="007E595A" w:rsidRPr="005B1CCB">
        <w:rPr>
          <w:rFonts w:ascii="Palatino Linotype" w:hAnsi="Palatino Linotype" w:cs="Times New Roman"/>
          <w:sz w:val="24"/>
          <w:szCs w:val="24"/>
        </w:rPr>
        <w:t>igure</w:t>
      </w:r>
      <w:r w:rsidR="005A625A" w:rsidRPr="005B1CCB">
        <w:rPr>
          <w:rFonts w:ascii="Palatino Linotype" w:hAnsi="Palatino Linotype" w:cs="Times New Roman"/>
          <w:sz w:val="24"/>
          <w:szCs w:val="24"/>
        </w:rPr>
        <w:t xml:space="preserve"> </w:t>
      </w:r>
      <w:r w:rsidR="00B26F19" w:rsidRPr="005B1CCB">
        <w:rPr>
          <w:rFonts w:ascii="Palatino Linotype" w:hAnsi="Palatino Linotype" w:cs="Times New Roman"/>
          <w:sz w:val="24"/>
          <w:szCs w:val="24"/>
        </w:rPr>
        <w:t>2</w:t>
      </w:r>
      <w:r w:rsidR="002F62CA" w:rsidRPr="005B1CCB">
        <w:rPr>
          <w:rFonts w:ascii="Palatino Linotype" w:hAnsi="Palatino Linotype" w:cs="Times New Roman"/>
          <w:sz w:val="24"/>
          <w:szCs w:val="24"/>
        </w:rPr>
        <w:t>3</w:t>
      </w:r>
      <w:r w:rsidR="005A625A" w:rsidRPr="005B1CCB">
        <w:rPr>
          <w:rFonts w:ascii="Palatino Linotype" w:hAnsi="Palatino Linotype" w:cs="Times New Roman"/>
          <w:sz w:val="24"/>
          <w:szCs w:val="24"/>
        </w:rPr>
        <w:t xml:space="preserve"> show the impedance responses containing the frequency information linked to the impedance measurements carried out after </w:t>
      </w:r>
      <w:r w:rsidR="000E6099" w:rsidRPr="005B1CCB">
        <w:rPr>
          <w:rFonts w:ascii="Palatino Linotype" w:hAnsi="Palatino Linotype" w:cs="Times New Roman"/>
          <w:sz w:val="24"/>
          <w:szCs w:val="24"/>
        </w:rPr>
        <w:t xml:space="preserve">cleaning the electrodes by dipping and cycling, and </w:t>
      </w:r>
      <w:r w:rsidR="005A625A" w:rsidRPr="005B1CCB">
        <w:rPr>
          <w:rFonts w:ascii="Palatino Linotype" w:hAnsi="Palatino Linotype" w:cs="Times New Roman"/>
          <w:sz w:val="24"/>
          <w:szCs w:val="24"/>
        </w:rPr>
        <w:t xml:space="preserve">incubating the DNA probe immobilized SPEs for 1 hour. </w:t>
      </w:r>
      <w:r w:rsidR="007E595A" w:rsidRPr="005B1CCB">
        <w:rPr>
          <w:rFonts w:ascii="Palatino Linotype" w:hAnsi="Palatino Linotype" w:cs="Times New Roman"/>
          <w:sz w:val="24"/>
          <w:szCs w:val="24"/>
        </w:rPr>
        <w:t>The highest increase in R</w:t>
      </w:r>
      <w:r w:rsidR="007E595A" w:rsidRPr="005B1CCB">
        <w:rPr>
          <w:rFonts w:ascii="Palatino Linotype" w:hAnsi="Palatino Linotype" w:cs="Times New Roman"/>
          <w:sz w:val="24"/>
          <w:szCs w:val="24"/>
          <w:vertAlign w:val="subscript"/>
        </w:rPr>
        <w:t xml:space="preserve">CT </w:t>
      </w:r>
      <w:r w:rsidR="007E595A" w:rsidRPr="005B1CCB">
        <w:rPr>
          <w:rFonts w:ascii="Palatino Linotype" w:hAnsi="Palatino Linotype" w:cs="Times New Roman"/>
          <w:sz w:val="24"/>
          <w:szCs w:val="24"/>
        </w:rPr>
        <w:t>values from this set of electrodes (221.7 Ω to 231.5 Ω) was observed between the wild-type complementary hybridisation on the electrode that was cleaned by dipping (Figure 2</w:t>
      </w:r>
      <w:r w:rsidR="002F62CA" w:rsidRPr="005B1CCB">
        <w:rPr>
          <w:rFonts w:ascii="Palatino Linotype" w:hAnsi="Palatino Linotype" w:cs="Times New Roman"/>
          <w:sz w:val="24"/>
          <w:szCs w:val="24"/>
        </w:rPr>
        <w:t>3</w:t>
      </w:r>
      <w:r w:rsidR="007E595A" w:rsidRPr="005B1CCB">
        <w:rPr>
          <w:rFonts w:ascii="Palatino Linotype" w:hAnsi="Palatino Linotype" w:cs="Times New Roman"/>
          <w:sz w:val="24"/>
          <w:szCs w:val="24"/>
        </w:rPr>
        <w:t xml:space="preserve"> (A)). The lowest change in R</w:t>
      </w:r>
      <w:r w:rsidR="007E595A" w:rsidRPr="005B1CCB">
        <w:rPr>
          <w:rFonts w:ascii="Palatino Linotype" w:hAnsi="Palatino Linotype" w:cs="Times New Roman"/>
          <w:sz w:val="24"/>
          <w:szCs w:val="24"/>
          <w:vertAlign w:val="subscript"/>
        </w:rPr>
        <w:t xml:space="preserve">CT </w:t>
      </w:r>
      <w:r w:rsidR="007E595A" w:rsidRPr="005B1CCB">
        <w:rPr>
          <w:rFonts w:ascii="Palatino Linotype" w:hAnsi="Palatino Linotype" w:cs="Times New Roman"/>
          <w:sz w:val="24"/>
          <w:szCs w:val="24"/>
        </w:rPr>
        <w:t>values (224.5 Ω to 223.2 Ω) was observed between the non-complementary hybridisation with a single base change on an electrode that was also cleaned by dipping in sulphuric acid (Figure 2</w:t>
      </w:r>
      <w:r w:rsidR="002F62CA" w:rsidRPr="005B1CCB">
        <w:rPr>
          <w:rFonts w:ascii="Palatino Linotype" w:hAnsi="Palatino Linotype" w:cs="Times New Roman"/>
          <w:sz w:val="24"/>
          <w:szCs w:val="24"/>
        </w:rPr>
        <w:t>3</w:t>
      </w:r>
      <w:r w:rsidR="007E595A" w:rsidRPr="005B1CCB">
        <w:rPr>
          <w:rFonts w:ascii="Palatino Linotype" w:hAnsi="Palatino Linotype" w:cs="Times New Roman"/>
          <w:sz w:val="24"/>
          <w:szCs w:val="24"/>
        </w:rPr>
        <w:t xml:space="preserve"> (C)). The difference in R</w:t>
      </w:r>
      <w:r w:rsidR="007E595A" w:rsidRPr="005B1CCB">
        <w:rPr>
          <w:rFonts w:ascii="Palatino Linotype" w:hAnsi="Palatino Linotype" w:cs="Times New Roman"/>
          <w:sz w:val="24"/>
          <w:szCs w:val="24"/>
          <w:vertAlign w:val="subscript"/>
        </w:rPr>
        <w:t xml:space="preserve">CT </w:t>
      </w:r>
      <w:r w:rsidR="007E595A" w:rsidRPr="005B1CCB">
        <w:rPr>
          <w:rFonts w:ascii="Palatino Linotype" w:hAnsi="Palatino Linotype" w:cs="Times New Roman"/>
          <w:sz w:val="24"/>
          <w:szCs w:val="24"/>
        </w:rPr>
        <w:t xml:space="preserve">increase between the complementary hybridisation (10.5 Ω) and single-base mismatch non-complementary hybridisation (5.3 Ω) in electrodes that were cleaned by cycling </w:t>
      </w:r>
      <w:r w:rsidR="00C878E5" w:rsidRPr="005B1CCB">
        <w:rPr>
          <w:rFonts w:ascii="Palatino Linotype" w:hAnsi="Palatino Linotype" w:cs="Times New Roman"/>
          <w:sz w:val="24"/>
          <w:szCs w:val="24"/>
        </w:rPr>
        <w:t>(Figure 2</w:t>
      </w:r>
      <w:r w:rsidR="002F62CA" w:rsidRPr="005B1CCB">
        <w:rPr>
          <w:rFonts w:ascii="Palatino Linotype" w:hAnsi="Palatino Linotype" w:cs="Times New Roman"/>
          <w:sz w:val="24"/>
          <w:szCs w:val="24"/>
        </w:rPr>
        <w:t>3</w:t>
      </w:r>
      <w:r w:rsidR="00C878E5" w:rsidRPr="005B1CCB">
        <w:rPr>
          <w:rFonts w:ascii="Palatino Linotype" w:hAnsi="Palatino Linotype" w:cs="Times New Roman"/>
          <w:sz w:val="24"/>
          <w:szCs w:val="24"/>
        </w:rPr>
        <w:t xml:space="preserve"> (B &amp; D)) </w:t>
      </w:r>
      <w:r w:rsidR="007E595A" w:rsidRPr="005B1CCB">
        <w:rPr>
          <w:rFonts w:ascii="Palatino Linotype" w:hAnsi="Palatino Linotype" w:cs="Times New Roman"/>
          <w:sz w:val="24"/>
          <w:szCs w:val="24"/>
        </w:rPr>
        <w:t>is lower (5.2 Ω) compared to electrodes that were cleaned by dipping in sulphuric acid but the electrodes that were cycled showed a steady increase in charge transfer resistance.</w:t>
      </w:r>
      <w:r w:rsidR="00C878E5" w:rsidRPr="005B1CCB">
        <w:rPr>
          <w:rFonts w:ascii="Palatino Linotype" w:hAnsi="Palatino Linotype" w:cs="Times New Roman"/>
          <w:sz w:val="24"/>
          <w:szCs w:val="24"/>
        </w:rPr>
        <w:t xml:space="preserve"> </w:t>
      </w:r>
      <w:r w:rsidR="00C878E5" w:rsidRPr="0061102A">
        <w:rPr>
          <w:rFonts w:ascii="Palatino Linotype" w:hAnsi="Palatino Linotype" w:cs="Times New Roman"/>
          <w:sz w:val="24"/>
          <w:szCs w:val="24"/>
        </w:rPr>
        <w:t>The effects of surface non-uniformity observed in Figure 2</w:t>
      </w:r>
      <w:r w:rsidR="002F62CA" w:rsidRPr="0061102A">
        <w:rPr>
          <w:rFonts w:ascii="Palatino Linotype" w:hAnsi="Palatino Linotype" w:cs="Times New Roman"/>
          <w:sz w:val="24"/>
          <w:szCs w:val="24"/>
        </w:rPr>
        <w:t>3</w:t>
      </w:r>
      <w:r w:rsidR="00C878E5" w:rsidRPr="0061102A">
        <w:rPr>
          <w:rFonts w:ascii="Palatino Linotype" w:hAnsi="Palatino Linotype" w:cs="Times New Roman"/>
          <w:sz w:val="24"/>
          <w:szCs w:val="24"/>
        </w:rPr>
        <w:t xml:space="preserve"> (A &amp; C) suggests that though the probe-target binding was successful and showed a large difference in R</w:t>
      </w:r>
      <w:r w:rsidR="00C878E5" w:rsidRPr="0061102A">
        <w:rPr>
          <w:rFonts w:ascii="Palatino Linotype" w:hAnsi="Palatino Linotype" w:cs="Times New Roman"/>
          <w:sz w:val="24"/>
          <w:szCs w:val="24"/>
          <w:vertAlign w:val="subscript"/>
        </w:rPr>
        <w:t xml:space="preserve">CT </w:t>
      </w:r>
      <w:r w:rsidR="00C878E5" w:rsidRPr="0061102A">
        <w:rPr>
          <w:rFonts w:ascii="Palatino Linotype" w:hAnsi="Palatino Linotype" w:cs="Times New Roman"/>
          <w:sz w:val="24"/>
          <w:szCs w:val="24"/>
        </w:rPr>
        <w:t xml:space="preserve">values, cleaning by dipping </w:t>
      </w:r>
      <w:r w:rsidR="00D8283C" w:rsidRPr="0061102A">
        <w:rPr>
          <w:rFonts w:ascii="Palatino Linotype" w:hAnsi="Palatino Linotype" w:cs="Times New Roman"/>
          <w:sz w:val="24"/>
          <w:szCs w:val="24"/>
        </w:rPr>
        <w:t xml:space="preserve">in sulphuric acid </w:t>
      </w:r>
      <w:r w:rsidR="00C878E5" w:rsidRPr="0061102A">
        <w:rPr>
          <w:rFonts w:ascii="Palatino Linotype" w:hAnsi="Palatino Linotype" w:cs="Times New Roman"/>
          <w:sz w:val="24"/>
          <w:szCs w:val="24"/>
        </w:rPr>
        <w:t>mig</w:t>
      </w:r>
      <w:r w:rsidR="00D8283C" w:rsidRPr="0061102A">
        <w:rPr>
          <w:rFonts w:ascii="Palatino Linotype" w:hAnsi="Palatino Linotype" w:cs="Times New Roman"/>
          <w:sz w:val="24"/>
          <w:szCs w:val="24"/>
        </w:rPr>
        <w:t xml:space="preserve">ht not be sufficient enough to get rid of any impurities from the printing inks used that might </w:t>
      </w:r>
      <w:r w:rsidR="00E330C1" w:rsidRPr="0061102A">
        <w:rPr>
          <w:rFonts w:ascii="Palatino Linotype" w:hAnsi="Palatino Linotype" w:cs="Times New Roman"/>
          <w:sz w:val="24"/>
          <w:szCs w:val="24"/>
        </w:rPr>
        <w:t>interfere</w:t>
      </w:r>
      <w:r w:rsidR="00D8283C" w:rsidRPr="0061102A">
        <w:rPr>
          <w:rFonts w:ascii="Palatino Linotype" w:hAnsi="Palatino Linotype" w:cs="Times New Roman"/>
          <w:sz w:val="24"/>
          <w:szCs w:val="24"/>
        </w:rPr>
        <w:t xml:space="preserve"> with the behaviour of the electrodes.</w:t>
      </w:r>
    </w:p>
    <w:p w14:paraId="688EA773" w14:textId="77777777" w:rsidR="00310646" w:rsidRPr="005B1CCB" w:rsidRDefault="00D8283C"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2F62CA" w:rsidRPr="005B1CCB">
        <w:rPr>
          <w:rFonts w:ascii="Palatino Linotype" w:hAnsi="Palatino Linotype" w:cs="Times New Roman"/>
          <w:sz w:val="24"/>
          <w:szCs w:val="24"/>
        </w:rPr>
        <w:t xml:space="preserve"> </w:t>
      </w:r>
      <w:r w:rsidR="00E330C1" w:rsidRPr="0061102A">
        <w:rPr>
          <w:rFonts w:ascii="Palatino Linotype" w:hAnsi="Palatino Linotype" w:cs="Times New Roman"/>
          <w:sz w:val="24"/>
          <w:szCs w:val="24"/>
        </w:rPr>
        <w:t>For the set of electrodes incubated for 16 hours</w:t>
      </w:r>
      <w:r w:rsidR="00E330C1" w:rsidRPr="005B1CCB">
        <w:rPr>
          <w:rFonts w:ascii="Palatino Linotype" w:hAnsi="Palatino Linotype" w:cs="Times New Roman"/>
          <w:sz w:val="24"/>
          <w:szCs w:val="24"/>
        </w:rPr>
        <w:t xml:space="preserve"> (Figure 2</w:t>
      </w:r>
      <w:r w:rsidR="002F62CA" w:rsidRPr="005B1CCB">
        <w:rPr>
          <w:rFonts w:ascii="Palatino Linotype" w:hAnsi="Palatino Linotype" w:cs="Times New Roman"/>
          <w:sz w:val="24"/>
          <w:szCs w:val="24"/>
        </w:rPr>
        <w:t>4</w:t>
      </w:r>
      <w:r w:rsidR="00E330C1" w:rsidRPr="005B1CCB">
        <w:rPr>
          <w:rFonts w:ascii="Palatino Linotype" w:hAnsi="Palatino Linotype" w:cs="Times New Roman"/>
          <w:sz w:val="24"/>
          <w:szCs w:val="24"/>
        </w:rPr>
        <w:t xml:space="preserve">), </w:t>
      </w:r>
      <w:r w:rsidR="005B3912" w:rsidRPr="0061102A">
        <w:rPr>
          <w:rFonts w:ascii="Palatino Linotype" w:hAnsi="Palatino Linotype" w:cs="Times New Roman"/>
          <w:sz w:val="24"/>
          <w:szCs w:val="24"/>
        </w:rPr>
        <w:t>double semi circles</w:t>
      </w:r>
      <w:r w:rsidR="00E330C1" w:rsidRPr="0061102A">
        <w:rPr>
          <w:rFonts w:ascii="Palatino Linotype" w:hAnsi="Palatino Linotype" w:cs="Times New Roman"/>
          <w:sz w:val="24"/>
          <w:szCs w:val="24"/>
        </w:rPr>
        <w:t xml:space="preserve"> were observed Figure 2</w:t>
      </w:r>
      <w:r w:rsidR="002F62CA" w:rsidRPr="0061102A">
        <w:rPr>
          <w:rFonts w:ascii="Palatino Linotype" w:hAnsi="Palatino Linotype" w:cs="Times New Roman"/>
          <w:sz w:val="24"/>
          <w:szCs w:val="24"/>
        </w:rPr>
        <w:t>4</w:t>
      </w:r>
      <w:r w:rsidR="00E330C1" w:rsidRPr="0061102A">
        <w:rPr>
          <w:rFonts w:ascii="Palatino Linotype" w:hAnsi="Palatino Linotype" w:cs="Times New Roman"/>
          <w:sz w:val="24"/>
          <w:szCs w:val="24"/>
        </w:rPr>
        <w:t xml:space="preserve"> (A), indicating that there might have been an incomplete formation of the MCH backfill after incubating the probe solution. </w:t>
      </w:r>
      <w:r w:rsidR="005867D3" w:rsidRPr="0061102A">
        <w:rPr>
          <w:rFonts w:ascii="Palatino Linotype" w:hAnsi="Palatino Linotype" w:cs="Times New Roman"/>
          <w:sz w:val="24"/>
          <w:szCs w:val="24"/>
        </w:rPr>
        <w:t>This effect was again only observed in an electrode that was cleaned by dipping suggesting that cleaning by cycling might provide a homogenous surface that allows for efficient SAM formation</w:t>
      </w:r>
      <w:r w:rsidR="005867D3" w:rsidRPr="005B1CCB">
        <w:rPr>
          <w:rFonts w:ascii="Palatino Linotype" w:hAnsi="Palatino Linotype" w:cs="Times New Roman"/>
          <w:sz w:val="24"/>
          <w:szCs w:val="24"/>
        </w:rPr>
        <w:t>.</w:t>
      </w:r>
      <w:r w:rsidR="002F62CA" w:rsidRPr="005B1CCB">
        <w:rPr>
          <w:rFonts w:ascii="Palatino Linotype" w:hAnsi="Palatino Linotype" w:cs="Times New Roman"/>
          <w:sz w:val="24"/>
          <w:szCs w:val="24"/>
        </w:rPr>
        <w:t xml:space="preserve"> </w:t>
      </w:r>
      <w:r w:rsidR="005A625A" w:rsidRPr="005B1CCB">
        <w:rPr>
          <w:rFonts w:ascii="Palatino Linotype" w:hAnsi="Palatino Linotype" w:cs="Times New Roman"/>
          <w:sz w:val="24"/>
          <w:szCs w:val="24"/>
        </w:rPr>
        <w:t>An increase in R</w:t>
      </w:r>
      <w:r w:rsidR="005A625A" w:rsidRPr="005B1CCB">
        <w:rPr>
          <w:rFonts w:ascii="Palatino Linotype" w:hAnsi="Palatino Linotype" w:cs="Times New Roman"/>
          <w:sz w:val="24"/>
          <w:szCs w:val="24"/>
          <w:vertAlign w:val="subscript"/>
        </w:rPr>
        <w:t>CT</w:t>
      </w:r>
      <w:r w:rsidR="005A625A" w:rsidRPr="005B1CCB">
        <w:rPr>
          <w:rFonts w:ascii="Palatino Linotype" w:hAnsi="Palatino Linotype" w:cs="Times New Roman"/>
          <w:sz w:val="24"/>
          <w:szCs w:val="24"/>
        </w:rPr>
        <w:t xml:space="preserve"> is </w:t>
      </w:r>
      <w:r w:rsidR="00B022FD" w:rsidRPr="005B1CCB">
        <w:rPr>
          <w:rFonts w:ascii="Palatino Linotype" w:hAnsi="Palatino Linotype" w:cs="Times New Roman"/>
          <w:sz w:val="24"/>
          <w:szCs w:val="24"/>
        </w:rPr>
        <w:t xml:space="preserve">also </w:t>
      </w:r>
      <w:r w:rsidR="005A625A" w:rsidRPr="005B1CCB">
        <w:rPr>
          <w:rFonts w:ascii="Palatino Linotype" w:hAnsi="Palatino Linotype" w:cs="Times New Roman"/>
          <w:sz w:val="24"/>
          <w:szCs w:val="24"/>
        </w:rPr>
        <w:t>observed when the wild</w:t>
      </w:r>
      <w:r w:rsidR="00B26F19" w:rsidRPr="005B1CCB">
        <w:rPr>
          <w:rFonts w:ascii="Palatino Linotype" w:hAnsi="Palatino Linotype" w:cs="Times New Roman"/>
          <w:sz w:val="24"/>
          <w:szCs w:val="24"/>
        </w:rPr>
        <w:t>-</w:t>
      </w:r>
      <w:r w:rsidR="005A625A" w:rsidRPr="005B1CCB">
        <w:rPr>
          <w:rFonts w:ascii="Palatino Linotype" w:hAnsi="Palatino Linotype" w:cs="Times New Roman"/>
          <w:sz w:val="24"/>
          <w:szCs w:val="24"/>
        </w:rPr>
        <w:t xml:space="preserve">type probe binds to </w:t>
      </w:r>
      <w:r w:rsidR="00B43A5F" w:rsidRPr="005B1CCB">
        <w:rPr>
          <w:rFonts w:ascii="Palatino Linotype" w:hAnsi="Palatino Linotype" w:cs="Times New Roman"/>
          <w:sz w:val="24"/>
          <w:szCs w:val="24"/>
        </w:rPr>
        <w:t xml:space="preserve">both </w:t>
      </w:r>
      <w:r w:rsidR="005A625A" w:rsidRPr="005B1CCB">
        <w:rPr>
          <w:rFonts w:ascii="Palatino Linotype" w:hAnsi="Palatino Linotype" w:cs="Times New Roman"/>
          <w:sz w:val="24"/>
          <w:szCs w:val="24"/>
        </w:rPr>
        <w:t>the wild</w:t>
      </w:r>
      <w:r w:rsidR="000760A4" w:rsidRPr="005B1CCB">
        <w:rPr>
          <w:rFonts w:ascii="Palatino Linotype" w:hAnsi="Palatino Linotype" w:cs="Times New Roman"/>
          <w:sz w:val="24"/>
          <w:szCs w:val="24"/>
        </w:rPr>
        <w:t>-</w:t>
      </w:r>
      <w:r w:rsidR="005A625A" w:rsidRPr="005B1CCB">
        <w:rPr>
          <w:rFonts w:ascii="Palatino Linotype" w:hAnsi="Palatino Linotype" w:cs="Times New Roman"/>
          <w:sz w:val="24"/>
          <w:szCs w:val="24"/>
        </w:rPr>
        <w:t xml:space="preserve">type </w:t>
      </w:r>
      <w:r w:rsidR="00B43A5F" w:rsidRPr="005B1CCB">
        <w:rPr>
          <w:rFonts w:ascii="Palatino Linotype" w:hAnsi="Palatino Linotype" w:cs="Times New Roman"/>
          <w:sz w:val="24"/>
          <w:szCs w:val="24"/>
        </w:rPr>
        <w:t xml:space="preserve">and </w:t>
      </w:r>
      <w:r w:rsidR="00632124" w:rsidRPr="005B1CCB">
        <w:rPr>
          <w:rFonts w:ascii="Palatino Linotype" w:hAnsi="Palatino Linotype" w:cs="Times New Roman"/>
          <w:sz w:val="24"/>
          <w:szCs w:val="24"/>
        </w:rPr>
        <w:t xml:space="preserve">mutant </w:t>
      </w:r>
      <w:r w:rsidR="005A625A" w:rsidRPr="005B1CCB">
        <w:rPr>
          <w:rFonts w:ascii="Palatino Linotype" w:hAnsi="Palatino Linotype" w:cs="Times New Roman"/>
          <w:sz w:val="24"/>
          <w:szCs w:val="24"/>
        </w:rPr>
        <w:t>target</w:t>
      </w:r>
      <w:r w:rsidR="000760A4" w:rsidRPr="005B1CCB">
        <w:rPr>
          <w:rFonts w:ascii="Palatino Linotype" w:hAnsi="Palatino Linotype" w:cs="Times New Roman"/>
          <w:sz w:val="24"/>
          <w:szCs w:val="24"/>
        </w:rPr>
        <w:t xml:space="preserve"> </w:t>
      </w:r>
      <w:r w:rsidR="00B43A5F" w:rsidRPr="005B1CCB">
        <w:rPr>
          <w:rFonts w:ascii="Palatino Linotype" w:hAnsi="Palatino Linotype" w:cs="Times New Roman"/>
          <w:sz w:val="24"/>
          <w:szCs w:val="24"/>
        </w:rPr>
        <w:t>but a higher char</w:t>
      </w:r>
      <w:r w:rsidR="00B022FD" w:rsidRPr="005B1CCB">
        <w:rPr>
          <w:rFonts w:ascii="Palatino Linotype" w:hAnsi="Palatino Linotype" w:cs="Times New Roman"/>
          <w:sz w:val="24"/>
          <w:szCs w:val="24"/>
        </w:rPr>
        <w:t>ge transfer resistance is noted</w:t>
      </w:r>
      <w:r w:rsidR="00B43A5F" w:rsidRPr="005B1CCB">
        <w:rPr>
          <w:rFonts w:ascii="Palatino Linotype" w:hAnsi="Palatino Linotype" w:cs="Times New Roman"/>
          <w:sz w:val="24"/>
          <w:szCs w:val="24"/>
        </w:rPr>
        <w:t xml:space="preserve"> </w:t>
      </w:r>
      <w:r w:rsidR="00632124" w:rsidRPr="005B1CCB">
        <w:rPr>
          <w:rFonts w:ascii="Palatino Linotype" w:hAnsi="Palatino Linotype" w:cs="Times New Roman"/>
          <w:sz w:val="24"/>
          <w:szCs w:val="24"/>
        </w:rPr>
        <w:t xml:space="preserve">in </w:t>
      </w:r>
      <w:r w:rsidR="00B43A5F" w:rsidRPr="005B1CCB">
        <w:rPr>
          <w:rFonts w:ascii="Palatino Linotype" w:hAnsi="Palatino Linotype" w:cs="Times New Roman"/>
          <w:sz w:val="24"/>
          <w:szCs w:val="24"/>
        </w:rPr>
        <w:t xml:space="preserve">the complementary wild-type hybridisation </w:t>
      </w:r>
      <w:r w:rsidR="000760A4" w:rsidRPr="005B1CCB">
        <w:rPr>
          <w:rFonts w:ascii="Palatino Linotype" w:hAnsi="Palatino Linotype" w:cs="Times New Roman"/>
          <w:sz w:val="24"/>
          <w:szCs w:val="24"/>
        </w:rPr>
        <w:t>confirming the ability of the sensor chip to detect the one-base mismatch</w:t>
      </w:r>
      <w:r w:rsidR="005A625A" w:rsidRPr="005B1CCB">
        <w:rPr>
          <w:rFonts w:ascii="Palatino Linotype" w:hAnsi="Palatino Linotype" w:cs="Times New Roman"/>
          <w:sz w:val="24"/>
          <w:szCs w:val="24"/>
        </w:rPr>
        <w:t xml:space="preserve">. </w:t>
      </w:r>
    </w:p>
    <w:p w14:paraId="43BAE87A" w14:textId="77777777" w:rsidR="00AA6DF9" w:rsidRPr="005B1CCB" w:rsidRDefault="00310646" w:rsidP="0052183A">
      <w:pPr>
        <w:spacing w:line="360" w:lineRule="auto"/>
        <w:jc w:val="both"/>
        <w:rPr>
          <w:rFonts w:ascii="Palatino Linotype" w:eastAsia="Times New Roman" w:hAnsi="Palatino Linotype" w:cs="Times New Roman"/>
          <w:sz w:val="24"/>
          <w:szCs w:val="24"/>
          <w:lang w:val="en-US"/>
        </w:rPr>
      </w:pPr>
      <w:r w:rsidRPr="005B1CCB">
        <w:rPr>
          <w:rFonts w:ascii="Palatino Linotype" w:hAnsi="Palatino Linotype" w:cs="Times New Roman"/>
          <w:sz w:val="24"/>
          <w:szCs w:val="24"/>
        </w:rPr>
        <w:t xml:space="preserve">     </w:t>
      </w:r>
    </w:p>
    <w:p w14:paraId="74757A44" w14:textId="77777777" w:rsidR="00007C8C" w:rsidRPr="005B1CCB" w:rsidRDefault="00AD7400" w:rsidP="00906FF4">
      <w:pPr>
        <w:spacing w:line="360" w:lineRule="auto"/>
        <w:jc w:val="both"/>
        <w:rPr>
          <w:rFonts w:ascii="Palatino Linotype" w:eastAsia="Times New Roman" w:hAnsi="Palatino Linotype" w:cs="Times New Roman"/>
          <w:sz w:val="24"/>
          <w:szCs w:val="24"/>
          <w:lang w:val="en-US"/>
        </w:rPr>
      </w:pPr>
      <w:r w:rsidRPr="005B1CCB">
        <w:rPr>
          <w:noProof/>
          <w:lang w:eastAsia="en-GB"/>
        </w:rPr>
        <w:drawing>
          <wp:inline distT="0" distB="0" distL="0" distR="0" wp14:anchorId="47BB4CB4" wp14:editId="777A804F">
            <wp:extent cx="5954782" cy="4248150"/>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0000"/>
                              </a14:imgEffect>
                              <a14:imgEffect>
                                <a14:brightnessContrast bright="2000"/>
                              </a14:imgEffect>
                            </a14:imgLayer>
                          </a14:imgProps>
                        </a:ext>
                      </a:extLst>
                    </a:blip>
                    <a:stretch>
                      <a:fillRect/>
                    </a:stretch>
                  </pic:blipFill>
                  <pic:spPr>
                    <a:xfrm>
                      <a:off x="0" y="0"/>
                      <a:ext cx="5957164" cy="4249849"/>
                    </a:xfrm>
                    <a:prstGeom prst="rect">
                      <a:avLst/>
                    </a:prstGeom>
                  </pic:spPr>
                </pic:pic>
              </a:graphicData>
            </a:graphic>
          </wp:inline>
        </w:drawing>
      </w:r>
    </w:p>
    <w:p w14:paraId="59E07CC3" w14:textId="6F3C3758" w:rsidR="00961874" w:rsidRPr="005B1CCB" w:rsidRDefault="00007C8C" w:rsidP="00EA7438">
      <w:pPr>
        <w:pStyle w:val="Caption"/>
        <w:jc w:val="center"/>
        <w:rPr>
          <w:sz w:val="22"/>
          <w:szCs w:val="22"/>
        </w:rPr>
      </w:pPr>
      <w:bookmarkStart w:id="116" w:name="_Toc84519619"/>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24</w:t>
      </w:r>
      <w:r w:rsidRPr="005B1CCB">
        <w:rPr>
          <w:sz w:val="22"/>
          <w:szCs w:val="22"/>
        </w:rPr>
        <w:fldChar w:fldCharType="end"/>
      </w:r>
      <w:r w:rsidRPr="005B1CCB">
        <w:rPr>
          <w:sz w:val="22"/>
          <w:szCs w:val="22"/>
        </w:rPr>
        <w:t xml:space="preserve">: EIS measurements for </w:t>
      </w:r>
      <w:r w:rsidR="004402A2">
        <w:rPr>
          <w:sz w:val="22"/>
          <w:szCs w:val="22"/>
        </w:rPr>
        <w:t>wild-type p53 synthetic oligonucleotide</w:t>
      </w:r>
      <w:r w:rsidRPr="005B1CCB">
        <w:rPr>
          <w:sz w:val="22"/>
          <w:szCs w:val="22"/>
        </w:rPr>
        <w:t xml:space="preserve"> binding (16 hours incubation) </w:t>
      </w:r>
      <w:r w:rsidR="009C6251" w:rsidRPr="005B1CCB">
        <w:rPr>
          <w:sz w:val="22"/>
          <w:szCs w:val="22"/>
        </w:rPr>
        <w:t>– (A) and (B) shows complementary hybridisation, (C) and (D) shows non-complementary hybridisation. (A) and (C) shows pre-treatment by dipping in H</w:t>
      </w:r>
      <w:r w:rsidR="009C6251" w:rsidRPr="005B1CCB">
        <w:rPr>
          <w:sz w:val="22"/>
          <w:szCs w:val="22"/>
          <w:vertAlign w:val="subscript"/>
        </w:rPr>
        <w:t>2</w:t>
      </w:r>
      <w:r w:rsidR="009C6251" w:rsidRPr="005B1CCB">
        <w:rPr>
          <w:sz w:val="22"/>
          <w:szCs w:val="22"/>
        </w:rPr>
        <w:t>SO</w:t>
      </w:r>
      <w:r w:rsidR="009C6251" w:rsidRPr="005B1CCB">
        <w:rPr>
          <w:sz w:val="22"/>
          <w:szCs w:val="22"/>
          <w:vertAlign w:val="subscript"/>
        </w:rPr>
        <w:t>4</w:t>
      </w:r>
      <w:r w:rsidR="009C6251" w:rsidRPr="005B1CCB">
        <w:rPr>
          <w:sz w:val="22"/>
          <w:szCs w:val="22"/>
        </w:rPr>
        <w:t xml:space="preserve"> while (B) and (D) shows pre-treatment by cycling in H</w:t>
      </w:r>
      <w:r w:rsidR="009C6251" w:rsidRPr="005B1CCB">
        <w:rPr>
          <w:sz w:val="22"/>
          <w:szCs w:val="22"/>
          <w:vertAlign w:val="subscript"/>
        </w:rPr>
        <w:t>2</w:t>
      </w:r>
      <w:r w:rsidR="009C6251" w:rsidRPr="005B1CCB">
        <w:rPr>
          <w:sz w:val="22"/>
          <w:szCs w:val="22"/>
        </w:rPr>
        <w:t>SO</w:t>
      </w:r>
      <w:r w:rsidR="009C6251" w:rsidRPr="005B1CCB">
        <w:rPr>
          <w:sz w:val="22"/>
          <w:szCs w:val="22"/>
          <w:vertAlign w:val="subscript"/>
        </w:rPr>
        <w:t>4</w:t>
      </w:r>
      <w:r w:rsidR="009C6251" w:rsidRPr="005B1CCB">
        <w:rPr>
          <w:sz w:val="22"/>
          <w:szCs w:val="22"/>
        </w:rPr>
        <w:t>.</w:t>
      </w:r>
      <w:bookmarkEnd w:id="116"/>
    </w:p>
    <w:p w14:paraId="141F1AA3" w14:textId="77777777" w:rsidR="007E24ED" w:rsidRPr="005B1CCB" w:rsidRDefault="007E24ED" w:rsidP="007E24ED">
      <w:pPr>
        <w:spacing w:line="360" w:lineRule="auto"/>
        <w:jc w:val="both"/>
        <w:rPr>
          <w:rFonts w:ascii="Palatino Linotype" w:hAnsi="Palatino Linotype" w:cs="Times New Roman"/>
          <w:sz w:val="24"/>
          <w:szCs w:val="24"/>
        </w:rPr>
      </w:pPr>
    </w:p>
    <w:p w14:paraId="084D91DF" w14:textId="5C8D2CB4" w:rsidR="007E24ED" w:rsidRPr="005B1CCB" w:rsidRDefault="007E24ED" w:rsidP="007E24ED">
      <w:pPr>
        <w:spacing w:line="360" w:lineRule="auto"/>
        <w:jc w:val="both"/>
        <w:rPr>
          <w:rFonts w:ascii="Palatino Linotype" w:eastAsia="Times New Roman" w:hAnsi="Palatino Linotype" w:cs="Times New Roman"/>
          <w:sz w:val="24"/>
          <w:szCs w:val="24"/>
          <w:lang w:val="en-US"/>
        </w:rPr>
      </w:pPr>
      <w:r w:rsidRPr="005B1CCB">
        <w:rPr>
          <w:rFonts w:ascii="Palatino Linotype" w:hAnsi="Palatino Linotype" w:cs="Times New Roman"/>
          <w:sz w:val="24"/>
          <w:szCs w:val="24"/>
        </w:rPr>
        <w:t xml:space="preserve">   </w:t>
      </w:r>
      <w:r w:rsidRPr="0061102A">
        <w:rPr>
          <w:rFonts w:ascii="Palatino Linotype" w:hAnsi="Palatino Linotype" w:cs="Times New Roman"/>
          <w:sz w:val="24"/>
          <w:szCs w:val="24"/>
        </w:rPr>
        <w:t>Overall, the incubation time also had an effect on all the results.</w:t>
      </w:r>
      <w:r w:rsidRPr="005B1CCB">
        <w:rPr>
          <w:rFonts w:ascii="Palatino Linotype" w:hAnsi="Palatino Linotype" w:cs="Times New Roman"/>
          <w:sz w:val="24"/>
          <w:szCs w:val="24"/>
        </w:rPr>
        <w:t xml:space="preserve"> </w:t>
      </w:r>
      <w:r w:rsidR="0090487F" w:rsidRPr="005B1CCB">
        <w:rPr>
          <w:rFonts w:ascii="Palatino Linotype" w:hAnsi="Palatino Linotype" w:cs="Times New Roman"/>
          <w:sz w:val="24"/>
          <w:szCs w:val="24"/>
        </w:rPr>
        <w:t xml:space="preserve">Studies carried out by Corrigan et al showed that factors such as heating the DNA sample for 10 minutes prior to incubation, and adding more DNA between measurements unto the electrode surface showed a proportional increase in EIS signal </w:t>
      </w:r>
      <w:r w:rsidR="0090487F"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{"citationItems":[{"id":"ITEM-1","itemData":{"DOI":"10.1016/j.jelechem.2016.12.050","ISSN":"1572-6657","author":[{"dropping-particle":"","family":"Corrigan","given":"D K","non-dropping-particle":"","parse-names":false,"suffix":""},{"dropping-particle":"","family":"Schulze","given":"H","non-dropping-particle":"","parse-names":false,"suffix":""},{"dropping-particle":"","family":"Ciani","given":"I","non-dropping-particle":"","parse-names":false,"suffix":""},{"dropping-particle":"","family":"Henihan","given":"G","non-dropping-particle":"","parse-names":false,"suffix":""},{"dropping-particle":"","family":"Mount","given":"A R","non-dropping-particle":"","parse-names":false,"suffix":""},{"dropping-particle":"","family":"Bachmann","given":"T T","non-dropping-particle":"","parse-names":false,"suffix":""}],"container-title":"Journal of Electroanalytical Chemistry","id":"ITEM-1","issued":{"date-parts":[["2017"]]},"page":"58-62","publisher":"Elsevier B.V.","title":"Improving performance of a rapid electrochemical MRSA assay : Optimisation of assay conditions to achieve enhanced discrimination of clinically important DNA sequences under ambient conditions","type":"article-journal","volume":"786"},"uris":["http://www.mendeley.com/documents/?uuid=a3b2477e-3db2-41f0-870d-49298e2dee5f"]}],"mendeley":{"formattedCitation":"[217]","plainTextFormattedCitation":"[217]","previouslyFormattedCitation":"[217]"},"properties":{"noteIndex":0},"schema":"https://github.com/citation-style-language/schema/raw/master/csl-citation.json"}</w:instrText>
      </w:r>
      <w:r w:rsidR="0090487F"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[217]</w:t>
      </w:r>
      <w:r w:rsidR="0090487F" w:rsidRPr="005B1CCB">
        <w:rPr>
          <w:rFonts w:ascii="Palatino Linotype" w:hAnsi="Palatino Linotype" w:cs="Times New Roman"/>
          <w:sz w:val="24"/>
          <w:szCs w:val="24"/>
        </w:rPr>
        <w:fldChar w:fldCharType="end"/>
      </w:r>
      <w:r w:rsidR="0090487F" w:rsidRPr="005B1CCB">
        <w:rPr>
          <w:rFonts w:ascii="Palatino Linotype" w:hAnsi="Palatino Linotype" w:cs="Times New Roman"/>
          <w:sz w:val="24"/>
          <w:szCs w:val="24"/>
        </w:rPr>
        <w:t xml:space="preserve">. </w:t>
      </w:r>
      <w:r w:rsidRPr="005B1CCB">
        <w:rPr>
          <w:rFonts w:ascii="Palatino Linotype" w:eastAsia="Times New Roman" w:hAnsi="Palatino Linotype" w:cs="Times New Roman"/>
          <w:sz w:val="24"/>
          <w:szCs w:val="24"/>
          <w:lang w:val="en-US"/>
        </w:rPr>
        <w:t>The R</w:t>
      </w:r>
      <w:r w:rsidRPr="005B1CCB">
        <w:rPr>
          <w:rFonts w:ascii="Palatino Linotype" w:eastAsia="Times New Roman" w:hAnsi="Palatino Linotype" w:cs="Times New Roman"/>
          <w:sz w:val="24"/>
          <w:szCs w:val="24"/>
          <w:vertAlign w:val="subscript"/>
          <w:lang w:val="en-US"/>
        </w:rPr>
        <w:t>CT</w:t>
      </w:r>
      <w:r w:rsidRPr="005B1CCB">
        <w:rPr>
          <w:rFonts w:ascii="Palatino Linotype" w:eastAsia="Times New Roman" w:hAnsi="Palatino Linotype" w:cs="Times New Roman"/>
          <w:sz w:val="24"/>
          <w:szCs w:val="24"/>
          <w:lang w:val="en-US"/>
        </w:rPr>
        <w:t xml:space="preserve"> values and Warburg diffusion coefficient obtained after incubating the DNA probe on the surface of the SPE for </w:t>
      </w:r>
      <w:r w:rsidRPr="0061102A">
        <w:rPr>
          <w:rFonts w:ascii="Palatino Linotype" w:eastAsia="Times New Roman" w:hAnsi="Palatino Linotype" w:cs="Times New Roman"/>
          <w:sz w:val="24"/>
          <w:szCs w:val="24"/>
          <w:lang w:val="en-US"/>
        </w:rPr>
        <w:t xml:space="preserve">16 hours </w:t>
      </w:r>
      <w:r w:rsidR="002F62CA" w:rsidRPr="0061102A">
        <w:rPr>
          <w:rFonts w:ascii="Palatino Linotype" w:eastAsia="Times New Roman" w:hAnsi="Palatino Linotype" w:cs="Times New Roman"/>
          <w:sz w:val="24"/>
          <w:szCs w:val="24"/>
          <w:lang w:val="en-US"/>
        </w:rPr>
        <w:t xml:space="preserve">(Figure 24) </w:t>
      </w:r>
      <w:r w:rsidRPr="0061102A">
        <w:rPr>
          <w:rFonts w:ascii="Palatino Linotype" w:hAnsi="Palatino Linotype" w:cs="Times New Roman"/>
          <w:sz w:val="24"/>
          <w:szCs w:val="24"/>
        </w:rPr>
        <w:t>showed a better hybridisation efficiency and response</w:t>
      </w:r>
      <w:r w:rsidRPr="0061102A">
        <w:rPr>
          <w:rFonts w:ascii="Palatino Linotype" w:eastAsia="Times New Roman" w:hAnsi="Palatino Linotype" w:cs="Times New Roman"/>
          <w:sz w:val="24"/>
          <w:szCs w:val="24"/>
          <w:lang w:val="en-US"/>
        </w:rPr>
        <w:t xml:space="preserve"> compared to the R</w:t>
      </w:r>
      <w:r w:rsidRPr="0061102A">
        <w:rPr>
          <w:rFonts w:ascii="Palatino Linotype" w:eastAsia="Times New Roman" w:hAnsi="Palatino Linotype" w:cs="Times New Roman"/>
          <w:sz w:val="24"/>
          <w:szCs w:val="24"/>
          <w:vertAlign w:val="subscript"/>
          <w:lang w:val="en-US"/>
        </w:rPr>
        <w:t xml:space="preserve">CT </w:t>
      </w:r>
      <w:r w:rsidRPr="0061102A">
        <w:rPr>
          <w:rFonts w:ascii="Palatino Linotype" w:eastAsia="Times New Roman" w:hAnsi="Palatino Linotype" w:cs="Times New Roman"/>
          <w:sz w:val="24"/>
          <w:szCs w:val="24"/>
          <w:lang w:val="en-US"/>
        </w:rPr>
        <w:t>values from the 1-hour incubation</w:t>
      </w:r>
      <w:r w:rsidRPr="005B1CCB">
        <w:rPr>
          <w:rFonts w:ascii="Palatino Linotype" w:eastAsia="Times New Roman" w:hAnsi="Palatino Linotype" w:cs="Times New Roman"/>
          <w:sz w:val="24"/>
          <w:szCs w:val="24"/>
          <w:lang w:val="en-US"/>
        </w:rPr>
        <w:t xml:space="preserve"> as shown in </w:t>
      </w:r>
      <w:r w:rsidR="002F62CA" w:rsidRPr="005B1CCB">
        <w:rPr>
          <w:rFonts w:ascii="Palatino Linotype" w:eastAsia="Times New Roman" w:hAnsi="Palatino Linotype" w:cs="Times New Roman"/>
          <w:sz w:val="24"/>
          <w:szCs w:val="24"/>
          <w:lang w:val="en-US"/>
        </w:rPr>
        <w:t>(</w:t>
      </w:r>
      <w:r w:rsidRPr="005B1CCB">
        <w:rPr>
          <w:rFonts w:ascii="Palatino Linotype" w:eastAsia="Times New Roman" w:hAnsi="Palatino Linotype" w:cs="Times New Roman"/>
          <w:sz w:val="24"/>
          <w:szCs w:val="24"/>
          <w:lang w:val="en-US"/>
        </w:rPr>
        <w:t>Figure 23</w:t>
      </w:r>
      <w:r w:rsidR="002F62CA" w:rsidRPr="005B1CCB">
        <w:rPr>
          <w:rFonts w:ascii="Palatino Linotype" w:eastAsia="Times New Roman" w:hAnsi="Palatino Linotype" w:cs="Times New Roman"/>
          <w:sz w:val="24"/>
          <w:szCs w:val="24"/>
          <w:lang w:val="en-US"/>
        </w:rPr>
        <w:t>)</w:t>
      </w:r>
      <w:r w:rsidRPr="005B1CCB">
        <w:rPr>
          <w:rFonts w:ascii="Palatino Linotype" w:eastAsia="Times New Roman" w:hAnsi="Palatino Linotype" w:cs="Times New Roman"/>
          <w:sz w:val="24"/>
          <w:szCs w:val="24"/>
          <w:lang w:val="en-US"/>
        </w:rPr>
        <w:t xml:space="preserve">. </w:t>
      </w:r>
      <w:r w:rsidRPr="0061102A">
        <w:rPr>
          <w:rFonts w:ascii="Palatino Linotype" w:hAnsi="Palatino Linotype" w:cs="Times New Roman"/>
          <w:sz w:val="24"/>
          <w:szCs w:val="24"/>
        </w:rPr>
        <w:t>It is however important to note that the electrodes incubated for 1 hour also displayed a good hybridisation and response suggesting that a 1-hour incubation time could be adopted subsequently in order to optimise time to result which is essential for a point of care sensor.</w:t>
      </w:r>
      <w:r w:rsidRPr="005B1CCB">
        <w:rPr>
          <w:rFonts w:ascii="Palatino Linotype" w:eastAsia="Times New Roman" w:hAnsi="Palatino Linotype" w:cs="Times New Roman"/>
          <w:sz w:val="24"/>
          <w:szCs w:val="24"/>
          <w:lang w:val="en-US"/>
        </w:rPr>
        <w:t xml:space="preserve">   </w:t>
      </w:r>
    </w:p>
    <w:p w14:paraId="22E1C366" w14:textId="77777777" w:rsidR="00B43A5F" w:rsidRPr="005B1CCB" w:rsidRDefault="00B43A5F" w:rsidP="00B43A5F">
      <w:pPr>
        <w:rPr>
          <w:rFonts w:ascii="Palatino Linotype" w:hAnsi="Palatino Linotype"/>
          <w:sz w:val="24"/>
          <w:szCs w:val="24"/>
        </w:rPr>
      </w:pPr>
    </w:p>
    <w:p w14:paraId="4A11DA0D" w14:textId="77777777" w:rsidR="0028752F" w:rsidRPr="005B1CCB" w:rsidRDefault="0028752F" w:rsidP="00D71969">
      <w:pPr>
        <w:pStyle w:val="Heading3"/>
        <w:rPr>
          <w:lang w:val="en-US"/>
        </w:rPr>
      </w:pPr>
      <w:bookmarkStart w:id="117" w:name="_Toc84528096"/>
      <w:r w:rsidRPr="005B1CCB">
        <w:rPr>
          <w:lang w:val="en-US"/>
        </w:rPr>
        <w:t>Electro-active surface analysis</w:t>
      </w:r>
      <w:bookmarkEnd w:id="117"/>
    </w:p>
    <w:p w14:paraId="29E6EED4" w14:textId="77777777" w:rsidR="00764D3F" w:rsidRPr="005B1CCB" w:rsidRDefault="001A6890" w:rsidP="00C573E3">
      <w:pPr>
        <w:spacing w:line="360" w:lineRule="auto"/>
        <w:jc w:val="both"/>
        <w:rPr>
          <w:rFonts w:ascii="Palatino Linotype" w:hAnsi="Palatino Linotype"/>
          <w:sz w:val="24"/>
          <w:szCs w:val="24"/>
          <w:lang w:val="en-US" w:bidi="en-US"/>
        </w:rPr>
      </w:pPr>
      <w:r w:rsidRPr="005B1CCB">
        <w:rPr>
          <w:rFonts w:ascii="Palatino Linotype" w:hAnsi="Palatino Linotype"/>
          <w:sz w:val="24"/>
          <w:szCs w:val="24"/>
          <w:lang w:val="en-US" w:bidi="en-US"/>
        </w:rPr>
        <w:t xml:space="preserve">   </w:t>
      </w:r>
      <w:r w:rsidR="00764D3F" w:rsidRPr="005B1CCB">
        <w:rPr>
          <w:rFonts w:ascii="Palatino Linotype" w:hAnsi="Palatino Linotype"/>
          <w:sz w:val="24"/>
          <w:szCs w:val="24"/>
          <w:lang w:val="en-US" w:bidi="en-US"/>
        </w:rPr>
        <w:t>A linear</w:t>
      </w:r>
      <w:r w:rsidR="005C74B4" w:rsidRPr="005B1CCB">
        <w:rPr>
          <w:rFonts w:ascii="Palatino Linotype" w:hAnsi="Palatino Linotype"/>
          <w:sz w:val="24"/>
          <w:szCs w:val="24"/>
          <w:lang w:val="en-US" w:bidi="en-US"/>
        </w:rPr>
        <w:t xml:space="preserve"> plot showing </w:t>
      </w:r>
      <w:r w:rsidR="005C74B4" w:rsidRPr="0061102A">
        <w:rPr>
          <w:rFonts w:ascii="Palatino Linotype" w:hAnsi="Palatino Linotype"/>
          <w:sz w:val="24"/>
          <w:szCs w:val="24"/>
          <w:lang w:val="en-US" w:bidi="en-US"/>
        </w:rPr>
        <w:t>peak current against the square root of the sweep current applied in CV measurements provides evidence of a chemically reversible redox process</w:t>
      </w:r>
      <w:r w:rsidR="005C74B4" w:rsidRPr="005B1CCB">
        <w:rPr>
          <w:rFonts w:ascii="Palatino Linotype" w:hAnsi="Palatino Linotype"/>
          <w:sz w:val="24"/>
          <w:szCs w:val="24"/>
          <w:lang w:val="en-US" w:bidi="en-US"/>
        </w:rPr>
        <w:t xml:space="preserve"> compared to situations where redox causes major structural change in an analyte. </w:t>
      </w:r>
      <w:r w:rsidR="005C74B4" w:rsidRPr="0061102A">
        <w:rPr>
          <w:rFonts w:ascii="Palatino Linotype" w:hAnsi="Palatino Linotype"/>
          <w:sz w:val="24"/>
          <w:szCs w:val="24"/>
          <w:lang w:val="en-US" w:bidi="en-US"/>
        </w:rPr>
        <w:t xml:space="preserve">From Figure 25, </w:t>
      </w:r>
      <w:r w:rsidRPr="0061102A">
        <w:rPr>
          <w:rFonts w:ascii="Palatino Linotype" w:hAnsi="Palatino Linotype"/>
          <w:sz w:val="24"/>
          <w:szCs w:val="24"/>
          <w:lang w:val="en-US" w:bidi="en-US"/>
        </w:rPr>
        <w:t xml:space="preserve">it is observed that the SPE used straight out of the box showed the least linear relationship. All the electrodes </w:t>
      </w:r>
      <w:r w:rsidRPr="00322D84">
        <w:rPr>
          <w:rFonts w:ascii="Palatino Linotype" w:hAnsi="Palatino Linotype"/>
          <w:sz w:val="24"/>
          <w:szCs w:val="24"/>
          <w:lang w:val="en-US" w:bidi="en-US"/>
        </w:rPr>
        <w:t xml:space="preserve">that were either </w:t>
      </w:r>
      <w:r w:rsidRPr="0061102A">
        <w:rPr>
          <w:rFonts w:ascii="Palatino Linotype" w:hAnsi="Palatino Linotype"/>
          <w:sz w:val="24"/>
          <w:szCs w:val="24"/>
          <w:lang w:val="en-US" w:bidi="en-US"/>
        </w:rPr>
        <w:t>dipped or cycled in sulphuric acid showed a linear increase in peak current as the sweep rate was increased.</w:t>
      </w:r>
      <w:r w:rsidRPr="005B1CCB">
        <w:rPr>
          <w:rFonts w:ascii="Palatino Linotype" w:hAnsi="Palatino Linotype"/>
          <w:sz w:val="24"/>
          <w:szCs w:val="24"/>
          <w:lang w:val="en-US" w:bidi="en-US"/>
        </w:rPr>
        <w:t xml:space="preserve"> </w:t>
      </w:r>
      <w:r w:rsidRPr="0061102A">
        <w:rPr>
          <w:rFonts w:ascii="Palatino Linotype" w:hAnsi="Palatino Linotype"/>
          <w:sz w:val="24"/>
          <w:szCs w:val="24"/>
          <w:lang w:val="en-US" w:bidi="en-US"/>
        </w:rPr>
        <w:t>This implies that peak currents obtained during electrochemical measurements do</w:t>
      </w:r>
      <w:r w:rsidR="00726149" w:rsidRPr="0061102A">
        <w:rPr>
          <w:rFonts w:ascii="Palatino Linotype" w:hAnsi="Palatino Linotype"/>
          <w:sz w:val="24"/>
          <w:szCs w:val="24"/>
          <w:lang w:val="en-US" w:bidi="en-US"/>
        </w:rPr>
        <w:t>es</w:t>
      </w:r>
      <w:r w:rsidRPr="0061102A">
        <w:rPr>
          <w:rFonts w:ascii="Palatino Linotype" w:hAnsi="Palatino Linotype"/>
          <w:sz w:val="24"/>
          <w:szCs w:val="24"/>
          <w:lang w:val="en-US" w:bidi="en-US"/>
        </w:rPr>
        <w:t xml:space="preserve"> not only depend on the concentration and diffusional properties of the electroactive surface but also on the scan rate.</w:t>
      </w:r>
    </w:p>
    <w:p w14:paraId="1B650725" w14:textId="77777777" w:rsidR="00764D3F" w:rsidRPr="005B1CCB" w:rsidRDefault="00764D3F" w:rsidP="00764D3F">
      <w:pPr>
        <w:keepNext/>
        <w:spacing w:line="360" w:lineRule="auto"/>
        <w:jc w:val="center"/>
      </w:pPr>
      <w:r w:rsidRPr="005B1CCB">
        <w:rPr>
          <w:rFonts w:ascii="Palatino Linotype" w:hAnsi="Palatino Linotype"/>
          <w:noProof/>
          <w:sz w:val="24"/>
          <w:szCs w:val="24"/>
          <w:lang w:eastAsia="en-GB"/>
        </w:rPr>
        <w:drawing>
          <wp:inline distT="0" distB="0" distL="0" distR="0" wp14:anchorId="31995E9F" wp14:editId="63CFC06B">
            <wp:extent cx="3289852" cy="3011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7246" r="12792" b="4112"/>
                    <a:stretch/>
                  </pic:blipFill>
                  <pic:spPr bwMode="auto">
                    <a:xfrm>
                      <a:off x="0" y="0"/>
                      <a:ext cx="3290274" cy="3011556"/>
                    </a:xfrm>
                    <a:prstGeom prst="rect">
                      <a:avLst/>
                    </a:prstGeom>
                    <a:noFill/>
                    <a:ln>
                      <a:noFill/>
                    </a:ln>
                    <a:extLst>
                      <a:ext uri="{53640926-AAD7-44D8-BBD7-CCE9431645EC}">
                        <a14:shadowObscured xmlns:a14="http://schemas.microsoft.com/office/drawing/2010/main"/>
                      </a:ext>
                    </a:extLst>
                  </pic:spPr>
                </pic:pic>
              </a:graphicData>
            </a:graphic>
          </wp:inline>
        </w:drawing>
      </w:r>
    </w:p>
    <w:p w14:paraId="0DCFDEE7" w14:textId="77777777" w:rsidR="00764D3F" w:rsidRPr="005B1CCB" w:rsidRDefault="00764D3F" w:rsidP="00764D3F">
      <w:pPr>
        <w:pStyle w:val="Caption"/>
        <w:jc w:val="center"/>
        <w:rPr>
          <w:sz w:val="22"/>
          <w:szCs w:val="22"/>
        </w:rPr>
      </w:pPr>
      <w:bookmarkStart w:id="118" w:name="_Toc84519620"/>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25</w:t>
      </w:r>
      <w:r w:rsidRPr="005B1CCB">
        <w:rPr>
          <w:sz w:val="22"/>
          <w:szCs w:val="22"/>
        </w:rPr>
        <w:fldChar w:fldCharType="end"/>
      </w:r>
      <w:r w:rsidRPr="005B1CCB">
        <w:rPr>
          <w:sz w:val="22"/>
          <w:szCs w:val="22"/>
        </w:rPr>
        <w:t xml:space="preserve">: CV </w:t>
      </w:r>
      <w:r w:rsidR="005C74B4" w:rsidRPr="005B1CCB">
        <w:rPr>
          <w:sz w:val="22"/>
          <w:szCs w:val="22"/>
        </w:rPr>
        <w:t>peak currents showing</w:t>
      </w:r>
      <w:r w:rsidR="001A6890" w:rsidRPr="005B1CCB">
        <w:rPr>
          <w:sz w:val="22"/>
          <w:szCs w:val="22"/>
        </w:rPr>
        <w:t xml:space="preserve"> a bare electrode and</w:t>
      </w:r>
      <w:r w:rsidR="005C74B4" w:rsidRPr="005B1CCB">
        <w:rPr>
          <w:sz w:val="22"/>
          <w:szCs w:val="22"/>
        </w:rPr>
        <w:t xml:space="preserve"> </w:t>
      </w:r>
      <w:r w:rsidR="001A6890" w:rsidRPr="005B1CCB">
        <w:rPr>
          <w:sz w:val="22"/>
          <w:szCs w:val="22"/>
        </w:rPr>
        <w:t>four</w:t>
      </w:r>
      <w:r w:rsidR="005C74B4" w:rsidRPr="005B1CCB">
        <w:rPr>
          <w:sz w:val="22"/>
          <w:szCs w:val="22"/>
        </w:rPr>
        <w:t xml:space="preserve"> different techniques for preparing gold SPEs at different scan r</w:t>
      </w:r>
      <w:r w:rsidR="001A6890" w:rsidRPr="005B1CCB">
        <w:rPr>
          <w:sz w:val="22"/>
          <w:szCs w:val="22"/>
        </w:rPr>
        <w:t>ates</w:t>
      </w:r>
      <w:bookmarkEnd w:id="118"/>
    </w:p>
    <w:p w14:paraId="7AA6E9D4" w14:textId="7A9DC890" w:rsidR="00611E66" w:rsidRDefault="00611E66" w:rsidP="00E71833">
      <w:pPr>
        <w:spacing w:line="360" w:lineRule="auto"/>
        <w:jc w:val="both"/>
        <w:rPr>
          <w:rFonts w:ascii="Palatino Linotype" w:hAnsi="Palatino Linotype"/>
          <w:b/>
          <w:sz w:val="24"/>
          <w:szCs w:val="24"/>
          <w:lang w:val="en-US" w:bidi="en-US"/>
        </w:rPr>
      </w:pPr>
    </w:p>
    <w:p w14:paraId="12242CC8" w14:textId="77777777" w:rsidR="008026E0" w:rsidRPr="005B1CCB" w:rsidRDefault="008026E0" w:rsidP="00E71833">
      <w:pPr>
        <w:spacing w:line="360" w:lineRule="auto"/>
        <w:jc w:val="both"/>
        <w:rPr>
          <w:rFonts w:ascii="Palatino Linotype" w:hAnsi="Palatino Linotype"/>
          <w:b/>
          <w:sz w:val="24"/>
          <w:szCs w:val="24"/>
          <w:lang w:val="en-US" w:bidi="en-US"/>
        </w:rPr>
      </w:pPr>
    </w:p>
    <w:p w14:paraId="706566C5" w14:textId="77777777" w:rsidR="00611E66" w:rsidRPr="005B1CCB" w:rsidRDefault="00611E66" w:rsidP="00611E66">
      <w:pPr>
        <w:pStyle w:val="Heading3"/>
        <w:rPr>
          <w:lang w:val="en-US"/>
        </w:rPr>
      </w:pPr>
      <w:bookmarkStart w:id="119" w:name="_Toc84528097"/>
      <w:r w:rsidRPr="005B1CCB">
        <w:rPr>
          <w:lang w:val="en-US"/>
        </w:rPr>
        <w:t>Diffusion Coefficients</w:t>
      </w:r>
      <w:bookmarkEnd w:id="119"/>
      <w:r w:rsidRPr="005B1CCB">
        <w:rPr>
          <w:lang w:val="en-US"/>
        </w:rPr>
        <w:t xml:space="preserve"> </w:t>
      </w:r>
    </w:p>
    <w:p w14:paraId="7D247E09" w14:textId="064D25A1" w:rsidR="00AF79D0" w:rsidRPr="005B1CCB" w:rsidRDefault="008B0063" w:rsidP="00AF79D0">
      <w:pPr>
        <w:spacing w:line="360" w:lineRule="auto"/>
        <w:jc w:val="both"/>
        <w:rPr>
          <w:rFonts w:ascii="Palatino Linotype" w:hAnsi="Palatino Linotype"/>
          <w:sz w:val="24"/>
          <w:szCs w:val="24"/>
          <w:lang w:val="en-US" w:bidi="en-US"/>
        </w:rPr>
      </w:pPr>
      <w:r w:rsidRPr="005B1CCB">
        <w:rPr>
          <w:rFonts w:ascii="Palatino Linotype" w:hAnsi="Palatino Linotype"/>
          <w:sz w:val="24"/>
          <w:szCs w:val="24"/>
          <w:lang w:val="en-US" w:bidi="en-US"/>
        </w:rPr>
        <w:t xml:space="preserve">Tables </w:t>
      </w:r>
      <w:r w:rsidR="00CD7488">
        <w:rPr>
          <w:rFonts w:ascii="Palatino Linotype" w:hAnsi="Palatino Linotype"/>
          <w:sz w:val="24"/>
          <w:szCs w:val="24"/>
          <w:lang w:val="en-US" w:bidi="en-US"/>
        </w:rPr>
        <w:t>10</w:t>
      </w:r>
      <w:r w:rsidR="00CD7488" w:rsidRPr="005B1CCB">
        <w:rPr>
          <w:rFonts w:ascii="Palatino Linotype" w:hAnsi="Palatino Linotype"/>
          <w:sz w:val="24"/>
          <w:szCs w:val="24"/>
          <w:lang w:val="en-US" w:bidi="en-US"/>
        </w:rPr>
        <w:t xml:space="preserve"> </w:t>
      </w:r>
      <w:r w:rsidRPr="005B1CCB">
        <w:rPr>
          <w:rFonts w:ascii="Palatino Linotype" w:hAnsi="Palatino Linotype"/>
          <w:sz w:val="24"/>
          <w:szCs w:val="24"/>
          <w:lang w:val="en-US" w:bidi="en-US"/>
        </w:rPr>
        <w:t xml:space="preserve">and </w:t>
      </w:r>
      <w:r w:rsidR="00CD7488">
        <w:rPr>
          <w:rFonts w:ascii="Palatino Linotype" w:hAnsi="Palatino Linotype"/>
          <w:sz w:val="24"/>
          <w:szCs w:val="24"/>
          <w:lang w:val="en-US" w:bidi="en-US"/>
        </w:rPr>
        <w:t>11</w:t>
      </w:r>
      <w:r w:rsidR="00CD7488" w:rsidRPr="005B1CCB">
        <w:rPr>
          <w:rFonts w:ascii="Palatino Linotype" w:hAnsi="Palatino Linotype"/>
          <w:sz w:val="24"/>
          <w:szCs w:val="24"/>
          <w:lang w:val="en-US" w:bidi="en-US"/>
        </w:rPr>
        <w:t xml:space="preserve"> </w:t>
      </w:r>
      <w:r w:rsidR="002C305D" w:rsidRPr="005B1CCB">
        <w:rPr>
          <w:rFonts w:ascii="Palatino Linotype" w:hAnsi="Palatino Linotype"/>
          <w:sz w:val="24"/>
          <w:szCs w:val="24"/>
          <w:lang w:val="en-US" w:bidi="en-US"/>
        </w:rPr>
        <w:t>s</w:t>
      </w:r>
      <w:r w:rsidR="00F06747" w:rsidRPr="005B1CCB">
        <w:rPr>
          <w:rFonts w:ascii="Palatino Linotype" w:hAnsi="Palatino Linotype"/>
          <w:sz w:val="24"/>
          <w:szCs w:val="24"/>
          <w:lang w:val="en-US" w:bidi="en-US"/>
        </w:rPr>
        <w:t>how</w:t>
      </w:r>
      <w:r w:rsidR="002C305D" w:rsidRPr="005B1CCB">
        <w:rPr>
          <w:rFonts w:ascii="Palatino Linotype" w:hAnsi="Palatino Linotype"/>
          <w:sz w:val="24"/>
          <w:szCs w:val="24"/>
          <w:lang w:val="en-US" w:bidi="en-US"/>
        </w:rPr>
        <w:t xml:space="preserve"> the Randles-Sevcik equation used to de</w:t>
      </w:r>
      <w:r w:rsidR="00E71833" w:rsidRPr="005B1CCB">
        <w:rPr>
          <w:rFonts w:ascii="Palatino Linotype" w:hAnsi="Palatino Linotype"/>
          <w:sz w:val="24"/>
          <w:szCs w:val="24"/>
          <w:lang w:val="en-US" w:bidi="en-US"/>
        </w:rPr>
        <w:t>termine the diffusion coefficient</w:t>
      </w:r>
      <w:r w:rsidR="002C305D" w:rsidRPr="005B1CCB">
        <w:rPr>
          <w:rFonts w:ascii="Palatino Linotype" w:hAnsi="Palatino Linotype"/>
          <w:sz w:val="24"/>
          <w:szCs w:val="24"/>
          <w:lang w:val="en-US" w:bidi="en-US"/>
        </w:rPr>
        <w:t xml:space="preserve"> </w:t>
      </w:r>
      <w:r w:rsidR="00E71833" w:rsidRPr="005B1CCB">
        <w:rPr>
          <w:rFonts w:ascii="Palatino Linotype" w:hAnsi="Palatino Linotype"/>
          <w:sz w:val="24"/>
          <w:szCs w:val="24"/>
          <w:lang w:val="en-US" w:bidi="en-US"/>
        </w:rPr>
        <w:t xml:space="preserve">of each SPE as a result of </w:t>
      </w:r>
      <w:r w:rsidR="002C305D" w:rsidRPr="005B1CCB">
        <w:rPr>
          <w:rFonts w:ascii="Palatino Linotype" w:hAnsi="Palatino Linotype"/>
          <w:sz w:val="24"/>
          <w:szCs w:val="24"/>
          <w:lang w:val="en-US" w:bidi="en-US"/>
        </w:rPr>
        <w:t xml:space="preserve">the effect of scan </w:t>
      </w:r>
      <w:r w:rsidR="00E71833" w:rsidRPr="005B1CCB">
        <w:rPr>
          <w:rFonts w:ascii="Palatino Linotype" w:hAnsi="Palatino Linotype"/>
          <w:sz w:val="24"/>
          <w:szCs w:val="24"/>
          <w:lang w:val="en-US" w:bidi="en-US"/>
        </w:rPr>
        <w:t xml:space="preserve">rates </w:t>
      </w:r>
      <w:r w:rsidR="002C305D" w:rsidRPr="005B1CCB">
        <w:rPr>
          <w:rFonts w:ascii="Palatino Linotype" w:hAnsi="Palatino Linotype"/>
          <w:sz w:val="24"/>
          <w:szCs w:val="24"/>
          <w:lang w:val="en-US" w:bidi="en-US"/>
        </w:rPr>
        <w:t>on their peak currents.</w:t>
      </w:r>
      <w:r w:rsidR="001826C2" w:rsidRPr="005B1CCB">
        <w:rPr>
          <w:rFonts w:ascii="Palatino Linotype" w:hAnsi="Palatino Linotype"/>
          <w:sz w:val="24"/>
          <w:szCs w:val="24"/>
          <w:lang w:val="en-US" w:bidi="en-US"/>
        </w:rPr>
        <w:t xml:space="preserve"> </w:t>
      </w:r>
      <w:r w:rsidR="00AF79D0" w:rsidRPr="005B1CCB">
        <w:rPr>
          <w:rFonts w:ascii="Palatino Linotype" w:hAnsi="Palatino Linotype"/>
          <w:sz w:val="24"/>
          <w:szCs w:val="24"/>
          <w:lang w:val="en-US" w:bidi="en-US"/>
        </w:rPr>
        <w:t>The relationship between the current and voltage used in the cyclic voltammetry measurements is given by the Randles-Sevcik equation.</w:t>
      </w:r>
    </w:p>
    <w:p w14:paraId="7C0423D0" w14:textId="77777777" w:rsidR="00AF79D0" w:rsidRPr="005B1CCB" w:rsidRDefault="00AF79D0" w:rsidP="00AF79D0">
      <w:pPr>
        <w:spacing w:line="360" w:lineRule="auto"/>
        <w:jc w:val="both"/>
        <w:rPr>
          <w:rFonts w:ascii="Palatino Linotype" w:hAnsi="Palatino Linotype"/>
          <w:sz w:val="24"/>
          <w:szCs w:val="24"/>
          <w:lang w:val="en-US" w:bidi="en-US"/>
        </w:rPr>
      </w:pPr>
      <w:r w:rsidRPr="005B1CCB">
        <w:rPr>
          <w:rFonts w:ascii="Palatino Linotype" w:hAnsi="Palatino Linotype"/>
          <w:sz w:val="24"/>
          <w:szCs w:val="24"/>
          <w:lang w:val="en-US" w:bidi="en-US"/>
        </w:rPr>
        <w:t xml:space="preserve">Given that Peak Current </w:t>
      </w:r>
    </w:p>
    <w:p w14:paraId="45DEEF34" w14:textId="77777777" w:rsidR="001826C2" w:rsidRPr="005B1CCB" w:rsidRDefault="00DD4134" w:rsidP="00AF79D0">
      <w:pPr>
        <w:spacing w:line="360" w:lineRule="auto"/>
        <w:jc w:val="both"/>
        <w:rPr>
          <w:rFonts w:ascii="Palatino Linotype" w:hAnsi="Palatino Linotype"/>
          <w:sz w:val="24"/>
          <w:szCs w:val="24"/>
          <w:lang w:val="en-US" w:bidi="en-US"/>
        </w:rPr>
      </w:pPr>
      <m:oMath>
        <m:sSub>
          <m:sSubPr>
            <m:ctrlPr>
              <w:rPr>
                <w:rFonts w:ascii="Cambria Math" w:hAnsi="Cambria Math"/>
                <w:i/>
                <w:sz w:val="24"/>
                <w:szCs w:val="24"/>
                <w:lang w:val="en-US" w:bidi="en-US"/>
              </w:rPr>
            </m:ctrlPr>
          </m:sSubPr>
          <m:e>
            <m:r>
              <w:rPr>
                <w:rFonts w:ascii="Cambria Math" w:hAnsi="Cambria Math"/>
                <w:sz w:val="24"/>
                <w:szCs w:val="24"/>
                <w:lang w:val="en-US" w:bidi="en-US"/>
              </w:rPr>
              <m:t>I</m:t>
            </m:r>
          </m:e>
          <m:sub>
            <m:r>
              <w:rPr>
                <w:rFonts w:ascii="Cambria Math" w:hAnsi="Cambria Math"/>
                <w:sz w:val="24"/>
                <w:szCs w:val="24"/>
                <w:lang w:val="en-US" w:bidi="en-US"/>
              </w:rPr>
              <m:t>p</m:t>
            </m:r>
          </m:sub>
        </m:sSub>
        <m:r>
          <w:rPr>
            <w:rFonts w:ascii="Cambria Math" w:hAnsi="Cambria Math"/>
            <w:sz w:val="24"/>
            <w:szCs w:val="24"/>
            <w:lang w:val="en-US" w:bidi="en-US"/>
          </w:rPr>
          <m:t xml:space="preserve">=268.6 × </m:t>
        </m:r>
        <m:sSup>
          <m:sSupPr>
            <m:ctrlPr>
              <w:rPr>
                <w:rFonts w:ascii="Cambria Math" w:hAnsi="Cambria Math"/>
                <w:i/>
                <w:sz w:val="24"/>
                <w:szCs w:val="24"/>
                <w:lang w:val="en-US" w:bidi="en-US"/>
              </w:rPr>
            </m:ctrlPr>
          </m:sSupPr>
          <m:e>
            <m:r>
              <w:rPr>
                <w:rFonts w:ascii="Cambria Math" w:hAnsi="Cambria Math"/>
                <w:sz w:val="24"/>
                <w:szCs w:val="24"/>
                <w:lang w:val="en-US" w:bidi="en-US"/>
              </w:rPr>
              <m:t>10</m:t>
            </m:r>
          </m:e>
          <m:sup>
            <m:r>
              <w:rPr>
                <w:rFonts w:ascii="Cambria Math" w:hAnsi="Cambria Math"/>
                <w:sz w:val="24"/>
                <w:szCs w:val="24"/>
                <w:lang w:val="en-US" w:bidi="en-US"/>
              </w:rPr>
              <m:t>3</m:t>
            </m:r>
          </m:sup>
        </m:sSup>
        <m:r>
          <w:rPr>
            <w:rFonts w:ascii="Cambria Math" w:hAnsi="Cambria Math"/>
            <w:sz w:val="24"/>
            <w:szCs w:val="24"/>
            <w:lang w:val="en-US" w:bidi="en-US"/>
          </w:rPr>
          <m:t>×</m:t>
        </m:r>
        <m:sSup>
          <m:sSupPr>
            <m:ctrlPr>
              <w:rPr>
                <w:rFonts w:ascii="Cambria Math" w:hAnsi="Cambria Math"/>
                <w:i/>
                <w:sz w:val="24"/>
                <w:szCs w:val="24"/>
                <w:lang w:val="en-US" w:bidi="en-US"/>
              </w:rPr>
            </m:ctrlPr>
          </m:sSupPr>
          <m:e>
            <m:r>
              <w:rPr>
                <w:rFonts w:ascii="Cambria Math" w:hAnsi="Cambria Math"/>
                <w:sz w:val="24"/>
                <w:szCs w:val="24"/>
                <w:lang w:val="en-US" w:bidi="en-US"/>
              </w:rPr>
              <m:t>n</m:t>
            </m:r>
          </m:e>
          <m:sup>
            <m:f>
              <m:fPr>
                <m:ctrlPr>
                  <w:rPr>
                    <w:rFonts w:ascii="Cambria Math" w:hAnsi="Cambria Math"/>
                    <w:i/>
                    <w:sz w:val="24"/>
                    <w:szCs w:val="24"/>
                    <w:lang w:val="en-US" w:bidi="en-US"/>
                  </w:rPr>
                </m:ctrlPr>
              </m:fPr>
              <m:num>
                <m:r>
                  <w:rPr>
                    <w:rFonts w:ascii="Cambria Math" w:hAnsi="Cambria Math"/>
                    <w:sz w:val="24"/>
                    <w:szCs w:val="24"/>
                    <w:lang w:val="en-US" w:bidi="en-US"/>
                  </w:rPr>
                  <m:t>3</m:t>
                </m:r>
              </m:num>
              <m:den>
                <m:r>
                  <w:rPr>
                    <w:rFonts w:ascii="Cambria Math" w:hAnsi="Cambria Math"/>
                    <w:sz w:val="24"/>
                    <w:szCs w:val="24"/>
                    <w:lang w:val="en-US" w:bidi="en-US"/>
                  </w:rPr>
                  <m:t>2</m:t>
                </m:r>
              </m:den>
            </m:f>
          </m:sup>
        </m:sSup>
        <m:r>
          <w:rPr>
            <w:rFonts w:ascii="Cambria Math" w:hAnsi="Cambria Math"/>
            <w:sz w:val="24"/>
            <w:szCs w:val="24"/>
            <w:lang w:val="en-US" w:bidi="en-US"/>
          </w:rPr>
          <m:t xml:space="preserve"> ×A × </m:t>
        </m:r>
        <m:sSup>
          <m:sSupPr>
            <m:ctrlPr>
              <w:rPr>
                <w:rFonts w:ascii="Cambria Math" w:hAnsi="Cambria Math"/>
                <w:i/>
                <w:sz w:val="24"/>
                <w:szCs w:val="24"/>
                <w:lang w:val="en-US" w:bidi="en-US"/>
              </w:rPr>
            </m:ctrlPr>
          </m:sSupPr>
          <m:e>
            <m:r>
              <w:rPr>
                <w:rFonts w:ascii="Cambria Math" w:hAnsi="Cambria Math"/>
                <w:sz w:val="24"/>
                <w:szCs w:val="24"/>
                <w:lang w:val="en-US" w:bidi="en-US"/>
              </w:rPr>
              <m:t>D</m:t>
            </m:r>
          </m:e>
          <m:sup>
            <m:f>
              <m:fPr>
                <m:ctrlPr>
                  <w:rPr>
                    <w:rFonts w:ascii="Cambria Math" w:hAnsi="Cambria Math"/>
                    <w:i/>
                    <w:sz w:val="24"/>
                    <w:szCs w:val="24"/>
                    <w:lang w:val="en-US" w:bidi="en-US"/>
                  </w:rPr>
                </m:ctrlPr>
              </m:fPr>
              <m:num>
                <m:r>
                  <w:rPr>
                    <w:rFonts w:ascii="Cambria Math" w:hAnsi="Cambria Math"/>
                    <w:sz w:val="24"/>
                    <w:szCs w:val="24"/>
                    <w:lang w:val="en-US" w:bidi="en-US"/>
                  </w:rPr>
                  <m:t>1</m:t>
                </m:r>
              </m:num>
              <m:den>
                <m:r>
                  <w:rPr>
                    <w:rFonts w:ascii="Cambria Math" w:hAnsi="Cambria Math"/>
                    <w:sz w:val="24"/>
                    <w:szCs w:val="24"/>
                    <w:lang w:val="en-US" w:bidi="en-US"/>
                  </w:rPr>
                  <m:t xml:space="preserve">2 </m:t>
                </m:r>
              </m:den>
            </m:f>
            <m:r>
              <w:rPr>
                <w:rFonts w:ascii="Cambria Math" w:hAnsi="Cambria Math"/>
                <w:sz w:val="24"/>
                <w:szCs w:val="24"/>
                <w:lang w:val="en-US" w:bidi="en-US"/>
              </w:rPr>
              <m:t xml:space="preserve"> </m:t>
            </m:r>
          </m:sup>
        </m:sSup>
        <m:r>
          <w:rPr>
            <w:rFonts w:ascii="Cambria Math" w:hAnsi="Cambria Math"/>
            <w:sz w:val="24"/>
            <w:szCs w:val="24"/>
            <w:lang w:val="en-US" w:bidi="en-US"/>
          </w:rPr>
          <m:t xml:space="preserve">×C × </m:t>
        </m:r>
        <m:sSup>
          <m:sSupPr>
            <m:ctrlPr>
              <w:rPr>
                <w:rFonts w:ascii="Cambria Math" w:hAnsi="Cambria Math"/>
                <w:i/>
                <w:sz w:val="24"/>
                <w:szCs w:val="24"/>
                <w:lang w:val="en-US" w:bidi="en-US"/>
              </w:rPr>
            </m:ctrlPr>
          </m:sSupPr>
          <m:e>
            <m:r>
              <w:rPr>
                <w:rFonts w:ascii="Cambria Math" w:hAnsi="Cambria Math"/>
                <w:sz w:val="24"/>
                <w:szCs w:val="24"/>
                <w:lang w:val="en-US" w:bidi="en-US"/>
              </w:rPr>
              <m:t>ϑ</m:t>
            </m:r>
          </m:e>
          <m:sup>
            <m:f>
              <m:fPr>
                <m:ctrlPr>
                  <w:rPr>
                    <w:rFonts w:ascii="Cambria Math" w:hAnsi="Cambria Math"/>
                    <w:i/>
                    <w:sz w:val="24"/>
                    <w:szCs w:val="24"/>
                    <w:lang w:val="en-US" w:bidi="en-US"/>
                  </w:rPr>
                </m:ctrlPr>
              </m:fPr>
              <m:num>
                <m:r>
                  <w:rPr>
                    <w:rFonts w:ascii="Cambria Math" w:hAnsi="Cambria Math"/>
                    <w:sz w:val="24"/>
                    <w:szCs w:val="24"/>
                    <w:lang w:val="en-US" w:bidi="en-US"/>
                  </w:rPr>
                  <m:t>1</m:t>
                </m:r>
              </m:num>
              <m:den>
                <m:r>
                  <w:rPr>
                    <w:rFonts w:ascii="Cambria Math" w:hAnsi="Cambria Math"/>
                    <w:sz w:val="24"/>
                    <w:szCs w:val="24"/>
                    <w:lang w:val="en-US" w:bidi="en-US"/>
                  </w:rPr>
                  <m:t>2</m:t>
                </m:r>
              </m:den>
            </m:f>
          </m:sup>
        </m:sSup>
      </m:oMath>
      <w:r w:rsidR="001826C2" w:rsidRPr="005B1CCB">
        <w:rPr>
          <w:rFonts w:ascii="Palatino Linotype" w:hAnsi="Palatino Linotype"/>
          <w:sz w:val="24"/>
          <w:szCs w:val="24"/>
          <w:lang w:val="en-US" w:bidi="en-US"/>
        </w:rPr>
        <w:t xml:space="preserve">             </w:t>
      </w:r>
    </w:p>
    <w:p w14:paraId="148B757C" w14:textId="77777777" w:rsidR="00AF79D0" w:rsidRPr="005B1CCB" w:rsidRDefault="00AF79D0" w:rsidP="001826C2">
      <w:pPr>
        <w:spacing w:line="240" w:lineRule="auto"/>
        <w:jc w:val="both"/>
        <w:rPr>
          <w:rFonts w:ascii="Palatino Linotype" w:hAnsi="Palatino Linotype"/>
          <w:sz w:val="24"/>
          <w:szCs w:val="24"/>
          <w:lang w:val="en-US" w:bidi="en-US"/>
        </w:rPr>
      </w:pPr>
      <w:r w:rsidRPr="005B1CCB">
        <w:rPr>
          <w:rFonts w:ascii="Palatino Linotype" w:hAnsi="Palatino Linotype"/>
          <w:sz w:val="24"/>
          <w:szCs w:val="24"/>
          <w:lang w:val="en-US" w:bidi="en-US"/>
        </w:rPr>
        <w:t>Where;</w:t>
      </w:r>
    </w:p>
    <w:p w14:paraId="4526D67C" w14:textId="77777777" w:rsidR="00611E66" w:rsidRPr="005B1CCB" w:rsidRDefault="00AF79D0" w:rsidP="00E71833">
      <w:pPr>
        <w:spacing w:line="360" w:lineRule="auto"/>
        <w:jc w:val="both"/>
        <w:rPr>
          <w:rFonts w:ascii="Palatino Linotype" w:hAnsi="Palatino Linotype"/>
          <w:sz w:val="24"/>
          <w:szCs w:val="24"/>
          <w:lang w:val="en-US" w:bidi="en-US"/>
        </w:rPr>
      </w:pPr>
      <m:oMath>
        <m:r>
          <w:rPr>
            <w:rFonts w:ascii="Cambria Math" w:hAnsi="Cambria Math"/>
            <w:sz w:val="24"/>
            <w:szCs w:val="24"/>
            <w:lang w:val="en-US" w:bidi="en-US"/>
          </w:rPr>
          <m:t>n</m:t>
        </m:r>
      </m:oMath>
      <w:r w:rsidRPr="005B1CCB">
        <w:rPr>
          <w:rFonts w:ascii="Palatino Linotype" w:hAnsi="Palatino Linotype"/>
          <w:sz w:val="24"/>
          <w:szCs w:val="24"/>
          <w:lang w:val="en-US" w:bidi="en-US"/>
        </w:rPr>
        <w:t xml:space="preserve"> </w:t>
      </w:r>
      <m:oMath>
        <m:r>
          <w:rPr>
            <w:rFonts w:ascii="Cambria Math" w:hAnsi="Cambria Math"/>
            <w:sz w:val="24"/>
            <w:szCs w:val="24"/>
            <w:lang w:val="en-US" w:bidi="en-US"/>
          </w:rPr>
          <m:t xml:space="preserve">= </m:t>
        </m:r>
      </m:oMath>
      <w:r w:rsidRPr="005B1CCB">
        <w:rPr>
          <w:rFonts w:ascii="Palatino Linotype" w:hAnsi="Palatino Linotype"/>
          <w:sz w:val="24"/>
          <w:szCs w:val="24"/>
          <w:lang w:val="en-US" w:bidi="en-US"/>
        </w:rPr>
        <w:t xml:space="preserve">number of electrons = </w:t>
      </w:r>
      <m:oMath>
        <m:r>
          <w:rPr>
            <w:rFonts w:ascii="Cambria Math" w:hAnsi="Cambria Math"/>
            <w:sz w:val="24"/>
            <w:szCs w:val="24"/>
            <w:lang w:val="en-US" w:bidi="en-US"/>
          </w:rPr>
          <m:t>1</m:t>
        </m:r>
      </m:oMath>
      <w:r w:rsidRPr="005B1CCB">
        <w:rPr>
          <w:rFonts w:ascii="Palatino Linotype" w:hAnsi="Palatino Linotype"/>
          <w:sz w:val="24"/>
          <w:szCs w:val="24"/>
          <w:lang w:val="en-US" w:bidi="en-US"/>
        </w:rPr>
        <w:t xml:space="preserve">, </w:t>
      </w:r>
      <m:oMath>
        <m:r>
          <w:rPr>
            <w:rFonts w:ascii="Cambria Math" w:hAnsi="Cambria Math"/>
            <w:sz w:val="24"/>
            <w:szCs w:val="24"/>
            <w:lang w:val="en-US" w:bidi="en-US"/>
          </w:rPr>
          <m:t xml:space="preserve">A= </m:t>
        </m:r>
      </m:oMath>
      <w:r w:rsidRPr="005B1CCB">
        <w:rPr>
          <w:rFonts w:ascii="Palatino Linotype" w:hAnsi="Palatino Linotype"/>
          <w:sz w:val="24"/>
          <w:szCs w:val="24"/>
          <w:lang w:val="en-US" w:bidi="en-US"/>
        </w:rPr>
        <w:t xml:space="preserve">area of electrode = </w:t>
      </w:r>
      <m:oMath>
        <m:r>
          <w:rPr>
            <w:rFonts w:ascii="Cambria Math" w:hAnsi="Cambria Math"/>
            <w:sz w:val="24"/>
            <w:szCs w:val="24"/>
            <w:lang w:val="en-US" w:bidi="en-US"/>
          </w:rPr>
          <m:t>π*(</m:t>
        </m:r>
        <m:f>
          <m:fPr>
            <m:ctrlPr>
              <w:rPr>
                <w:rFonts w:ascii="Cambria Math" w:hAnsi="Cambria Math"/>
                <w:i/>
                <w:sz w:val="24"/>
                <w:szCs w:val="24"/>
                <w:lang w:val="en-US" w:bidi="en-US"/>
              </w:rPr>
            </m:ctrlPr>
          </m:fPr>
          <m:num>
            <m:r>
              <w:rPr>
                <w:rFonts w:ascii="Cambria Math" w:hAnsi="Cambria Math"/>
                <w:sz w:val="24"/>
                <w:szCs w:val="24"/>
                <w:lang w:val="en-US" w:bidi="en-US"/>
              </w:rPr>
              <m:t>1.6</m:t>
            </m:r>
          </m:num>
          <m:den>
            <m:r>
              <w:rPr>
                <w:rFonts w:ascii="Cambria Math" w:hAnsi="Cambria Math"/>
                <w:sz w:val="24"/>
                <w:szCs w:val="24"/>
                <w:lang w:val="en-US" w:bidi="en-US"/>
              </w:rPr>
              <m:t>2</m:t>
            </m:r>
          </m:den>
        </m:f>
        <m:r>
          <w:rPr>
            <w:rFonts w:ascii="Cambria Math" w:hAnsi="Cambria Math"/>
            <w:sz w:val="24"/>
            <w:szCs w:val="24"/>
            <w:lang w:val="en-US" w:bidi="en-US"/>
          </w:rPr>
          <m:t>)^2 mm</m:t>
        </m:r>
      </m:oMath>
      <w:r w:rsidRPr="005B1CCB">
        <w:rPr>
          <w:rFonts w:ascii="Palatino Linotype" w:hAnsi="Palatino Linotype"/>
          <w:sz w:val="24"/>
          <w:szCs w:val="24"/>
          <w:lang w:val="en-US" w:bidi="en-US"/>
        </w:rPr>
        <w:t xml:space="preserve">, </w:t>
      </w:r>
      <m:oMath>
        <m:r>
          <w:rPr>
            <w:rFonts w:ascii="Cambria Math" w:hAnsi="Cambria Math"/>
            <w:sz w:val="24"/>
            <w:szCs w:val="24"/>
            <w:lang w:val="en-US" w:bidi="en-US"/>
          </w:rPr>
          <m:t xml:space="preserve">D= </m:t>
        </m:r>
      </m:oMath>
      <w:r w:rsidRPr="005B1CCB">
        <w:rPr>
          <w:rFonts w:ascii="Palatino Linotype" w:hAnsi="Palatino Linotype"/>
          <w:sz w:val="24"/>
          <w:szCs w:val="24"/>
          <w:lang w:val="en-US" w:bidi="en-US"/>
        </w:rPr>
        <w:t xml:space="preserve">diffusion coefficient, </w:t>
      </w:r>
      <m:oMath>
        <m:r>
          <w:rPr>
            <w:rFonts w:ascii="Cambria Math" w:hAnsi="Cambria Math"/>
            <w:sz w:val="24"/>
            <w:szCs w:val="24"/>
            <w:lang w:val="en-US" w:bidi="en-US"/>
          </w:rPr>
          <m:t xml:space="preserve">C= </m:t>
        </m:r>
      </m:oMath>
      <w:r w:rsidRPr="005B1CCB">
        <w:rPr>
          <w:rFonts w:ascii="Palatino Linotype" w:hAnsi="Palatino Linotype"/>
          <w:sz w:val="24"/>
          <w:szCs w:val="24"/>
          <w:lang w:val="en-US" w:bidi="en-US"/>
        </w:rPr>
        <w:t xml:space="preserve">concentration of the characterisation buffer = </w:t>
      </w:r>
      <m:oMath>
        <m:r>
          <w:rPr>
            <w:rFonts w:ascii="Cambria Math" w:hAnsi="Cambria Math"/>
            <w:sz w:val="24"/>
            <w:szCs w:val="24"/>
            <w:lang w:val="en-US" w:bidi="en-US"/>
          </w:rPr>
          <m:t xml:space="preserve">5 × </m:t>
        </m:r>
        <m:sSup>
          <m:sSupPr>
            <m:ctrlPr>
              <w:rPr>
                <w:rFonts w:ascii="Cambria Math" w:hAnsi="Cambria Math"/>
                <w:i/>
                <w:sz w:val="24"/>
                <w:szCs w:val="24"/>
                <w:lang w:val="en-US" w:bidi="en-US"/>
              </w:rPr>
            </m:ctrlPr>
          </m:sSupPr>
          <m:e>
            <m:r>
              <w:rPr>
                <w:rFonts w:ascii="Cambria Math" w:hAnsi="Cambria Math"/>
                <w:sz w:val="24"/>
                <w:szCs w:val="24"/>
                <w:lang w:val="en-US" w:bidi="en-US"/>
              </w:rPr>
              <m:t>10</m:t>
            </m:r>
          </m:e>
          <m:sup>
            <m:r>
              <w:rPr>
                <w:rFonts w:ascii="Cambria Math" w:hAnsi="Cambria Math"/>
                <w:sz w:val="24"/>
                <w:szCs w:val="24"/>
                <w:lang w:val="en-US" w:bidi="en-US"/>
              </w:rPr>
              <m:t>-6</m:t>
            </m:r>
          </m:sup>
        </m:sSup>
      </m:oMath>
      <w:r w:rsidRPr="005B1CCB">
        <w:rPr>
          <w:rFonts w:ascii="Palatino Linotype" w:hAnsi="Palatino Linotype"/>
          <w:sz w:val="24"/>
          <w:szCs w:val="24"/>
          <w:lang w:val="en-US" w:bidi="en-US"/>
        </w:rPr>
        <w:t xml:space="preserve"> molar</w:t>
      </w:r>
      <w:r w:rsidR="001826C2" w:rsidRPr="005B1CCB">
        <w:rPr>
          <w:rFonts w:ascii="Palatino Linotype" w:hAnsi="Palatino Linotype"/>
          <w:sz w:val="24"/>
          <w:szCs w:val="24"/>
          <w:lang w:val="en-US" w:bidi="en-US"/>
        </w:rPr>
        <w:t xml:space="preserve">, </w:t>
      </w:r>
      <m:oMath>
        <m:r>
          <w:rPr>
            <w:rFonts w:ascii="Cambria Math" w:hAnsi="Cambria Math"/>
            <w:sz w:val="24"/>
            <w:szCs w:val="24"/>
            <w:lang w:val="en-US" w:bidi="en-US"/>
          </w:rPr>
          <m:t xml:space="preserve">C= </m:t>
        </m:r>
      </m:oMath>
      <w:r w:rsidRPr="005B1CCB">
        <w:rPr>
          <w:rFonts w:ascii="Palatino Linotype" w:hAnsi="Palatino Linotype"/>
          <w:sz w:val="24"/>
          <w:szCs w:val="24"/>
          <w:lang w:val="en-US" w:bidi="en-US"/>
        </w:rPr>
        <w:t xml:space="preserve">concentration of the EIS buffer = </w:t>
      </w:r>
      <m:oMath>
        <m:r>
          <w:rPr>
            <w:rFonts w:ascii="Cambria Math" w:hAnsi="Cambria Math"/>
            <w:sz w:val="24"/>
            <w:szCs w:val="24"/>
            <w:lang w:val="en-US" w:bidi="en-US"/>
          </w:rPr>
          <m:t xml:space="preserve">1× </m:t>
        </m:r>
        <m:sSup>
          <m:sSupPr>
            <m:ctrlPr>
              <w:rPr>
                <w:rFonts w:ascii="Cambria Math" w:hAnsi="Cambria Math"/>
                <w:i/>
                <w:sz w:val="24"/>
                <w:szCs w:val="24"/>
                <w:lang w:val="en-US" w:bidi="en-US"/>
              </w:rPr>
            </m:ctrlPr>
          </m:sSupPr>
          <m:e>
            <m:r>
              <w:rPr>
                <w:rFonts w:ascii="Cambria Math" w:hAnsi="Cambria Math"/>
                <w:sz w:val="24"/>
                <w:szCs w:val="24"/>
                <w:lang w:val="en-US" w:bidi="en-US"/>
              </w:rPr>
              <m:t>10</m:t>
            </m:r>
          </m:e>
          <m:sup>
            <m:r>
              <w:rPr>
                <w:rFonts w:ascii="Cambria Math" w:hAnsi="Cambria Math"/>
                <w:sz w:val="24"/>
                <w:szCs w:val="24"/>
                <w:lang w:val="en-US" w:bidi="en-US"/>
              </w:rPr>
              <m:t>-6</m:t>
            </m:r>
          </m:sup>
        </m:sSup>
      </m:oMath>
      <w:r w:rsidRPr="005B1CCB">
        <w:rPr>
          <w:rFonts w:ascii="Palatino Linotype" w:hAnsi="Palatino Linotype"/>
          <w:sz w:val="24"/>
          <w:szCs w:val="24"/>
          <w:lang w:val="en-US" w:bidi="en-US"/>
        </w:rPr>
        <w:t xml:space="preserve"> molar, </w:t>
      </w:r>
      <m:oMath>
        <m:sSup>
          <m:sSupPr>
            <m:ctrlPr>
              <w:rPr>
                <w:rFonts w:ascii="Cambria Math" w:hAnsi="Cambria Math"/>
                <w:i/>
                <w:sz w:val="24"/>
                <w:szCs w:val="24"/>
                <w:lang w:val="en-US" w:bidi="en-US"/>
              </w:rPr>
            </m:ctrlPr>
          </m:sSupPr>
          <m:e>
            <m:r>
              <w:rPr>
                <w:rFonts w:ascii="Cambria Math" w:hAnsi="Cambria Math"/>
                <w:sz w:val="24"/>
                <w:szCs w:val="24"/>
                <w:lang w:val="en-US" w:bidi="en-US"/>
              </w:rPr>
              <m:t>ϑ</m:t>
            </m:r>
          </m:e>
          <m:sup>
            <m:f>
              <m:fPr>
                <m:ctrlPr>
                  <w:rPr>
                    <w:rFonts w:ascii="Cambria Math" w:hAnsi="Cambria Math"/>
                    <w:i/>
                    <w:sz w:val="24"/>
                    <w:szCs w:val="24"/>
                    <w:lang w:val="en-US" w:bidi="en-US"/>
                  </w:rPr>
                </m:ctrlPr>
              </m:fPr>
              <m:num>
                <m:r>
                  <w:rPr>
                    <w:rFonts w:ascii="Cambria Math" w:hAnsi="Cambria Math"/>
                    <w:sz w:val="24"/>
                    <w:szCs w:val="24"/>
                    <w:lang w:val="en-US" w:bidi="en-US"/>
                  </w:rPr>
                  <m:t>1</m:t>
                </m:r>
              </m:num>
              <m:den>
                <m:r>
                  <w:rPr>
                    <w:rFonts w:ascii="Cambria Math" w:hAnsi="Cambria Math"/>
                    <w:sz w:val="24"/>
                    <w:szCs w:val="24"/>
                    <w:lang w:val="en-US" w:bidi="en-US"/>
                  </w:rPr>
                  <m:t>2</m:t>
                </m:r>
              </m:den>
            </m:f>
          </m:sup>
        </m:sSup>
        <m:r>
          <w:rPr>
            <w:rFonts w:ascii="Cambria Math" w:hAnsi="Cambria Math"/>
            <w:sz w:val="24"/>
            <w:szCs w:val="24"/>
            <w:lang w:val="en-US" w:bidi="en-US"/>
          </w:rPr>
          <m:t xml:space="preserve"> =</m:t>
        </m:r>
      </m:oMath>
      <w:r w:rsidRPr="005B1CCB">
        <w:rPr>
          <w:rFonts w:ascii="Palatino Linotype" w:hAnsi="Palatino Linotype"/>
          <w:sz w:val="24"/>
          <w:szCs w:val="24"/>
          <w:lang w:val="en-US" w:bidi="en-US"/>
        </w:rPr>
        <w:t xml:space="preserve"> square root of the sweep rate, sweep rate given; </w:t>
      </w:r>
      <m:oMath>
        <m:r>
          <w:rPr>
            <w:rFonts w:ascii="Cambria Math" w:hAnsi="Cambria Math"/>
            <w:sz w:val="24"/>
            <w:szCs w:val="24"/>
            <w:lang w:val="en-US" w:bidi="en-US"/>
          </w:rPr>
          <m:t>0.01, 0.025, 0.05, 0.1</m:t>
        </m:r>
      </m:oMath>
      <w:r w:rsidRPr="005B1CCB">
        <w:rPr>
          <w:rFonts w:ascii="Palatino Linotype" w:hAnsi="Palatino Linotype"/>
          <w:sz w:val="24"/>
          <w:szCs w:val="24"/>
          <w:lang w:val="en-US" w:bidi="en-US"/>
        </w:rPr>
        <w:t xml:space="preserve"> V/s</w:t>
      </w:r>
    </w:p>
    <w:p w14:paraId="7DFF34FA" w14:textId="77777777" w:rsidR="00C573E3" w:rsidRPr="00C573E3" w:rsidRDefault="001826C2" w:rsidP="00E71833">
      <w:pPr>
        <w:spacing w:line="360" w:lineRule="auto"/>
        <w:jc w:val="both"/>
        <w:rPr>
          <w:rFonts w:ascii="Palatino Linotype" w:eastAsiaTheme="minorEastAsia" w:hAnsi="Palatino Linotype"/>
          <w:sz w:val="24"/>
          <w:szCs w:val="24"/>
          <w:lang w:val="en-US" w:bidi="en-US"/>
        </w:rPr>
      </w:pPr>
      <m:oMathPara>
        <m:oMath>
          <m:r>
            <w:rPr>
              <w:rFonts w:ascii="Cambria Math" w:hAnsi="Cambria Math"/>
              <w:sz w:val="24"/>
              <w:szCs w:val="24"/>
              <w:lang w:val="en-US" w:bidi="en-US"/>
            </w:rPr>
            <m:t>D=√(</m:t>
          </m:r>
          <m:f>
            <m:fPr>
              <m:ctrlPr>
                <w:rPr>
                  <w:rFonts w:ascii="Cambria Math" w:hAnsi="Cambria Math"/>
                  <w:i/>
                  <w:sz w:val="24"/>
                  <w:szCs w:val="24"/>
                  <w:lang w:val="en-US" w:bidi="en-US"/>
                </w:rPr>
              </m:ctrlPr>
            </m:fPr>
            <m:num>
              <m:sSub>
                <m:sSubPr>
                  <m:ctrlPr>
                    <w:rPr>
                      <w:rFonts w:ascii="Cambria Math" w:hAnsi="Cambria Math"/>
                      <w:i/>
                      <w:sz w:val="24"/>
                      <w:szCs w:val="24"/>
                      <w:lang w:val="en-US" w:bidi="en-US"/>
                    </w:rPr>
                  </m:ctrlPr>
                </m:sSubPr>
                <m:e>
                  <m:r>
                    <w:rPr>
                      <w:rFonts w:ascii="Cambria Math" w:hAnsi="Cambria Math"/>
                      <w:sz w:val="24"/>
                      <w:szCs w:val="24"/>
                      <w:lang w:val="en-US" w:bidi="en-US"/>
                    </w:rPr>
                    <m:t>I</m:t>
                  </m:r>
                </m:e>
                <m:sub>
                  <m:r>
                    <w:rPr>
                      <w:rFonts w:ascii="Cambria Math" w:hAnsi="Cambria Math"/>
                      <w:sz w:val="24"/>
                      <w:szCs w:val="24"/>
                      <w:lang w:val="en-US" w:bidi="en-US"/>
                    </w:rPr>
                    <m:t>p</m:t>
                  </m:r>
                </m:sub>
              </m:sSub>
            </m:num>
            <m:den>
              <m:r>
                <w:rPr>
                  <w:rFonts w:ascii="Cambria Math" w:hAnsi="Cambria Math"/>
                  <w:sz w:val="24"/>
                  <w:szCs w:val="24"/>
                  <w:lang w:val="en-US" w:bidi="en-US"/>
                </w:rPr>
                <m:t xml:space="preserve">268.6 × </m:t>
              </m:r>
              <m:sSup>
                <m:sSupPr>
                  <m:ctrlPr>
                    <w:rPr>
                      <w:rFonts w:ascii="Cambria Math" w:hAnsi="Cambria Math"/>
                      <w:i/>
                      <w:sz w:val="24"/>
                      <w:szCs w:val="24"/>
                      <w:lang w:val="en-US" w:bidi="en-US"/>
                    </w:rPr>
                  </m:ctrlPr>
                </m:sSupPr>
                <m:e>
                  <m:r>
                    <w:rPr>
                      <w:rFonts w:ascii="Cambria Math" w:hAnsi="Cambria Math"/>
                      <w:sz w:val="24"/>
                      <w:szCs w:val="24"/>
                      <w:lang w:val="en-US" w:bidi="en-US"/>
                    </w:rPr>
                    <m:t>10</m:t>
                  </m:r>
                </m:e>
                <m:sup>
                  <m:r>
                    <w:rPr>
                      <w:rFonts w:ascii="Cambria Math" w:hAnsi="Cambria Math"/>
                      <w:sz w:val="24"/>
                      <w:szCs w:val="24"/>
                      <w:lang w:val="en-US" w:bidi="en-US"/>
                    </w:rPr>
                    <m:t>3</m:t>
                  </m:r>
                </m:sup>
              </m:sSup>
              <m:r>
                <w:rPr>
                  <w:rFonts w:ascii="Cambria Math" w:hAnsi="Cambria Math"/>
                  <w:sz w:val="24"/>
                  <w:szCs w:val="24"/>
                  <w:lang w:val="en-US" w:bidi="en-US"/>
                </w:rPr>
                <m:t>×</m:t>
              </m:r>
              <m:sSup>
                <m:sSupPr>
                  <m:ctrlPr>
                    <w:rPr>
                      <w:rFonts w:ascii="Cambria Math" w:hAnsi="Cambria Math"/>
                      <w:i/>
                      <w:sz w:val="24"/>
                      <w:szCs w:val="24"/>
                      <w:lang w:val="en-US" w:bidi="en-US"/>
                    </w:rPr>
                  </m:ctrlPr>
                </m:sSupPr>
                <m:e>
                  <m:r>
                    <w:rPr>
                      <w:rFonts w:ascii="Cambria Math" w:hAnsi="Cambria Math"/>
                      <w:sz w:val="24"/>
                      <w:szCs w:val="24"/>
                      <w:lang w:val="en-US" w:bidi="en-US"/>
                    </w:rPr>
                    <m:t>n</m:t>
                  </m:r>
                </m:e>
                <m:sup>
                  <m:f>
                    <m:fPr>
                      <m:ctrlPr>
                        <w:rPr>
                          <w:rFonts w:ascii="Cambria Math" w:hAnsi="Cambria Math"/>
                          <w:i/>
                          <w:sz w:val="24"/>
                          <w:szCs w:val="24"/>
                          <w:lang w:val="en-US" w:bidi="en-US"/>
                        </w:rPr>
                      </m:ctrlPr>
                    </m:fPr>
                    <m:num>
                      <m:r>
                        <w:rPr>
                          <w:rFonts w:ascii="Cambria Math" w:hAnsi="Cambria Math"/>
                          <w:sz w:val="24"/>
                          <w:szCs w:val="24"/>
                          <w:lang w:val="en-US" w:bidi="en-US"/>
                        </w:rPr>
                        <m:t>3</m:t>
                      </m:r>
                    </m:num>
                    <m:den>
                      <m:r>
                        <w:rPr>
                          <w:rFonts w:ascii="Cambria Math" w:hAnsi="Cambria Math"/>
                          <w:sz w:val="24"/>
                          <w:szCs w:val="24"/>
                          <w:lang w:val="en-US" w:bidi="en-US"/>
                        </w:rPr>
                        <m:t>2</m:t>
                      </m:r>
                    </m:den>
                  </m:f>
                </m:sup>
              </m:sSup>
              <m:r>
                <w:rPr>
                  <w:rFonts w:ascii="Cambria Math" w:hAnsi="Cambria Math"/>
                  <w:sz w:val="24"/>
                  <w:szCs w:val="24"/>
                  <w:lang w:val="en-US" w:bidi="en-US"/>
                </w:rPr>
                <m:t xml:space="preserve"> ×A ×C × </m:t>
              </m:r>
              <m:sSup>
                <m:sSupPr>
                  <m:ctrlPr>
                    <w:rPr>
                      <w:rFonts w:ascii="Cambria Math" w:hAnsi="Cambria Math"/>
                      <w:i/>
                      <w:sz w:val="24"/>
                      <w:szCs w:val="24"/>
                      <w:lang w:val="en-US" w:bidi="en-US"/>
                    </w:rPr>
                  </m:ctrlPr>
                </m:sSupPr>
                <m:e>
                  <m:r>
                    <w:rPr>
                      <w:rFonts w:ascii="Cambria Math" w:hAnsi="Cambria Math"/>
                      <w:sz w:val="24"/>
                      <w:szCs w:val="24"/>
                      <w:lang w:val="en-US" w:bidi="en-US"/>
                    </w:rPr>
                    <m:t>ϑ</m:t>
                  </m:r>
                </m:e>
                <m:sup>
                  <m:f>
                    <m:fPr>
                      <m:ctrlPr>
                        <w:rPr>
                          <w:rFonts w:ascii="Cambria Math" w:hAnsi="Cambria Math"/>
                          <w:i/>
                          <w:sz w:val="24"/>
                          <w:szCs w:val="24"/>
                          <w:lang w:val="en-US" w:bidi="en-US"/>
                        </w:rPr>
                      </m:ctrlPr>
                    </m:fPr>
                    <m:num>
                      <m:r>
                        <w:rPr>
                          <w:rFonts w:ascii="Cambria Math" w:hAnsi="Cambria Math"/>
                          <w:sz w:val="24"/>
                          <w:szCs w:val="24"/>
                          <w:lang w:val="en-US" w:bidi="en-US"/>
                        </w:rPr>
                        <m:t>1</m:t>
                      </m:r>
                    </m:num>
                    <m:den>
                      <m:r>
                        <w:rPr>
                          <w:rFonts w:ascii="Cambria Math" w:hAnsi="Cambria Math"/>
                          <w:sz w:val="24"/>
                          <w:szCs w:val="24"/>
                          <w:lang w:val="en-US" w:bidi="en-US"/>
                        </w:rPr>
                        <m:t>2</m:t>
                      </m:r>
                    </m:den>
                  </m:f>
                </m:sup>
              </m:sSup>
            </m:den>
          </m:f>
          <m:r>
            <w:rPr>
              <w:rFonts w:ascii="Cambria Math" w:hAnsi="Cambria Math"/>
              <w:sz w:val="24"/>
              <w:szCs w:val="24"/>
              <w:lang w:val="en-US" w:bidi="en-US"/>
            </w:rPr>
            <m:t>)</m:t>
          </m:r>
        </m:oMath>
      </m:oMathPara>
    </w:p>
    <w:p w14:paraId="42A0442B" w14:textId="58A94629" w:rsidR="00BB3F6E" w:rsidRPr="005B1CCB" w:rsidRDefault="00BB3F6E" w:rsidP="00BB3F6E">
      <w:pPr>
        <w:pStyle w:val="Caption"/>
        <w:keepNext/>
        <w:jc w:val="center"/>
        <w:rPr>
          <w:sz w:val="22"/>
          <w:szCs w:val="22"/>
        </w:rPr>
      </w:pPr>
      <w:bookmarkStart w:id="120" w:name="_Toc84272331"/>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10</w:t>
      </w:r>
      <w:r w:rsidRPr="005B1CCB">
        <w:rPr>
          <w:sz w:val="22"/>
          <w:szCs w:val="22"/>
        </w:rPr>
        <w:fldChar w:fldCharType="end"/>
      </w:r>
      <w:r w:rsidRPr="005B1CCB">
        <w:rPr>
          <w:sz w:val="22"/>
          <w:szCs w:val="22"/>
        </w:rPr>
        <w:t>: RANDLES SEVCIK EQUATION – CLEAN MACROELECTRODE ANALYSIS</w:t>
      </w:r>
      <w:bookmarkEnd w:id="120"/>
    </w:p>
    <w:p w14:paraId="19640E73" w14:textId="77777777" w:rsidR="00BB3F6E" w:rsidRPr="005B1CCB" w:rsidRDefault="00BB3F6E" w:rsidP="00BB3F6E">
      <w:pPr>
        <w:pStyle w:val="Caption"/>
        <w:keepNext/>
      </w:pPr>
    </w:p>
    <w:tbl>
      <w:tblPr>
        <w:tblpPr w:leftFromText="180" w:rightFromText="180" w:vertAnchor="text" w:horzAnchor="margin" w:tblpXSpec="center" w:tblpY="-499"/>
        <w:tblW w:w="10060" w:type="dxa"/>
        <w:tblLayout w:type="fixed"/>
        <w:tblLook w:val="04A0" w:firstRow="1" w:lastRow="0" w:firstColumn="1" w:lastColumn="0" w:noHBand="0" w:noVBand="1"/>
      </w:tblPr>
      <w:tblGrid>
        <w:gridCol w:w="1555"/>
        <w:gridCol w:w="1486"/>
        <w:gridCol w:w="1207"/>
        <w:gridCol w:w="1276"/>
        <w:gridCol w:w="1701"/>
        <w:gridCol w:w="1559"/>
        <w:gridCol w:w="1276"/>
      </w:tblGrid>
      <w:tr w:rsidR="006C74CF" w:rsidRPr="005B1CCB" w14:paraId="44A338DA" w14:textId="77777777" w:rsidTr="00C573E3">
        <w:trPr>
          <w:trHeight w:val="900"/>
        </w:trPr>
        <w:tc>
          <w:tcPr>
            <w:tcW w:w="1555" w:type="dxa"/>
          </w:tcPr>
          <w:p w14:paraId="2E8B09AD" w14:textId="77777777" w:rsidR="006C74CF" w:rsidRPr="005B1CCB" w:rsidRDefault="006C74CF" w:rsidP="001C2000">
            <w:pPr>
              <w:spacing w:line="360" w:lineRule="auto"/>
              <w:rPr>
                <w:rFonts w:ascii="Palatino Linotype" w:eastAsiaTheme="minorEastAsia" w:hAnsi="Palatino Linotype" w:cs="Times New Roman"/>
                <w:b/>
              </w:rPr>
            </w:pPr>
            <w:r w:rsidRPr="005B1CCB">
              <w:rPr>
                <w:rFonts w:ascii="Palatino Linotype" w:eastAsiaTheme="minorEastAsia" w:hAnsi="Palatino Linotype" w:cs="Times New Roman"/>
                <w:b/>
              </w:rPr>
              <w:t xml:space="preserve">Peak current  </w:t>
            </w: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I</m:t>
                  </m:r>
                </m:e>
                <m:sub>
                  <m:r>
                    <m:rPr>
                      <m:sty m:val="bi"/>
                    </m:rPr>
                    <w:rPr>
                      <w:rFonts w:ascii="Cambria Math" w:eastAsiaTheme="minorEastAsia" w:hAnsi="Cambria Math" w:cs="Times New Roman"/>
                    </w:rPr>
                    <m:t>p</m:t>
                  </m:r>
                </m:sub>
              </m:sSub>
              <m:r>
                <m:rPr>
                  <m:sty m:val="bi"/>
                </m:rPr>
                <w:rPr>
                  <w:rFonts w:ascii="Cambria Math" w:eastAsiaTheme="minorEastAsia" w:hAnsi="Cambria Math" w:cs="Times New Roman"/>
                </w:rPr>
                <m:t xml:space="preserve"> </m:t>
              </m:r>
            </m:oMath>
            <w:r w:rsidRPr="005B1CCB">
              <w:rPr>
                <w:rFonts w:ascii="Palatino Linotype" w:eastAsiaTheme="minorEastAsia" w:hAnsi="Palatino Linotype" w:cs="Times New Roman"/>
                <w:b/>
              </w:rPr>
              <w:t>(µA)</w:t>
            </w:r>
          </w:p>
        </w:tc>
        <w:tc>
          <w:tcPr>
            <w:tcW w:w="1486" w:type="dxa"/>
          </w:tcPr>
          <w:p w14:paraId="26FEF8A8" w14:textId="77777777" w:rsidR="006C74CF" w:rsidRPr="005B1CCB" w:rsidRDefault="006C74CF" w:rsidP="001C2000">
            <w:pPr>
              <w:spacing w:line="360" w:lineRule="auto"/>
              <w:rPr>
                <w:rFonts w:ascii="Palatino Linotype" w:eastAsiaTheme="minorEastAsia" w:hAnsi="Palatino Linotype" w:cs="Times New Roman"/>
                <w:b/>
              </w:rPr>
            </w:pPr>
            <w:r w:rsidRPr="005B1CCB">
              <w:rPr>
                <w:rFonts w:ascii="Palatino Linotype" w:eastAsiaTheme="minorEastAsia" w:hAnsi="Palatino Linotype" w:cs="Times New Roman"/>
                <w:b/>
              </w:rPr>
              <w:t xml:space="preserve"> Gas  Constant (J/K/mol)</w:t>
            </w:r>
          </w:p>
        </w:tc>
        <w:tc>
          <w:tcPr>
            <w:tcW w:w="1207" w:type="dxa"/>
          </w:tcPr>
          <w:p w14:paraId="1E961176" w14:textId="77777777" w:rsidR="006C74CF" w:rsidRPr="005B1CCB" w:rsidRDefault="006C74CF" w:rsidP="001C2000">
            <w:pPr>
              <w:spacing w:line="360" w:lineRule="auto"/>
              <w:rPr>
                <w:rFonts w:ascii="Palatino Linotype" w:eastAsiaTheme="minorEastAsia" w:hAnsi="Palatino Linotype" w:cs="Times New Roman"/>
                <w:b/>
              </w:rPr>
            </w:pPr>
            <w:r w:rsidRPr="005B1CCB">
              <w:rPr>
                <w:rFonts w:ascii="Palatino Linotype" w:eastAsiaTheme="minorEastAsia" w:hAnsi="Palatino Linotype" w:cs="Times New Roman"/>
                <w:b/>
              </w:rPr>
              <w:t>Number of electrons</w:t>
            </w:r>
          </w:p>
        </w:tc>
        <w:tc>
          <w:tcPr>
            <w:tcW w:w="1276" w:type="dxa"/>
          </w:tcPr>
          <w:p w14:paraId="7E2899D4" w14:textId="77777777" w:rsidR="006C74CF" w:rsidRPr="005B1CCB" w:rsidRDefault="006C74CF" w:rsidP="001C2000">
            <w:pPr>
              <w:spacing w:line="360" w:lineRule="auto"/>
              <w:rPr>
                <w:rFonts w:ascii="Palatino Linotype" w:eastAsiaTheme="minorEastAsia" w:hAnsi="Palatino Linotype" w:cs="Times New Roman"/>
                <w:b/>
              </w:rPr>
            </w:pPr>
            <w:r w:rsidRPr="005B1CCB">
              <w:rPr>
                <w:rFonts w:ascii="Palatino Linotype" w:eastAsiaTheme="minorEastAsia" w:hAnsi="Palatino Linotype" w:cs="Times New Roman"/>
                <w:b/>
              </w:rPr>
              <w:t>Area of electrodes (cm)</w:t>
            </w:r>
          </w:p>
        </w:tc>
        <w:tc>
          <w:tcPr>
            <w:tcW w:w="1701" w:type="dxa"/>
          </w:tcPr>
          <w:p w14:paraId="76A26288" w14:textId="77777777" w:rsidR="006C74CF" w:rsidRPr="005B1CCB" w:rsidRDefault="006C74CF" w:rsidP="001C2000">
            <w:pPr>
              <w:spacing w:line="360" w:lineRule="auto"/>
              <w:rPr>
                <w:rFonts w:ascii="Palatino Linotype" w:eastAsiaTheme="minorEastAsia" w:hAnsi="Palatino Linotype" w:cs="Times New Roman"/>
                <w:b/>
              </w:rPr>
            </w:pPr>
            <w:r w:rsidRPr="005B1CCB">
              <w:rPr>
                <w:rFonts w:ascii="Palatino Linotype" w:eastAsiaTheme="minorEastAsia" w:hAnsi="Palatino Linotype" w:cs="Times New Roman"/>
                <w:b/>
              </w:rPr>
              <w:t>Concentration of solution (mol/cm</w:t>
            </w:r>
            <w:r w:rsidRPr="005B1CCB">
              <w:rPr>
                <w:rFonts w:ascii="Palatino Linotype" w:eastAsiaTheme="minorEastAsia" w:hAnsi="Palatino Linotype" w:cs="Times New Roman"/>
                <w:b/>
                <w:vertAlign w:val="superscript"/>
              </w:rPr>
              <w:t>3</w:t>
            </w:r>
            <w:r w:rsidRPr="005B1CCB">
              <w:rPr>
                <w:rFonts w:ascii="Palatino Linotype" w:eastAsiaTheme="minorEastAsia" w:hAnsi="Palatino Linotype" w:cs="Times New Roman"/>
                <w:b/>
              </w:rPr>
              <w:t>)</w:t>
            </w:r>
          </w:p>
        </w:tc>
        <w:tc>
          <w:tcPr>
            <w:tcW w:w="1559" w:type="dxa"/>
          </w:tcPr>
          <w:p w14:paraId="4EAAF9CF" w14:textId="77777777" w:rsidR="006C74CF" w:rsidRPr="005B1CCB" w:rsidRDefault="006C74CF" w:rsidP="001C2000">
            <w:pPr>
              <w:spacing w:line="360" w:lineRule="auto"/>
              <w:rPr>
                <w:rFonts w:ascii="Palatino Linotype" w:eastAsiaTheme="minorEastAsia" w:hAnsi="Palatino Linotype" w:cs="Times New Roman"/>
                <w:b/>
              </w:rPr>
            </w:pPr>
            <w:r w:rsidRPr="005B1CCB">
              <w:rPr>
                <w:rFonts w:ascii="Palatino Linotype" w:eastAsiaTheme="minorEastAsia" w:hAnsi="Palatino Linotype" w:cs="Times New Roman"/>
                <w:b/>
              </w:rPr>
              <w:t>Square root of sweep rate (V/s)</w:t>
            </w:r>
          </w:p>
        </w:tc>
        <w:tc>
          <w:tcPr>
            <w:tcW w:w="1276" w:type="dxa"/>
          </w:tcPr>
          <w:p w14:paraId="103E6487" w14:textId="77777777" w:rsidR="006C74CF" w:rsidRPr="005B1CCB" w:rsidRDefault="006C74CF" w:rsidP="001C2000">
            <w:pPr>
              <w:spacing w:line="360" w:lineRule="auto"/>
              <w:rPr>
                <w:rFonts w:ascii="Palatino Linotype" w:eastAsiaTheme="minorEastAsia" w:hAnsi="Palatino Linotype" w:cs="Times New Roman"/>
                <w:b/>
              </w:rPr>
            </w:pPr>
            <w:r w:rsidRPr="005B1CCB">
              <w:rPr>
                <w:rFonts w:ascii="Palatino Linotype" w:eastAsiaTheme="minorEastAsia" w:hAnsi="Palatino Linotype" w:cs="Times New Roman"/>
                <w:b/>
              </w:rPr>
              <w:t>Diffusion coefficient (cm</w:t>
            </w:r>
            <w:r w:rsidRPr="005B1CCB">
              <w:rPr>
                <w:rFonts w:ascii="Palatino Linotype" w:eastAsiaTheme="minorEastAsia" w:hAnsi="Palatino Linotype" w:cs="Times New Roman"/>
                <w:b/>
                <w:vertAlign w:val="superscript"/>
              </w:rPr>
              <w:t>2</w:t>
            </w:r>
            <w:r w:rsidRPr="005B1CCB">
              <w:rPr>
                <w:rFonts w:ascii="Palatino Linotype" w:eastAsiaTheme="minorEastAsia" w:hAnsi="Palatino Linotype" w:cs="Times New Roman"/>
                <w:b/>
              </w:rPr>
              <w:t>/s)</w:t>
            </w:r>
          </w:p>
        </w:tc>
      </w:tr>
      <w:tr w:rsidR="006C74CF" w:rsidRPr="005B1CCB" w14:paraId="53E5DD84" w14:textId="77777777" w:rsidTr="00C573E3">
        <w:tc>
          <w:tcPr>
            <w:tcW w:w="1555" w:type="dxa"/>
          </w:tcPr>
          <w:p w14:paraId="44C8EAAC" w14:textId="77777777" w:rsidR="006C74CF" w:rsidRPr="005B1CCB" w:rsidRDefault="006C74CF" w:rsidP="001C2000">
            <w:pPr>
              <w:spacing w:line="360" w:lineRule="auto"/>
              <w:rPr>
                <w:rFonts w:ascii="Palatino Linotype" w:eastAsiaTheme="minorEastAsia" w:hAnsi="Palatino Linotype" w:cs="Times New Roman"/>
              </w:rPr>
            </w:pPr>
            <w:r w:rsidRPr="005B1CCB">
              <w:rPr>
                <w:rFonts w:ascii="Palatino Linotype" w:eastAsiaTheme="minorEastAsia" w:hAnsi="Palatino Linotype" w:cs="Times New Roman"/>
              </w:rPr>
              <w:t>1.35E+01</w:t>
            </w:r>
          </w:p>
        </w:tc>
        <w:tc>
          <w:tcPr>
            <w:tcW w:w="1486" w:type="dxa"/>
          </w:tcPr>
          <w:p w14:paraId="6ADF9C67"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268.6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m:oMathPara>
          </w:p>
        </w:tc>
        <w:tc>
          <w:tcPr>
            <w:tcW w:w="1207" w:type="dxa"/>
          </w:tcPr>
          <w:p w14:paraId="1F80060B" w14:textId="77777777" w:rsidR="006C74CF" w:rsidRPr="005B1CCB" w:rsidRDefault="006C74CF" w:rsidP="001C2000">
            <w:pPr>
              <w:spacing w:line="360" w:lineRule="auto"/>
              <w:rPr>
                <w:rFonts w:ascii="Palatino Linotype" w:eastAsiaTheme="minorEastAsia" w:hAnsi="Palatino Linotype" w:cs="Times New Roman"/>
              </w:rPr>
            </w:pPr>
            <w:r w:rsidRPr="005B1CCB">
              <w:rPr>
                <w:rFonts w:ascii="Palatino Linotype" w:eastAsiaTheme="minorEastAsia" w:hAnsi="Palatino Linotype" w:cs="Times New Roman"/>
              </w:rPr>
              <w:t>1</w:t>
            </w:r>
          </w:p>
        </w:tc>
        <w:tc>
          <w:tcPr>
            <w:tcW w:w="1276" w:type="dxa"/>
          </w:tcPr>
          <w:p w14:paraId="0D7499C2"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0.201 </m:t>
                </m:r>
              </m:oMath>
            </m:oMathPara>
          </w:p>
        </w:tc>
        <w:tc>
          <w:tcPr>
            <w:tcW w:w="1701" w:type="dxa"/>
          </w:tcPr>
          <w:p w14:paraId="4D3B5F13"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5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-6</m:t>
                    </m:r>
                  </m:sup>
                </m:sSup>
              </m:oMath>
            </m:oMathPara>
          </w:p>
        </w:tc>
        <w:tc>
          <w:tcPr>
            <w:tcW w:w="1559" w:type="dxa"/>
          </w:tcPr>
          <w:p w14:paraId="79BB2D32" w14:textId="77777777" w:rsidR="006C74CF" w:rsidRPr="005B1CCB" w:rsidRDefault="00DD4134" w:rsidP="001C2000">
            <w:pPr>
              <w:spacing w:line="360" w:lineRule="auto"/>
              <w:rPr>
                <w:rFonts w:ascii="Palatino Linotype" w:eastAsiaTheme="minorEastAsia" w:hAnsi="Palatino Linotype" w:cs="Times New Roman"/>
              </w:rPr>
            </w:pPr>
            <m:oMathPara>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0.01</m:t>
                    </m:r>
                  </m:e>
                </m:rad>
              </m:oMath>
            </m:oMathPara>
          </w:p>
        </w:tc>
        <w:tc>
          <w:tcPr>
            <w:tcW w:w="1276" w:type="dxa"/>
            <w:vAlign w:val="bottom"/>
          </w:tcPr>
          <w:p w14:paraId="1CC1DA71" w14:textId="77777777" w:rsidR="006C74CF" w:rsidRPr="005B1CCB" w:rsidRDefault="006C74CF" w:rsidP="001C2000">
            <w:pPr>
              <w:spacing w:line="360" w:lineRule="auto"/>
              <w:jc w:val="right"/>
              <w:rPr>
                <w:rFonts w:ascii="Palatino Linotype" w:hAnsi="Palatino Linotype" w:cs="Times New Roman"/>
                <w:bCs/>
                <w:color w:val="000000"/>
              </w:rPr>
            </w:pPr>
            <w:r w:rsidRPr="005B1CCB">
              <w:rPr>
                <w:rFonts w:ascii="Palatino Linotype" w:hAnsi="Palatino Linotype" w:cs="Times New Roman"/>
                <w:bCs/>
                <w:color w:val="000000"/>
              </w:rPr>
              <w:t>2.24723e-7</w:t>
            </w:r>
          </w:p>
        </w:tc>
      </w:tr>
      <w:tr w:rsidR="006C74CF" w:rsidRPr="005B1CCB" w14:paraId="6EE28588" w14:textId="77777777" w:rsidTr="00C573E3">
        <w:tc>
          <w:tcPr>
            <w:tcW w:w="1555" w:type="dxa"/>
          </w:tcPr>
          <w:p w14:paraId="34700132" w14:textId="77777777" w:rsidR="006C74CF" w:rsidRPr="005B1CCB" w:rsidRDefault="006C74CF" w:rsidP="001C2000">
            <w:pPr>
              <w:spacing w:line="360" w:lineRule="auto"/>
              <w:rPr>
                <w:rFonts w:ascii="Palatino Linotype" w:hAnsi="Palatino Linotype" w:cs="Times New Roman"/>
                <w:color w:val="000000"/>
              </w:rPr>
            </w:pPr>
            <w:r w:rsidRPr="005B1CCB">
              <w:rPr>
                <w:rFonts w:ascii="Palatino Linotype" w:hAnsi="Palatino Linotype" w:cs="Times New Roman"/>
                <w:color w:val="000000"/>
              </w:rPr>
              <w:t>1.81E+01</w:t>
            </w:r>
          </w:p>
          <w:p w14:paraId="47EAB8C0" w14:textId="77777777" w:rsidR="006C74CF" w:rsidRPr="005B1CCB" w:rsidRDefault="006C74CF" w:rsidP="001C2000">
            <w:pPr>
              <w:spacing w:line="360" w:lineRule="auto"/>
              <w:rPr>
                <w:rFonts w:ascii="Palatino Linotype" w:eastAsiaTheme="minorEastAsia" w:hAnsi="Palatino Linotype" w:cs="Times New Roman"/>
              </w:rPr>
            </w:pPr>
          </w:p>
        </w:tc>
        <w:tc>
          <w:tcPr>
            <w:tcW w:w="1486" w:type="dxa"/>
          </w:tcPr>
          <w:p w14:paraId="12BE7292"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268.6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m:oMathPara>
          </w:p>
        </w:tc>
        <w:tc>
          <w:tcPr>
            <w:tcW w:w="1207" w:type="dxa"/>
          </w:tcPr>
          <w:p w14:paraId="2F3E1632" w14:textId="77777777" w:rsidR="006C74CF" w:rsidRPr="005B1CCB" w:rsidRDefault="006C74CF" w:rsidP="001C2000">
            <w:pPr>
              <w:spacing w:line="360" w:lineRule="auto"/>
              <w:rPr>
                <w:rFonts w:ascii="Palatino Linotype" w:eastAsiaTheme="minorEastAsia" w:hAnsi="Palatino Linotype" w:cs="Times New Roman"/>
              </w:rPr>
            </w:pPr>
            <w:r w:rsidRPr="005B1CCB">
              <w:rPr>
                <w:rFonts w:ascii="Palatino Linotype" w:eastAsiaTheme="minorEastAsia" w:hAnsi="Palatino Linotype" w:cs="Times New Roman"/>
              </w:rPr>
              <w:t>1</w:t>
            </w:r>
          </w:p>
        </w:tc>
        <w:tc>
          <w:tcPr>
            <w:tcW w:w="1276" w:type="dxa"/>
          </w:tcPr>
          <w:p w14:paraId="7BE636C1"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0.201</m:t>
                </m:r>
              </m:oMath>
            </m:oMathPara>
          </w:p>
        </w:tc>
        <w:tc>
          <w:tcPr>
            <w:tcW w:w="1701" w:type="dxa"/>
          </w:tcPr>
          <w:p w14:paraId="49CF8BF7"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5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-6</m:t>
                    </m:r>
                  </m:sup>
                </m:sSup>
              </m:oMath>
            </m:oMathPara>
          </w:p>
        </w:tc>
        <w:tc>
          <w:tcPr>
            <w:tcW w:w="1559" w:type="dxa"/>
          </w:tcPr>
          <w:p w14:paraId="3A395454" w14:textId="77777777" w:rsidR="006C74CF" w:rsidRPr="005B1CCB" w:rsidRDefault="00DD4134" w:rsidP="001C2000">
            <w:pPr>
              <w:spacing w:line="360" w:lineRule="auto"/>
              <w:rPr>
                <w:rFonts w:ascii="Palatino Linotype" w:hAnsi="Palatino Linotype" w:cs="Times New Roman"/>
              </w:rPr>
            </w:pPr>
            <m:oMathPara>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0.025</m:t>
                    </m:r>
                  </m:e>
                </m:rad>
              </m:oMath>
            </m:oMathPara>
          </w:p>
        </w:tc>
        <w:tc>
          <w:tcPr>
            <w:tcW w:w="1276" w:type="dxa"/>
            <w:vAlign w:val="bottom"/>
          </w:tcPr>
          <w:p w14:paraId="4464ECF0" w14:textId="77777777" w:rsidR="006C74CF" w:rsidRPr="005B1CCB" w:rsidRDefault="006C74CF" w:rsidP="001C2000">
            <w:pPr>
              <w:spacing w:line="360" w:lineRule="auto"/>
              <w:jc w:val="right"/>
              <w:rPr>
                <w:rFonts w:ascii="Palatino Linotype" w:hAnsi="Palatino Linotype" w:cs="Times New Roman"/>
                <w:bCs/>
                <w:color w:val="000000"/>
              </w:rPr>
            </w:pPr>
            <w:r w:rsidRPr="005B1CCB">
              <w:rPr>
                <w:rFonts w:ascii="Palatino Linotype" w:hAnsi="Palatino Linotype" w:cs="Times New Roman"/>
                <w:bCs/>
                <w:color w:val="000000"/>
              </w:rPr>
              <w:t>1.61583e-7</w:t>
            </w:r>
          </w:p>
        </w:tc>
      </w:tr>
      <w:tr w:rsidR="006C74CF" w:rsidRPr="005B1CCB" w14:paraId="69525295" w14:textId="77777777" w:rsidTr="00C573E3">
        <w:tc>
          <w:tcPr>
            <w:tcW w:w="1555" w:type="dxa"/>
          </w:tcPr>
          <w:p w14:paraId="0329A427" w14:textId="77777777" w:rsidR="006C74CF" w:rsidRPr="005B1CCB" w:rsidRDefault="006C74CF" w:rsidP="001C2000">
            <w:pPr>
              <w:spacing w:line="360" w:lineRule="auto"/>
              <w:rPr>
                <w:rFonts w:ascii="Palatino Linotype" w:hAnsi="Palatino Linotype" w:cs="Times New Roman"/>
                <w:color w:val="000000"/>
              </w:rPr>
            </w:pPr>
            <w:r w:rsidRPr="005B1CCB">
              <w:rPr>
                <w:rFonts w:ascii="Palatino Linotype" w:hAnsi="Palatino Linotype" w:cs="Times New Roman"/>
                <w:color w:val="000000"/>
              </w:rPr>
              <w:t>2.39E+01</w:t>
            </w:r>
          </w:p>
          <w:p w14:paraId="6F8B1573" w14:textId="77777777" w:rsidR="006C74CF" w:rsidRPr="005B1CCB" w:rsidRDefault="006C74CF" w:rsidP="001C2000">
            <w:pPr>
              <w:spacing w:line="360" w:lineRule="auto"/>
              <w:rPr>
                <w:rFonts w:ascii="Palatino Linotype" w:eastAsiaTheme="minorEastAsia" w:hAnsi="Palatino Linotype" w:cs="Times New Roman"/>
              </w:rPr>
            </w:pPr>
          </w:p>
        </w:tc>
        <w:tc>
          <w:tcPr>
            <w:tcW w:w="1486" w:type="dxa"/>
          </w:tcPr>
          <w:p w14:paraId="45C2E034"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268.6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m:oMathPara>
          </w:p>
        </w:tc>
        <w:tc>
          <w:tcPr>
            <w:tcW w:w="1207" w:type="dxa"/>
          </w:tcPr>
          <w:p w14:paraId="60200C5F" w14:textId="77777777" w:rsidR="006C74CF" w:rsidRPr="005B1CCB" w:rsidRDefault="006C74CF" w:rsidP="001C2000">
            <w:pPr>
              <w:spacing w:line="360" w:lineRule="auto"/>
              <w:rPr>
                <w:rFonts w:ascii="Palatino Linotype" w:eastAsiaTheme="minorEastAsia" w:hAnsi="Palatino Linotype" w:cs="Times New Roman"/>
              </w:rPr>
            </w:pPr>
            <w:r w:rsidRPr="005B1CCB">
              <w:rPr>
                <w:rFonts w:ascii="Palatino Linotype" w:eastAsiaTheme="minorEastAsia" w:hAnsi="Palatino Linotype" w:cs="Times New Roman"/>
              </w:rPr>
              <w:t>1</w:t>
            </w:r>
          </w:p>
        </w:tc>
        <w:tc>
          <w:tcPr>
            <w:tcW w:w="1276" w:type="dxa"/>
          </w:tcPr>
          <w:p w14:paraId="48877E6A"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0.201 </m:t>
                </m:r>
              </m:oMath>
            </m:oMathPara>
          </w:p>
        </w:tc>
        <w:tc>
          <w:tcPr>
            <w:tcW w:w="1701" w:type="dxa"/>
          </w:tcPr>
          <w:p w14:paraId="1109838D"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5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-6</m:t>
                    </m:r>
                  </m:sup>
                </m:sSup>
              </m:oMath>
            </m:oMathPara>
          </w:p>
        </w:tc>
        <w:tc>
          <w:tcPr>
            <w:tcW w:w="1559" w:type="dxa"/>
          </w:tcPr>
          <w:p w14:paraId="35085FF0" w14:textId="77777777" w:rsidR="006C74CF" w:rsidRPr="005B1CCB" w:rsidRDefault="00DD4134" w:rsidP="001C2000">
            <w:pPr>
              <w:spacing w:line="360" w:lineRule="auto"/>
              <w:rPr>
                <w:rFonts w:ascii="Palatino Linotype" w:hAnsi="Palatino Linotype" w:cs="Times New Roman"/>
              </w:rPr>
            </w:pPr>
            <m:oMathPara>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0.05</m:t>
                    </m:r>
                  </m:e>
                </m:rad>
              </m:oMath>
            </m:oMathPara>
          </w:p>
        </w:tc>
        <w:tc>
          <w:tcPr>
            <w:tcW w:w="1276" w:type="dxa"/>
            <w:vAlign w:val="bottom"/>
          </w:tcPr>
          <w:p w14:paraId="1D553801" w14:textId="77777777" w:rsidR="006C74CF" w:rsidRPr="005B1CCB" w:rsidRDefault="006C74CF" w:rsidP="001C2000">
            <w:pPr>
              <w:spacing w:line="360" w:lineRule="auto"/>
              <w:jc w:val="right"/>
              <w:rPr>
                <w:rFonts w:ascii="Palatino Linotype" w:hAnsi="Palatino Linotype" w:cs="Times New Roman"/>
                <w:bCs/>
                <w:color w:val="000000"/>
              </w:rPr>
            </w:pPr>
            <w:r w:rsidRPr="005B1CCB">
              <w:rPr>
                <w:rFonts w:ascii="Palatino Linotype" w:hAnsi="Palatino Linotype" w:cs="Times New Roman"/>
                <w:bCs/>
                <w:color w:val="000000"/>
              </w:rPr>
              <w:t>1.40866e-7</w:t>
            </w:r>
          </w:p>
        </w:tc>
      </w:tr>
      <w:tr w:rsidR="006C74CF" w:rsidRPr="005B1CCB" w14:paraId="47F7C0C7" w14:textId="77777777" w:rsidTr="00C573E3">
        <w:tc>
          <w:tcPr>
            <w:tcW w:w="1555" w:type="dxa"/>
          </w:tcPr>
          <w:p w14:paraId="1636FE44" w14:textId="77777777" w:rsidR="006C74CF" w:rsidRPr="005B1CCB" w:rsidRDefault="006C74CF" w:rsidP="001C2000">
            <w:pPr>
              <w:spacing w:line="360" w:lineRule="auto"/>
              <w:rPr>
                <w:rFonts w:ascii="Palatino Linotype" w:hAnsi="Palatino Linotype" w:cs="Times New Roman"/>
                <w:color w:val="000000"/>
              </w:rPr>
            </w:pPr>
            <w:r w:rsidRPr="005B1CCB">
              <w:rPr>
                <w:rFonts w:ascii="Palatino Linotype" w:hAnsi="Palatino Linotype" w:cs="Times New Roman"/>
                <w:color w:val="000000"/>
              </w:rPr>
              <w:t>3.10E+01</w:t>
            </w:r>
          </w:p>
          <w:p w14:paraId="56C52BE7" w14:textId="77777777" w:rsidR="006C74CF" w:rsidRPr="005B1CCB" w:rsidRDefault="006C74CF" w:rsidP="001C2000">
            <w:pPr>
              <w:spacing w:line="360" w:lineRule="auto"/>
              <w:rPr>
                <w:rFonts w:ascii="Palatino Linotype" w:eastAsiaTheme="minorEastAsia" w:hAnsi="Palatino Linotype" w:cs="Times New Roman"/>
              </w:rPr>
            </w:pPr>
          </w:p>
        </w:tc>
        <w:tc>
          <w:tcPr>
            <w:tcW w:w="1486" w:type="dxa"/>
          </w:tcPr>
          <w:p w14:paraId="65321568"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268.6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m:oMathPara>
          </w:p>
        </w:tc>
        <w:tc>
          <w:tcPr>
            <w:tcW w:w="1207" w:type="dxa"/>
          </w:tcPr>
          <w:p w14:paraId="4D6C247A" w14:textId="77777777" w:rsidR="006C74CF" w:rsidRPr="005B1CCB" w:rsidRDefault="006C74CF" w:rsidP="001C2000">
            <w:pPr>
              <w:spacing w:line="360" w:lineRule="auto"/>
              <w:rPr>
                <w:rFonts w:ascii="Palatino Linotype" w:eastAsiaTheme="minorEastAsia" w:hAnsi="Palatino Linotype" w:cs="Times New Roman"/>
              </w:rPr>
            </w:pPr>
            <w:r w:rsidRPr="005B1CCB">
              <w:rPr>
                <w:rFonts w:ascii="Palatino Linotype" w:eastAsiaTheme="minorEastAsia" w:hAnsi="Palatino Linotype" w:cs="Times New Roman"/>
              </w:rPr>
              <w:t>1</w:t>
            </w:r>
          </w:p>
          <w:p w14:paraId="48C03329" w14:textId="77777777" w:rsidR="006C74CF" w:rsidRPr="005B1CCB" w:rsidRDefault="006C74CF" w:rsidP="001C2000">
            <w:pPr>
              <w:spacing w:line="360" w:lineRule="auto"/>
              <w:rPr>
                <w:rFonts w:ascii="Palatino Linotype" w:eastAsiaTheme="minorEastAsia" w:hAnsi="Palatino Linotype" w:cs="Times New Roman"/>
              </w:rPr>
            </w:pPr>
          </w:p>
        </w:tc>
        <w:tc>
          <w:tcPr>
            <w:tcW w:w="1276" w:type="dxa"/>
          </w:tcPr>
          <w:p w14:paraId="107799BE"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0.201</m:t>
                </m:r>
              </m:oMath>
            </m:oMathPara>
          </w:p>
        </w:tc>
        <w:tc>
          <w:tcPr>
            <w:tcW w:w="1701" w:type="dxa"/>
          </w:tcPr>
          <w:p w14:paraId="5751CC70" w14:textId="77777777" w:rsidR="006C74CF" w:rsidRPr="005B1CCB" w:rsidRDefault="006C74CF" w:rsidP="001C2000">
            <w:pPr>
              <w:spacing w:line="360" w:lineRule="auto"/>
              <w:rPr>
                <w:rFonts w:ascii="Palatino Linotype" w:hAnsi="Palatino Linotype" w:cs="Times New Roman"/>
              </w:rPr>
            </w:pPr>
            <m:oMathPara>
              <m:oMath>
                <m:r>
                  <w:rPr>
                    <w:rFonts w:ascii="Cambria Math" w:eastAsiaTheme="minorEastAsia" w:hAnsi="Cambria Math" w:cs="Times New Roman"/>
                  </w:rPr>
                  <m:t xml:space="preserve">5 × </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-6</m:t>
                    </m:r>
                  </m:sup>
                </m:sSup>
              </m:oMath>
            </m:oMathPara>
          </w:p>
        </w:tc>
        <w:tc>
          <w:tcPr>
            <w:tcW w:w="1559" w:type="dxa"/>
          </w:tcPr>
          <w:p w14:paraId="781CCA4A" w14:textId="77777777" w:rsidR="006C74CF" w:rsidRPr="005B1CCB" w:rsidRDefault="00DD4134" w:rsidP="001C2000">
            <w:pPr>
              <w:spacing w:line="360" w:lineRule="auto"/>
              <w:rPr>
                <w:rFonts w:ascii="Palatino Linotype" w:hAnsi="Palatino Linotype" w:cs="Times New Roman"/>
              </w:rPr>
            </w:pPr>
            <m:oMathPara>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0.1</m:t>
                    </m:r>
                  </m:e>
                </m:rad>
              </m:oMath>
            </m:oMathPara>
          </w:p>
        </w:tc>
        <w:tc>
          <w:tcPr>
            <w:tcW w:w="1276" w:type="dxa"/>
            <w:vAlign w:val="bottom"/>
          </w:tcPr>
          <w:p w14:paraId="03895E6A" w14:textId="77777777" w:rsidR="006C74CF" w:rsidRPr="005B1CCB" w:rsidRDefault="006C74CF" w:rsidP="001C2000">
            <w:pPr>
              <w:spacing w:line="360" w:lineRule="auto"/>
              <w:jc w:val="right"/>
              <w:rPr>
                <w:rFonts w:ascii="Palatino Linotype" w:hAnsi="Palatino Linotype" w:cs="Times New Roman"/>
                <w:bCs/>
                <w:color w:val="000000"/>
              </w:rPr>
            </w:pPr>
            <w:r w:rsidRPr="005B1CCB">
              <w:rPr>
                <w:rFonts w:ascii="Palatino Linotype" w:hAnsi="Palatino Linotype" w:cs="Times New Roman"/>
                <w:bCs/>
                <w:color w:val="000000"/>
              </w:rPr>
              <w:t>1.18496e-7</w:t>
            </w:r>
          </w:p>
        </w:tc>
      </w:tr>
    </w:tbl>
    <w:p w14:paraId="06AB7BF2" w14:textId="0239E438" w:rsidR="00717C13" w:rsidRPr="005B1CCB" w:rsidRDefault="00E747B7" w:rsidP="00596138">
      <w:pPr>
        <w:autoSpaceDE w:val="0"/>
        <w:autoSpaceDN w:val="0"/>
        <w:spacing w:line="360" w:lineRule="auto"/>
        <w:jc w:val="both"/>
        <w:rPr>
          <w:rFonts w:ascii="Palatino Linotype" w:eastAsia="Times New Roman" w:hAnsi="Palatino Linotype" w:cs="Times New Roman"/>
          <w:sz w:val="24"/>
          <w:szCs w:val="24"/>
          <w:lang w:val="en-US"/>
        </w:rPr>
      </w:pPr>
      <w:r w:rsidRPr="005B1CCB">
        <w:rPr>
          <w:rFonts w:ascii="Palatino Linotype" w:eastAsia="Times New Roman" w:hAnsi="Palatino Linotype" w:cs="Times New Roman"/>
          <w:sz w:val="24"/>
          <w:szCs w:val="24"/>
          <w:lang w:val="en-US"/>
        </w:rPr>
        <w:t xml:space="preserve">    </w:t>
      </w:r>
      <w:r w:rsidR="00242633" w:rsidRPr="0061102A">
        <w:rPr>
          <w:rFonts w:ascii="Palatino Linotype" w:eastAsia="Times New Roman" w:hAnsi="Palatino Linotype" w:cs="Times New Roman"/>
          <w:sz w:val="24"/>
          <w:szCs w:val="24"/>
          <w:lang w:val="en-US"/>
        </w:rPr>
        <w:t>The diffusion coefficient is an important physical parameter that describes diffusional transport in electrochemistry</w:t>
      </w:r>
      <w:r w:rsidR="00242633" w:rsidRPr="005B1CCB">
        <w:rPr>
          <w:rFonts w:ascii="Palatino Linotype" w:eastAsia="Times New Roman" w:hAnsi="Palatino Linotype" w:cs="Times New Roman"/>
          <w:sz w:val="24"/>
          <w:szCs w:val="24"/>
          <w:lang w:val="en-US"/>
        </w:rPr>
        <w:t xml:space="preserve"> </w:t>
      </w:r>
      <w:r w:rsidR="00242633" w:rsidRPr="005B1CCB">
        <w:rPr>
          <w:rFonts w:ascii="Palatino Linotype" w:eastAsia="Times New Roman" w:hAnsi="Palatino Linotype" w:cs="Times New Roman"/>
          <w:sz w:val="24"/>
          <w:szCs w:val="24"/>
          <w:lang w:val="en-US"/>
        </w:rPr>
        <w:fldChar w:fldCharType="begin" w:fldLock="1"/>
      </w:r>
      <w:r w:rsidR="000766C5">
        <w:rPr>
          <w:rFonts w:ascii="Palatino Linotype" w:eastAsia="Times New Roman" w:hAnsi="Palatino Linotype" w:cs="Times New Roman"/>
          <w:sz w:val="24"/>
          <w:szCs w:val="24"/>
          <w:lang w:val="en-US"/>
        </w:rPr>
        <w:instrText>ADDIN CSL_CITATION {"citationItems":[{"id":"ITEM-1","itemData":{"DOI":"10.1186/1758-2946-6-30","ISSN":"1758-2946","abstract":"BACKGROUND: Support vector regression (SVR) and Gaussian process regression (GPR) were used for the analysis of electroanalytical experimental data to estimate diffusion coefficients. RESULTS: For simulated cyclic voltammograms based on the EC, Eqr, and EqrC mechanisms these regression algorithms in combination with nonlinear kernel/covariance functions yielded diffusion coefficients with higher accuracy as compared to the standard approach of calculating diffusion coefficients relying on the Nicholson-Shain equation. The level of accuracy achieved by SVR and GPR is virtually independent of the rate constants governing the respective reaction steps. Further, the reduction of high-dimensional voltammetric signals by manual selection of typical voltammetric peak features decreased the performance of both regression algorithms compared to a reduction by downsampling or principal component analysis. After training on simulated data sets, diffusion coefficients were estimated by the regression algorithms for experimental data comprising voltammetric signals for three organometallic complexes. CONCLUSIONS: Estimated diffusion coefficients closely matched the values determined by the parameter fitting method, but reduced the required computational time considerably for one of the reaction mechanisms. The automated processing of voltammograms according to the regression algorithms yields better results than the conventional analysis of peak-related data.","author":[{"dropping-particle":"","family":"Bogdan","given":"Martin","non-dropping-particle":"","parse-names":false,"suffix":""},{"dropping-particle":"","family":"Brugger","given":"Dominik","non-dropping-particle":"","parse-names":false,"suffix":""},{"dropping-particle":"","family":"Rosenstiel","given":"Wolfgang","non-dropping-particle":"","parse-names":false,"suffix":""},{"dropping-particle":"","family":"Speiser","given":"Bernd","non-dropping-particle":"","parse-names":false,"suffix":""}],"container-title":"Journal of cheminformatics","id":"ITEM-1","issued":{"date-parts":[["2014","5","28"]]},"language":"eng","page":"30","publisher":"BioMed Central","title":"Estimation of diffusion coefficients from voltammetric signals by support vector and gaussian process regression","type":"article-journal","volume":"6"},"uris":["http://www.mendeley.com/documents/?uuid=9b261360-a2a1-456d-ad1e-33674a579e78"]}],"mendeley":{"formattedCitation":"[218]","plainTextFormattedCitation":"[218]","previouslyFormattedCitation":"[218]"},"properties":{"noteIndex":0},"schema":"https://github.com/citation-style-language/schema/raw/master/csl-citation.json"}</w:instrText>
      </w:r>
      <w:r w:rsidR="00242633" w:rsidRPr="005B1CCB">
        <w:rPr>
          <w:rFonts w:ascii="Palatino Linotype" w:eastAsia="Times New Roman" w:hAnsi="Palatino Linotype" w:cs="Times New Roman"/>
          <w:sz w:val="24"/>
          <w:szCs w:val="24"/>
          <w:lang w:val="en-US"/>
        </w:rPr>
        <w:fldChar w:fldCharType="separate"/>
      </w:r>
      <w:r w:rsidR="005F2946" w:rsidRPr="005F2946">
        <w:rPr>
          <w:rFonts w:ascii="Palatino Linotype" w:eastAsia="Times New Roman" w:hAnsi="Palatino Linotype" w:cs="Times New Roman"/>
          <w:noProof/>
          <w:sz w:val="24"/>
          <w:szCs w:val="24"/>
          <w:lang w:val="en-US"/>
        </w:rPr>
        <w:t>[218]</w:t>
      </w:r>
      <w:r w:rsidR="00242633" w:rsidRPr="005B1CCB">
        <w:rPr>
          <w:rFonts w:ascii="Palatino Linotype" w:eastAsia="Times New Roman" w:hAnsi="Palatino Linotype" w:cs="Times New Roman"/>
          <w:sz w:val="24"/>
          <w:szCs w:val="24"/>
          <w:lang w:val="en-US"/>
        </w:rPr>
        <w:fldChar w:fldCharType="end"/>
      </w:r>
      <w:r w:rsidR="00242633" w:rsidRPr="005B1CCB">
        <w:rPr>
          <w:rFonts w:ascii="Palatino Linotype" w:eastAsia="Times New Roman" w:hAnsi="Palatino Linotype" w:cs="Times New Roman"/>
          <w:sz w:val="24"/>
          <w:szCs w:val="24"/>
          <w:lang w:val="en-US"/>
        </w:rPr>
        <w:t>.</w:t>
      </w:r>
      <w:r w:rsidRPr="005B1CCB">
        <w:rPr>
          <w:rFonts w:ascii="Palatino Linotype" w:eastAsia="Times New Roman" w:hAnsi="Palatino Linotype" w:cs="Times New Roman"/>
          <w:sz w:val="24"/>
          <w:szCs w:val="24"/>
          <w:lang w:val="en-US"/>
        </w:rPr>
        <w:t xml:space="preserve"> In CV, the current passing through each SPE is limited by the diffusion of species to the electrode surface. This </w:t>
      </w:r>
      <w:r w:rsidRPr="0061102A">
        <w:rPr>
          <w:rFonts w:ascii="Palatino Linotype" w:eastAsia="Times New Roman" w:hAnsi="Palatino Linotype" w:cs="Times New Roman"/>
          <w:sz w:val="24"/>
          <w:szCs w:val="24"/>
          <w:lang w:val="en-US"/>
        </w:rPr>
        <w:t>diffusion flux is determined by the concentration gradient near the SPE which is in turn influenced by concentration of species at the surface of the SPE and how fast the species can diffuse through solution</w:t>
      </w:r>
      <w:r w:rsidRPr="005B1CCB">
        <w:rPr>
          <w:rFonts w:ascii="Palatino Linotype" w:eastAsia="Times New Roman" w:hAnsi="Palatino Linotype" w:cs="Times New Roman"/>
          <w:sz w:val="24"/>
          <w:szCs w:val="24"/>
          <w:lang w:val="en-US"/>
        </w:rPr>
        <w:t xml:space="preserve">. </w:t>
      </w:r>
      <w:r w:rsidRPr="0061102A">
        <w:rPr>
          <w:rFonts w:ascii="Palatino Linotype" w:eastAsia="Times New Roman" w:hAnsi="Palatino Linotype" w:cs="Times New Roman"/>
          <w:sz w:val="24"/>
          <w:szCs w:val="24"/>
          <w:lang w:val="en-US"/>
        </w:rPr>
        <w:t>Therefore, changing the voltage potential will also change the concentration of species meaning that a faster voltage sweep will result in a larger concentration gradient and thus result in a higher current.</w:t>
      </w:r>
      <w:r w:rsidR="004E4A86" w:rsidRPr="005B1CCB">
        <w:rPr>
          <w:rFonts w:ascii="Palatino Linotype" w:eastAsia="Times New Roman" w:hAnsi="Palatino Linotype" w:cs="Times New Roman"/>
          <w:sz w:val="24"/>
          <w:szCs w:val="24"/>
          <w:lang w:val="en-US"/>
        </w:rPr>
        <w:t xml:space="preserve"> </w:t>
      </w:r>
      <w:r w:rsidR="00717C13" w:rsidRPr="005B1CCB">
        <w:rPr>
          <w:rFonts w:ascii="Palatino Linotype" w:eastAsia="Times New Roman" w:hAnsi="Palatino Linotype" w:cs="Times New Roman"/>
          <w:sz w:val="24"/>
          <w:szCs w:val="24"/>
          <w:lang w:val="en-US"/>
        </w:rPr>
        <w:t>These observations are noted in Tables 8 and 9.</w:t>
      </w:r>
    </w:p>
    <w:p w14:paraId="7BBEAABB" w14:textId="229B6FA8" w:rsidR="00717C13" w:rsidRPr="005B1CCB" w:rsidRDefault="00717C13" w:rsidP="00596138">
      <w:pPr>
        <w:autoSpaceDE w:val="0"/>
        <w:autoSpaceDN w:val="0"/>
        <w:spacing w:line="360" w:lineRule="auto"/>
        <w:jc w:val="both"/>
        <w:rPr>
          <w:rFonts w:ascii="Palatino Linotype" w:eastAsia="Times New Roman" w:hAnsi="Palatino Linotype" w:cs="Times New Roman"/>
          <w:sz w:val="24"/>
          <w:szCs w:val="24"/>
          <w:lang w:val="en-US"/>
        </w:rPr>
      </w:pPr>
      <w:r w:rsidRPr="005B1CCB">
        <w:rPr>
          <w:rFonts w:ascii="Palatino Linotype" w:eastAsia="Times New Roman" w:hAnsi="Palatino Linotype" w:cs="Times New Roman"/>
          <w:sz w:val="24"/>
          <w:szCs w:val="24"/>
          <w:lang w:val="en-US"/>
        </w:rPr>
        <w:t xml:space="preserve">    </w:t>
      </w:r>
      <w:r w:rsidR="008E7C7F" w:rsidRPr="0061102A">
        <w:rPr>
          <w:rFonts w:ascii="Palatino Linotype" w:eastAsia="Times New Roman" w:hAnsi="Palatino Linotype" w:cs="Times New Roman"/>
          <w:sz w:val="24"/>
          <w:szCs w:val="24"/>
          <w:lang w:val="en-US"/>
        </w:rPr>
        <w:t>The diffusion coefficient for the clean SPEs were faster than the diffusion coefficients from the probe immobilised SPEs</w:t>
      </w:r>
      <w:r w:rsidR="008E7C7F" w:rsidRPr="005B1CCB">
        <w:rPr>
          <w:rFonts w:ascii="Palatino Linotype" w:eastAsia="Times New Roman" w:hAnsi="Palatino Linotype" w:cs="Times New Roman"/>
          <w:sz w:val="24"/>
          <w:szCs w:val="24"/>
          <w:lang w:val="en-US"/>
        </w:rPr>
        <w:t xml:space="preserve"> in Table 8 (as expected) and very close to the literature value for the oxidation reaction to ferricyanide (7 x 10</w:t>
      </w:r>
      <w:r w:rsidR="008E7C7F" w:rsidRPr="005B1CCB">
        <w:rPr>
          <w:rFonts w:ascii="Palatino Linotype" w:eastAsia="Times New Roman" w:hAnsi="Palatino Linotype" w:cs="Times New Roman"/>
          <w:sz w:val="24"/>
          <w:szCs w:val="24"/>
          <w:vertAlign w:val="superscript"/>
          <w:lang w:val="en-US"/>
        </w:rPr>
        <w:t>-6</w:t>
      </w:r>
      <w:r w:rsidR="008E7C7F" w:rsidRPr="005B1CCB">
        <w:rPr>
          <w:rFonts w:ascii="Palatino Linotype" w:eastAsia="Times New Roman" w:hAnsi="Palatino Linotype" w:cs="Times New Roman"/>
          <w:sz w:val="24"/>
          <w:szCs w:val="24"/>
          <w:lang w:val="en-US"/>
        </w:rPr>
        <w:t xml:space="preserve"> cm</w:t>
      </w:r>
      <w:r w:rsidR="008E7C7F" w:rsidRPr="005B1CCB">
        <w:rPr>
          <w:rFonts w:ascii="Palatino Linotype" w:eastAsia="Times New Roman" w:hAnsi="Palatino Linotype" w:cs="Times New Roman"/>
          <w:sz w:val="24"/>
          <w:szCs w:val="24"/>
          <w:vertAlign w:val="superscript"/>
          <w:lang w:val="en-US"/>
        </w:rPr>
        <w:t>2</w:t>
      </w:r>
      <w:r w:rsidR="008E7C7F" w:rsidRPr="005B1CCB">
        <w:rPr>
          <w:rFonts w:ascii="Palatino Linotype" w:eastAsia="Times New Roman" w:hAnsi="Palatino Linotype" w:cs="Times New Roman"/>
          <w:sz w:val="24"/>
          <w:szCs w:val="24"/>
          <w:lang w:val="en-US"/>
        </w:rPr>
        <w:t>s</w:t>
      </w:r>
      <w:r w:rsidR="008E7C7F" w:rsidRPr="005B1CCB">
        <w:rPr>
          <w:rFonts w:ascii="Palatino Linotype" w:eastAsia="Times New Roman" w:hAnsi="Palatino Linotype" w:cs="Times New Roman"/>
          <w:sz w:val="24"/>
          <w:szCs w:val="24"/>
          <w:vertAlign w:val="superscript"/>
          <w:lang w:val="en-US"/>
        </w:rPr>
        <w:t>-1</w:t>
      </w:r>
      <w:r w:rsidR="008E7C7F" w:rsidRPr="005B1CCB">
        <w:rPr>
          <w:rFonts w:ascii="Palatino Linotype" w:eastAsia="Times New Roman" w:hAnsi="Palatino Linotype" w:cs="Times New Roman"/>
          <w:sz w:val="24"/>
          <w:szCs w:val="24"/>
          <w:lang w:val="en-US"/>
        </w:rPr>
        <w:t xml:space="preserve">) </w:t>
      </w:r>
      <w:r w:rsidR="008E7C7F" w:rsidRPr="005B1CCB">
        <w:rPr>
          <w:rFonts w:ascii="Palatino Linotype" w:eastAsia="Times New Roman" w:hAnsi="Palatino Linotype" w:cs="Times New Roman"/>
          <w:sz w:val="24"/>
          <w:szCs w:val="24"/>
          <w:lang w:val="en-US"/>
        </w:rPr>
        <w:fldChar w:fldCharType="begin" w:fldLock="1"/>
      </w:r>
      <w:r w:rsidR="000766C5">
        <w:rPr>
          <w:rFonts w:ascii="Palatino Linotype" w:eastAsia="Times New Roman" w:hAnsi="Palatino Linotype" w:cs="Times New Roman"/>
          <w:sz w:val="24"/>
          <w:szCs w:val="24"/>
          <w:lang w:val="en-US"/>
        </w:rPr>
        <w:instrText>ADDIN CSL_CITATION {"citationItems":[{"id":"ITEM-1","itemData":{"DOI":"10.1021/ac50160a042","ISSN":"15206882","abstract":"The diffusion coefficients, DO and DR, of the species ferri- and ferrocyanide, respectively, in aqueous KCI media were determined by twin-electrode thin-layer electrochemistry using a micrometer-type thin-layer cell. The values obtained for DO and DR at 25° C in LOOM KCI were 0.726 (±0.011) × 10-5 and 0.667(±0.014) × 10-5 cm2/sec, respectively, covering a concentration range from 0.61 to 6.36mM in total electroactive species. Identical values within experimental uncertainty were found in 0.10M KCI medium. Criteria for the reliability of this absolute method for measuring the D values of a soluble, stable redox pair are presented, and comparisons of D values with those obtained by other workers are made. © 1970, American Chemical Society. All rights reserved.","author":[{"dropping-particle":"","family":"Konopka","given":"S. J.","non-dropping-particle":"","parse-names":false,"suffix":""},{"dropping-particle":"","family":"McDuffie","given":"Bruce","non-dropping-particle":"","parse-names":false,"suffix":""}],"container-title":"Analytical Chemistry","id":"ITEM-1","issue":"14","issued":{"date-parts":[["1970"]]},"page":"1741-1746","title":"Diffusion Coefficients of Ferri- and Ferrocyanide Ions in Aqueous Media, Using Twin-Electrode Thin-Layer Electrochemistry","type":"article-journal","volume":"42"},"uris":["http://www.mendeley.com/documents/?uuid=5fb650ec-8a6c-491b-ac1b-435dabda4089"]}],"mendeley":{"formattedCitation":"[219]","plainTextFormattedCitation":"[219]","previouslyFormattedCitation":"[219]"},"properties":{"noteIndex":0},"schema":"https://github.com/citation-style-language/schema/raw/master/csl-citation.json"}</w:instrText>
      </w:r>
      <w:r w:rsidR="008E7C7F" w:rsidRPr="005B1CCB">
        <w:rPr>
          <w:rFonts w:ascii="Palatino Linotype" w:eastAsia="Times New Roman" w:hAnsi="Palatino Linotype" w:cs="Times New Roman"/>
          <w:sz w:val="24"/>
          <w:szCs w:val="24"/>
          <w:lang w:val="en-US"/>
        </w:rPr>
        <w:fldChar w:fldCharType="separate"/>
      </w:r>
      <w:r w:rsidR="005F2946" w:rsidRPr="005F2946">
        <w:rPr>
          <w:rFonts w:ascii="Palatino Linotype" w:eastAsia="Times New Roman" w:hAnsi="Palatino Linotype" w:cs="Times New Roman"/>
          <w:noProof/>
          <w:sz w:val="24"/>
          <w:szCs w:val="24"/>
          <w:lang w:val="en-US"/>
        </w:rPr>
        <w:t>[219]</w:t>
      </w:r>
      <w:r w:rsidR="008E7C7F" w:rsidRPr="005B1CCB">
        <w:rPr>
          <w:rFonts w:ascii="Palatino Linotype" w:eastAsia="Times New Roman" w:hAnsi="Palatino Linotype" w:cs="Times New Roman"/>
          <w:sz w:val="24"/>
          <w:szCs w:val="24"/>
          <w:lang w:val="en-US"/>
        </w:rPr>
        <w:fldChar w:fldCharType="end"/>
      </w:r>
      <w:r w:rsidR="008E7C7F" w:rsidRPr="005B1CCB">
        <w:rPr>
          <w:rFonts w:ascii="Palatino Linotype" w:eastAsia="Times New Roman" w:hAnsi="Palatino Linotype" w:cs="Times New Roman"/>
          <w:sz w:val="24"/>
          <w:szCs w:val="24"/>
          <w:lang w:val="en-US"/>
        </w:rPr>
        <w:t xml:space="preserve">. </w:t>
      </w:r>
      <w:r w:rsidRPr="005B1CCB">
        <w:rPr>
          <w:rFonts w:ascii="Palatino Linotype" w:eastAsia="Times New Roman" w:hAnsi="Palatino Linotype" w:cs="Times New Roman"/>
          <w:sz w:val="24"/>
          <w:szCs w:val="24"/>
          <w:lang w:val="en-US"/>
        </w:rPr>
        <w:t>From Table 9, the calculated diffusion coefficients using the Randles-Sevcik equation were not consistent between runs. The peak current</w:t>
      </w:r>
      <w:r w:rsidR="008E7C7F" w:rsidRPr="005B1CCB">
        <w:rPr>
          <w:rFonts w:ascii="Palatino Linotype" w:eastAsia="Times New Roman" w:hAnsi="Palatino Linotype" w:cs="Times New Roman"/>
          <w:sz w:val="24"/>
          <w:szCs w:val="24"/>
          <w:lang w:val="en-US"/>
        </w:rPr>
        <w:t>s</w:t>
      </w:r>
      <w:r w:rsidRPr="005B1CCB">
        <w:rPr>
          <w:rFonts w:ascii="Palatino Linotype" w:eastAsia="Times New Roman" w:hAnsi="Palatino Linotype" w:cs="Times New Roman"/>
          <w:sz w:val="24"/>
          <w:szCs w:val="24"/>
          <w:lang w:val="en-US"/>
        </w:rPr>
        <w:t xml:space="preserve"> show a direct influence on the diffusion coefficient and binding between the mutated target and the wild-type probe which </w:t>
      </w:r>
      <w:r w:rsidR="008E7C7F" w:rsidRPr="005B1CCB">
        <w:rPr>
          <w:rFonts w:ascii="Palatino Linotype" w:eastAsia="Times New Roman" w:hAnsi="Palatino Linotype" w:cs="Times New Roman"/>
          <w:sz w:val="24"/>
          <w:szCs w:val="24"/>
          <w:lang w:val="en-US"/>
        </w:rPr>
        <w:t>results in</w:t>
      </w:r>
      <w:r w:rsidRPr="005B1CCB">
        <w:rPr>
          <w:rFonts w:ascii="Palatino Linotype" w:eastAsia="Times New Roman" w:hAnsi="Palatino Linotype" w:cs="Times New Roman"/>
          <w:sz w:val="24"/>
          <w:szCs w:val="24"/>
          <w:lang w:val="en-US"/>
        </w:rPr>
        <w:t xml:space="preserve"> an apparently lower dif</w:t>
      </w:r>
      <w:r w:rsidR="00A213FE">
        <w:rPr>
          <w:rFonts w:ascii="Palatino Linotype" w:eastAsia="Times New Roman" w:hAnsi="Palatino Linotype" w:cs="Times New Roman"/>
          <w:sz w:val="24"/>
          <w:szCs w:val="24"/>
          <w:lang w:val="en-US"/>
        </w:rPr>
        <w:t>fusion coefficient as expected.</w:t>
      </w:r>
    </w:p>
    <w:p w14:paraId="5CA8D47F" w14:textId="394EC70B" w:rsidR="00261B1D" w:rsidRPr="005B1CCB" w:rsidRDefault="00261B1D" w:rsidP="00C573E3">
      <w:pPr>
        <w:pStyle w:val="Caption"/>
        <w:keepNext/>
        <w:rPr>
          <w:sz w:val="22"/>
          <w:szCs w:val="22"/>
        </w:rPr>
      </w:pPr>
      <w:bookmarkStart w:id="121" w:name="_Toc84272332"/>
      <w:r w:rsidRPr="005B1CCB">
        <w:rPr>
          <w:sz w:val="22"/>
          <w:szCs w:val="22"/>
        </w:rPr>
        <w:t xml:space="preserve">Table </w:t>
      </w:r>
      <w:r w:rsidRPr="005B1CCB">
        <w:rPr>
          <w:sz w:val="22"/>
          <w:szCs w:val="22"/>
        </w:rPr>
        <w:fldChar w:fldCharType="begin"/>
      </w:r>
      <w:r w:rsidRPr="005B1CCB">
        <w:rPr>
          <w:sz w:val="22"/>
          <w:szCs w:val="22"/>
        </w:rPr>
        <w:instrText xml:space="preserve"> SEQ Table \* ARABIC </w:instrText>
      </w:r>
      <w:r w:rsidRPr="005B1CCB">
        <w:rPr>
          <w:sz w:val="22"/>
          <w:szCs w:val="22"/>
        </w:rPr>
        <w:fldChar w:fldCharType="separate"/>
      </w:r>
      <w:r w:rsidR="005355B6">
        <w:rPr>
          <w:noProof/>
          <w:sz w:val="22"/>
          <w:szCs w:val="22"/>
        </w:rPr>
        <w:t>11</w:t>
      </w:r>
      <w:r w:rsidRPr="005B1CCB">
        <w:rPr>
          <w:sz w:val="22"/>
          <w:szCs w:val="22"/>
        </w:rPr>
        <w:fldChar w:fldCharType="end"/>
      </w:r>
      <w:r w:rsidRPr="005B1CCB">
        <w:rPr>
          <w:sz w:val="22"/>
          <w:szCs w:val="22"/>
        </w:rPr>
        <w:t>:</w:t>
      </w:r>
      <w:r w:rsidRPr="005B1CCB">
        <w:rPr>
          <w:i w:val="0"/>
          <w:iCs w:val="0"/>
          <w:color w:val="auto"/>
          <w:sz w:val="22"/>
          <w:szCs w:val="22"/>
        </w:rPr>
        <w:t xml:space="preserve"> </w:t>
      </w:r>
      <w:r w:rsidRPr="005B1CCB">
        <w:rPr>
          <w:sz w:val="22"/>
          <w:szCs w:val="22"/>
        </w:rPr>
        <w:t>RANDLES SEVCIK EQUATION – DNA IMMOBILISED MACROELECTRODE ANALYSIS</w:t>
      </w:r>
      <w:bookmarkEnd w:id="121"/>
    </w:p>
    <w:tbl>
      <w:tblPr>
        <w:tblpPr w:leftFromText="180" w:rightFromText="180" w:vertAnchor="text" w:horzAnchor="margin" w:tblpXSpec="center" w:tblpY="-128"/>
        <w:tblW w:w="10060" w:type="dxa"/>
        <w:tblLayout w:type="fixed"/>
        <w:tblLook w:val="04A0" w:firstRow="1" w:lastRow="0" w:firstColumn="1" w:lastColumn="0" w:noHBand="0" w:noVBand="1"/>
      </w:tblPr>
      <w:tblGrid>
        <w:gridCol w:w="1838"/>
        <w:gridCol w:w="1149"/>
        <w:gridCol w:w="1150"/>
        <w:gridCol w:w="1407"/>
        <w:gridCol w:w="1701"/>
        <w:gridCol w:w="1397"/>
        <w:gridCol w:w="1418"/>
      </w:tblGrid>
      <w:tr w:rsidR="00BB3F6E" w:rsidRPr="00F026CE" w14:paraId="469AC750" w14:textId="77777777" w:rsidTr="00C573E3">
        <w:trPr>
          <w:trHeight w:val="412"/>
        </w:trPr>
        <w:tc>
          <w:tcPr>
            <w:tcW w:w="10060" w:type="dxa"/>
            <w:gridSpan w:val="7"/>
          </w:tcPr>
          <w:p w14:paraId="53ED030C" w14:textId="77777777" w:rsidR="00BB3F6E" w:rsidRPr="00F026CE" w:rsidRDefault="00BB3F6E" w:rsidP="00C573E3">
            <w:pPr>
              <w:autoSpaceDE w:val="0"/>
              <w:autoSpaceDN w:val="0"/>
              <w:spacing w:line="360" w:lineRule="auto"/>
              <w:jc w:val="center"/>
              <w:rPr>
                <w:rFonts w:ascii="Palatino Linotype" w:eastAsia="Times New Roman" w:hAnsi="Palatino Linotype" w:cs="Times New Roman"/>
                <w:b/>
              </w:rPr>
            </w:pPr>
            <w:r w:rsidRPr="00F026CE">
              <w:rPr>
                <w:rFonts w:ascii="Palatino Linotype" w:eastAsia="Times New Roman" w:hAnsi="Palatino Linotype" w:cs="Times New Roman"/>
                <w:b/>
              </w:rPr>
              <w:t>RANDLES SEVCIK EQUATION – DNA IMMOBILISED MACROELECTRODE ANALYSIS</w:t>
            </w:r>
          </w:p>
        </w:tc>
      </w:tr>
      <w:tr w:rsidR="00BB3F6E" w:rsidRPr="00F026CE" w14:paraId="31B6F835" w14:textId="77777777" w:rsidTr="00C573E3">
        <w:trPr>
          <w:trHeight w:val="900"/>
        </w:trPr>
        <w:tc>
          <w:tcPr>
            <w:tcW w:w="1838" w:type="dxa"/>
          </w:tcPr>
          <w:p w14:paraId="3ADD2DBE"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 xml:space="preserve">Peak current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I</m:t>
                  </m:r>
                </m:e>
                <m:sub>
                  <m:r>
                    <w:rPr>
                      <w:rFonts w:ascii="Cambria Math" w:eastAsia="Times New Roman" w:hAnsi="Cambria Math" w:cs="Times New Roman"/>
                      <w:sz w:val="20"/>
                      <w:szCs w:val="20"/>
                    </w:rPr>
                    <m:t>p</m:t>
                  </m:r>
                </m:sub>
              </m:sSub>
              <m:r>
                <w:rPr>
                  <w:rFonts w:ascii="Cambria Math" w:eastAsia="Times New Roman" w:hAnsi="Cambria Math" w:cs="Times New Roman"/>
                  <w:sz w:val="20"/>
                  <w:szCs w:val="20"/>
                </w:rPr>
                <m:t xml:space="preserve"> </m:t>
              </m:r>
            </m:oMath>
            <w:r w:rsidRPr="00F026CE">
              <w:rPr>
                <w:rFonts w:ascii="Palatino Linotype" w:eastAsia="Times New Roman" w:hAnsi="Palatino Linotype" w:cs="Times New Roman"/>
                <w:sz w:val="20"/>
                <w:szCs w:val="20"/>
              </w:rPr>
              <w:t xml:space="preserve">(µA) for </w:t>
            </w:r>
            <w:r w:rsidR="00611E66" w:rsidRPr="00F026CE">
              <w:rPr>
                <w:rFonts w:ascii="Palatino Linotype" w:eastAsia="Times New Roman" w:hAnsi="Palatino Linotype" w:cs="Times New Roman"/>
                <w:sz w:val="20"/>
                <w:szCs w:val="20"/>
              </w:rPr>
              <w:t xml:space="preserve">complementary and non-complementary hybridisation using Tp53 wild-type probes </w:t>
            </w:r>
          </w:p>
        </w:tc>
        <w:tc>
          <w:tcPr>
            <w:tcW w:w="1149" w:type="dxa"/>
          </w:tcPr>
          <w:p w14:paraId="52309828"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 xml:space="preserve">  Gas  Constant (J/K/mol)</w:t>
            </w:r>
          </w:p>
        </w:tc>
        <w:tc>
          <w:tcPr>
            <w:tcW w:w="1150" w:type="dxa"/>
          </w:tcPr>
          <w:p w14:paraId="2D4A10F9"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Number of electrons</w:t>
            </w:r>
          </w:p>
        </w:tc>
        <w:tc>
          <w:tcPr>
            <w:tcW w:w="1407" w:type="dxa"/>
          </w:tcPr>
          <w:p w14:paraId="0D79DD27"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Area of the working electrode (cm)</w:t>
            </w:r>
          </w:p>
        </w:tc>
        <w:tc>
          <w:tcPr>
            <w:tcW w:w="1701" w:type="dxa"/>
          </w:tcPr>
          <w:p w14:paraId="1725D997"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Concentration of solution (mol/cm</w:t>
            </w:r>
            <w:r w:rsidRPr="00F026CE">
              <w:rPr>
                <w:rFonts w:ascii="Palatino Linotype" w:eastAsia="Times New Roman" w:hAnsi="Palatino Linotype" w:cs="Times New Roman"/>
                <w:sz w:val="20"/>
                <w:szCs w:val="20"/>
                <w:vertAlign w:val="superscript"/>
              </w:rPr>
              <w:t>3</w:t>
            </w:r>
            <w:r w:rsidRPr="00F026CE">
              <w:rPr>
                <w:rFonts w:ascii="Palatino Linotype" w:eastAsia="Times New Roman" w:hAnsi="Palatino Linotype" w:cs="Times New Roman"/>
                <w:sz w:val="20"/>
                <w:szCs w:val="20"/>
              </w:rPr>
              <w:t>)</w:t>
            </w:r>
          </w:p>
        </w:tc>
        <w:tc>
          <w:tcPr>
            <w:tcW w:w="1397" w:type="dxa"/>
          </w:tcPr>
          <w:p w14:paraId="22194714"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Square root of sweep rate (V/s)</w:t>
            </w:r>
          </w:p>
        </w:tc>
        <w:tc>
          <w:tcPr>
            <w:tcW w:w="1418" w:type="dxa"/>
          </w:tcPr>
          <w:p w14:paraId="3EC8A035"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Diffusion coefficient (cm</w:t>
            </w:r>
            <w:r w:rsidRPr="00F026CE">
              <w:rPr>
                <w:rFonts w:ascii="Palatino Linotype" w:eastAsia="Times New Roman" w:hAnsi="Palatino Linotype" w:cs="Times New Roman"/>
                <w:sz w:val="20"/>
                <w:szCs w:val="20"/>
                <w:vertAlign w:val="superscript"/>
              </w:rPr>
              <w:t>2</w:t>
            </w:r>
            <w:r w:rsidRPr="00F026CE">
              <w:rPr>
                <w:rFonts w:ascii="Palatino Linotype" w:eastAsia="Times New Roman" w:hAnsi="Palatino Linotype" w:cs="Times New Roman"/>
                <w:sz w:val="20"/>
                <w:szCs w:val="20"/>
              </w:rPr>
              <w:t>/s)</w:t>
            </w:r>
          </w:p>
        </w:tc>
      </w:tr>
      <w:tr w:rsidR="00BB3F6E" w:rsidRPr="00F026CE" w14:paraId="5349F523" w14:textId="77777777" w:rsidTr="00C573E3">
        <w:trPr>
          <w:trHeight w:val="904"/>
        </w:trPr>
        <w:tc>
          <w:tcPr>
            <w:tcW w:w="1838" w:type="dxa"/>
          </w:tcPr>
          <w:p w14:paraId="535CD2C2" w14:textId="77777777" w:rsidR="00BB3F6E" w:rsidRPr="00F026CE" w:rsidRDefault="00611E66"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1.58E+00 (Mutant target</w:t>
            </w:r>
            <w:r w:rsidR="00BB3F6E" w:rsidRPr="00F026CE">
              <w:rPr>
                <w:rFonts w:ascii="Palatino Linotype" w:eastAsia="Times New Roman" w:hAnsi="Palatino Linotype" w:cs="Times New Roman"/>
                <w:sz w:val="20"/>
                <w:szCs w:val="20"/>
              </w:rPr>
              <w:t>)</w:t>
            </w:r>
          </w:p>
        </w:tc>
        <w:tc>
          <w:tcPr>
            <w:tcW w:w="1149" w:type="dxa"/>
            <w:vMerge w:val="restart"/>
          </w:tcPr>
          <w:p w14:paraId="2B0E3D96"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268.6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3</m:t>
                    </m:r>
                  </m:sup>
                </m:sSup>
              </m:oMath>
            </m:oMathPara>
          </w:p>
        </w:tc>
        <w:tc>
          <w:tcPr>
            <w:tcW w:w="1150" w:type="dxa"/>
            <w:vMerge w:val="restart"/>
          </w:tcPr>
          <w:p w14:paraId="5C5D668D"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w:t>
            </w:r>
          </w:p>
        </w:tc>
        <w:tc>
          <w:tcPr>
            <w:tcW w:w="1407" w:type="dxa"/>
            <w:vMerge w:val="restart"/>
          </w:tcPr>
          <w:p w14:paraId="06341EDF"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0.201 </m:t>
                </m:r>
              </m:oMath>
            </m:oMathPara>
          </w:p>
        </w:tc>
        <w:tc>
          <w:tcPr>
            <w:tcW w:w="1701" w:type="dxa"/>
            <w:vMerge w:val="restart"/>
          </w:tcPr>
          <w:p w14:paraId="1890F6DA"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1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-6</m:t>
                    </m:r>
                  </m:sup>
                </m:sSup>
              </m:oMath>
            </m:oMathPara>
          </w:p>
        </w:tc>
        <w:tc>
          <w:tcPr>
            <w:tcW w:w="1397" w:type="dxa"/>
            <w:vMerge w:val="restart"/>
          </w:tcPr>
          <w:p w14:paraId="0C5AD89F" w14:textId="77777777" w:rsidR="00BB3F6E" w:rsidRPr="00F026CE" w:rsidRDefault="00DD4134" w:rsidP="00C573E3">
            <w:pPr>
              <w:autoSpaceDE w:val="0"/>
              <w:autoSpaceDN w:val="0"/>
              <w:spacing w:line="360" w:lineRule="auto"/>
              <w:rPr>
                <w:rFonts w:ascii="Palatino Linotype" w:eastAsia="Times New Roman" w:hAnsi="Palatino Linotype" w:cs="Times New Roman"/>
                <w:sz w:val="20"/>
                <w:szCs w:val="20"/>
              </w:rPr>
            </w:pPr>
            <m:oMathPara>
              <m:oMath>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0.01</m:t>
                    </m:r>
                  </m:e>
                </m:rad>
              </m:oMath>
            </m:oMathPara>
          </w:p>
        </w:tc>
        <w:tc>
          <w:tcPr>
            <w:tcW w:w="1418" w:type="dxa"/>
            <w:vAlign w:val="bottom"/>
          </w:tcPr>
          <w:p w14:paraId="143513EC"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7.69544e-8</w:t>
            </w:r>
          </w:p>
        </w:tc>
      </w:tr>
      <w:tr w:rsidR="00BB3F6E" w:rsidRPr="00F026CE" w14:paraId="2D83780B" w14:textId="77777777" w:rsidTr="00C573E3">
        <w:trPr>
          <w:trHeight w:val="892"/>
        </w:trPr>
        <w:tc>
          <w:tcPr>
            <w:tcW w:w="1838" w:type="dxa"/>
          </w:tcPr>
          <w:p w14:paraId="574E2697"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1.27E+00 (Wild-type</w:t>
            </w:r>
            <w:r w:rsidR="00611E66" w:rsidRPr="00F026CE">
              <w:rPr>
                <w:rFonts w:ascii="Palatino Linotype" w:eastAsia="Times New Roman" w:hAnsi="Palatino Linotype" w:cs="Times New Roman"/>
                <w:sz w:val="20"/>
                <w:szCs w:val="20"/>
              </w:rPr>
              <w:t xml:space="preserve">  target</w:t>
            </w:r>
            <w:r w:rsidRPr="00F026CE">
              <w:rPr>
                <w:rFonts w:ascii="Palatino Linotype" w:eastAsia="Times New Roman" w:hAnsi="Palatino Linotype" w:cs="Times New Roman"/>
                <w:sz w:val="20"/>
                <w:szCs w:val="20"/>
              </w:rPr>
              <w:t>)</w:t>
            </w:r>
          </w:p>
        </w:tc>
        <w:tc>
          <w:tcPr>
            <w:tcW w:w="1149" w:type="dxa"/>
            <w:vMerge/>
          </w:tcPr>
          <w:p w14:paraId="6C2B57C1"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150" w:type="dxa"/>
            <w:vMerge/>
          </w:tcPr>
          <w:p w14:paraId="55D26C57"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07" w:type="dxa"/>
            <w:vMerge/>
          </w:tcPr>
          <w:p w14:paraId="04932EBC"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701" w:type="dxa"/>
            <w:vMerge/>
          </w:tcPr>
          <w:p w14:paraId="1D748FB5"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397" w:type="dxa"/>
            <w:vMerge/>
          </w:tcPr>
          <w:p w14:paraId="1BB9C914"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18" w:type="dxa"/>
            <w:vAlign w:val="bottom"/>
          </w:tcPr>
          <w:p w14:paraId="4163D231"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4.97195e-8</w:t>
            </w:r>
          </w:p>
        </w:tc>
      </w:tr>
      <w:tr w:rsidR="00BB3F6E" w:rsidRPr="00F026CE" w14:paraId="47F32079" w14:textId="77777777" w:rsidTr="00C573E3">
        <w:trPr>
          <w:trHeight w:val="330"/>
        </w:trPr>
        <w:tc>
          <w:tcPr>
            <w:tcW w:w="1838" w:type="dxa"/>
          </w:tcPr>
          <w:p w14:paraId="27A11A76"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1.88E+00 (Mutated</w:t>
            </w:r>
            <w:r w:rsidR="00611E66" w:rsidRPr="00F026CE">
              <w:rPr>
                <w:rFonts w:ascii="Palatino Linotype" w:eastAsia="Times New Roman" w:hAnsi="Palatino Linotype" w:cs="Times New Roman"/>
                <w:sz w:val="20"/>
                <w:szCs w:val="20"/>
              </w:rPr>
              <w:t xml:space="preserve">  target</w:t>
            </w:r>
            <w:r w:rsidRPr="00F026CE">
              <w:rPr>
                <w:rFonts w:ascii="Palatino Linotype" w:eastAsia="Times New Roman" w:hAnsi="Palatino Linotype" w:cs="Times New Roman"/>
                <w:sz w:val="20"/>
                <w:szCs w:val="20"/>
              </w:rPr>
              <w:t>)</w:t>
            </w:r>
          </w:p>
        </w:tc>
        <w:tc>
          <w:tcPr>
            <w:tcW w:w="1149" w:type="dxa"/>
            <w:vMerge w:val="restart"/>
          </w:tcPr>
          <w:p w14:paraId="6A80D9E3"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268.6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3</m:t>
                    </m:r>
                  </m:sup>
                </m:sSup>
              </m:oMath>
            </m:oMathPara>
          </w:p>
        </w:tc>
        <w:tc>
          <w:tcPr>
            <w:tcW w:w="1150" w:type="dxa"/>
            <w:vMerge w:val="restart"/>
          </w:tcPr>
          <w:p w14:paraId="6C33BC11"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w:t>
            </w:r>
          </w:p>
        </w:tc>
        <w:tc>
          <w:tcPr>
            <w:tcW w:w="1407" w:type="dxa"/>
            <w:vMerge w:val="restart"/>
          </w:tcPr>
          <w:p w14:paraId="17C2D9E1"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0.201</m:t>
                </m:r>
              </m:oMath>
            </m:oMathPara>
          </w:p>
        </w:tc>
        <w:tc>
          <w:tcPr>
            <w:tcW w:w="1701" w:type="dxa"/>
            <w:vMerge w:val="restart"/>
          </w:tcPr>
          <w:p w14:paraId="292D5066"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1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-6</m:t>
                    </m:r>
                  </m:sup>
                </m:sSup>
              </m:oMath>
            </m:oMathPara>
          </w:p>
        </w:tc>
        <w:tc>
          <w:tcPr>
            <w:tcW w:w="1397" w:type="dxa"/>
            <w:vMerge w:val="restart"/>
          </w:tcPr>
          <w:p w14:paraId="4A7233B8" w14:textId="77777777" w:rsidR="00BB3F6E" w:rsidRPr="00F026CE" w:rsidRDefault="00DD4134" w:rsidP="00C573E3">
            <w:pPr>
              <w:autoSpaceDE w:val="0"/>
              <w:autoSpaceDN w:val="0"/>
              <w:spacing w:line="360" w:lineRule="auto"/>
              <w:rPr>
                <w:rFonts w:ascii="Palatino Linotype" w:eastAsia="Times New Roman" w:hAnsi="Palatino Linotype" w:cs="Times New Roman"/>
                <w:sz w:val="20"/>
                <w:szCs w:val="20"/>
              </w:rPr>
            </w:pPr>
            <m:oMathPara>
              <m:oMath>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0.025</m:t>
                    </m:r>
                  </m:e>
                </m:rad>
              </m:oMath>
            </m:oMathPara>
          </w:p>
        </w:tc>
        <w:tc>
          <w:tcPr>
            <w:tcW w:w="1418" w:type="dxa"/>
            <w:vAlign w:val="bottom"/>
          </w:tcPr>
          <w:p w14:paraId="1A36EB71"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4.35808e-8</w:t>
            </w:r>
          </w:p>
        </w:tc>
      </w:tr>
      <w:tr w:rsidR="00BB3F6E" w:rsidRPr="00F026CE" w14:paraId="543CC6B8" w14:textId="77777777" w:rsidTr="00C573E3">
        <w:trPr>
          <w:trHeight w:val="225"/>
        </w:trPr>
        <w:tc>
          <w:tcPr>
            <w:tcW w:w="1838" w:type="dxa"/>
          </w:tcPr>
          <w:p w14:paraId="5531944D"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1.66E+00 (Wild-type</w:t>
            </w:r>
            <w:r w:rsidR="00611E66" w:rsidRPr="00F026CE">
              <w:rPr>
                <w:rFonts w:ascii="Palatino Linotype" w:eastAsia="Times New Roman" w:hAnsi="Palatino Linotype" w:cs="Times New Roman"/>
                <w:sz w:val="20"/>
                <w:szCs w:val="20"/>
              </w:rPr>
              <w:t xml:space="preserve">  target</w:t>
            </w:r>
            <w:r w:rsidRPr="00F026CE">
              <w:rPr>
                <w:rFonts w:ascii="Palatino Linotype" w:eastAsia="Times New Roman" w:hAnsi="Palatino Linotype" w:cs="Times New Roman"/>
                <w:sz w:val="20"/>
                <w:szCs w:val="20"/>
              </w:rPr>
              <w:t>)</w:t>
            </w:r>
          </w:p>
        </w:tc>
        <w:tc>
          <w:tcPr>
            <w:tcW w:w="1149" w:type="dxa"/>
            <w:vMerge/>
          </w:tcPr>
          <w:p w14:paraId="6A133FB6"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150" w:type="dxa"/>
            <w:vMerge/>
          </w:tcPr>
          <w:p w14:paraId="7F801EFA"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07" w:type="dxa"/>
            <w:vMerge/>
          </w:tcPr>
          <w:p w14:paraId="7131524E"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701" w:type="dxa"/>
            <w:vMerge/>
          </w:tcPr>
          <w:p w14:paraId="0C2F7359"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397" w:type="dxa"/>
            <w:vMerge/>
          </w:tcPr>
          <w:p w14:paraId="1368DE4C"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18" w:type="dxa"/>
            <w:vAlign w:val="bottom"/>
          </w:tcPr>
          <w:p w14:paraId="3924CF98"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3.39778e-8</w:t>
            </w:r>
          </w:p>
        </w:tc>
      </w:tr>
      <w:tr w:rsidR="00BB3F6E" w:rsidRPr="00F026CE" w14:paraId="54D801D8" w14:textId="77777777" w:rsidTr="00C573E3">
        <w:trPr>
          <w:trHeight w:val="345"/>
        </w:trPr>
        <w:tc>
          <w:tcPr>
            <w:tcW w:w="1838" w:type="dxa"/>
          </w:tcPr>
          <w:p w14:paraId="3AA06C24"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2.15E+00 (Mutated</w:t>
            </w:r>
            <w:r w:rsidR="00611E66" w:rsidRPr="00F026CE">
              <w:rPr>
                <w:rFonts w:ascii="Palatino Linotype" w:eastAsia="Times New Roman" w:hAnsi="Palatino Linotype" w:cs="Times New Roman"/>
                <w:sz w:val="20"/>
                <w:szCs w:val="20"/>
              </w:rPr>
              <w:t xml:space="preserve">  target</w:t>
            </w:r>
            <w:r w:rsidRPr="00F026CE">
              <w:rPr>
                <w:rFonts w:ascii="Palatino Linotype" w:eastAsia="Times New Roman" w:hAnsi="Palatino Linotype" w:cs="Times New Roman"/>
                <w:sz w:val="20"/>
                <w:szCs w:val="20"/>
              </w:rPr>
              <w:t>)</w:t>
            </w:r>
          </w:p>
        </w:tc>
        <w:tc>
          <w:tcPr>
            <w:tcW w:w="1149" w:type="dxa"/>
            <w:vMerge w:val="restart"/>
          </w:tcPr>
          <w:p w14:paraId="37617F1D"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268.6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3</m:t>
                    </m:r>
                  </m:sup>
                </m:sSup>
              </m:oMath>
            </m:oMathPara>
          </w:p>
        </w:tc>
        <w:tc>
          <w:tcPr>
            <w:tcW w:w="1150" w:type="dxa"/>
            <w:vMerge w:val="restart"/>
          </w:tcPr>
          <w:p w14:paraId="325653CD"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w:t>
            </w:r>
          </w:p>
        </w:tc>
        <w:tc>
          <w:tcPr>
            <w:tcW w:w="1407" w:type="dxa"/>
            <w:vMerge w:val="restart"/>
          </w:tcPr>
          <w:p w14:paraId="34D9B844"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0.201 </m:t>
                </m:r>
              </m:oMath>
            </m:oMathPara>
          </w:p>
        </w:tc>
        <w:tc>
          <w:tcPr>
            <w:tcW w:w="1701" w:type="dxa"/>
            <w:vMerge w:val="restart"/>
          </w:tcPr>
          <w:p w14:paraId="1F7EC58C"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1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-6</m:t>
                    </m:r>
                  </m:sup>
                </m:sSup>
              </m:oMath>
            </m:oMathPara>
          </w:p>
        </w:tc>
        <w:tc>
          <w:tcPr>
            <w:tcW w:w="1397" w:type="dxa"/>
            <w:vMerge w:val="restart"/>
          </w:tcPr>
          <w:p w14:paraId="5D6D5237" w14:textId="77777777" w:rsidR="00BB3F6E" w:rsidRPr="00F026CE" w:rsidRDefault="00DD4134" w:rsidP="00C573E3">
            <w:pPr>
              <w:autoSpaceDE w:val="0"/>
              <w:autoSpaceDN w:val="0"/>
              <w:spacing w:line="360" w:lineRule="auto"/>
              <w:rPr>
                <w:rFonts w:ascii="Palatino Linotype" w:eastAsia="Times New Roman" w:hAnsi="Palatino Linotype" w:cs="Times New Roman"/>
                <w:sz w:val="20"/>
                <w:szCs w:val="20"/>
              </w:rPr>
            </w:pPr>
            <m:oMathPara>
              <m:oMath>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0.05</m:t>
                    </m:r>
                  </m:e>
                </m:rad>
              </m:oMath>
            </m:oMathPara>
          </w:p>
        </w:tc>
        <w:tc>
          <w:tcPr>
            <w:tcW w:w="1418" w:type="dxa"/>
            <w:vAlign w:val="bottom"/>
          </w:tcPr>
          <w:p w14:paraId="45F7F753"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2.84988e-8</w:t>
            </w:r>
          </w:p>
        </w:tc>
      </w:tr>
      <w:tr w:rsidR="00BB3F6E" w:rsidRPr="00F026CE" w14:paraId="5592C790" w14:textId="77777777" w:rsidTr="00C573E3">
        <w:trPr>
          <w:trHeight w:val="210"/>
        </w:trPr>
        <w:tc>
          <w:tcPr>
            <w:tcW w:w="1838" w:type="dxa"/>
          </w:tcPr>
          <w:p w14:paraId="7DCB9B60"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2.18E+00 (Wild-type</w:t>
            </w:r>
            <w:r w:rsidR="00611E66" w:rsidRPr="00F026CE">
              <w:rPr>
                <w:rFonts w:ascii="Palatino Linotype" w:eastAsia="Times New Roman" w:hAnsi="Palatino Linotype" w:cs="Times New Roman"/>
                <w:sz w:val="20"/>
                <w:szCs w:val="20"/>
              </w:rPr>
              <w:t xml:space="preserve">  target</w:t>
            </w:r>
            <w:r w:rsidRPr="00F026CE">
              <w:rPr>
                <w:rFonts w:ascii="Palatino Linotype" w:eastAsia="Times New Roman" w:hAnsi="Palatino Linotype" w:cs="Times New Roman"/>
                <w:sz w:val="20"/>
                <w:szCs w:val="20"/>
              </w:rPr>
              <w:t>)</w:t>
            </w:r>
          </w:p>
        </w:tc>
        <w:tc>
          <w:tcPr>
            <w:tcW w:w="1149" w:type="dxa"/>
            <w:vMerge/>
          </w:tcPr>
          <w:p w14:paraId="07149EE6"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150" w:type="dxa"/>
            <w:vMerge/>
          </w:tcPr>
          <w:p w14:paraId="3D209C1F"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07" w:type="dxa"/>
            <w:vMerge/>
          </w:tcPr>
          <w:p w14:paraId="27121E71"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701" w:type="dxa"/>
            <w:vMerge/>
          </w:tcPr>
          <w:p w14:paraId="7D268BF8"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397" w:type="dxa"/>
            <w:vMerge/>
          </w:tcPr>
          <w:p w14:paraId="4AD4AEC4"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18" w:type="dxa"/>
            <w:vAlign w:val="bottom"/>
          </w:tcPr>
          <w:p w14:paraId="5C4170D7"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2.92997e-8</w:t>
            </w:r>
          </w:p>
        </w:tc>
      </w:tr>
      <w:tr w:rsidR="00BB3F6E" w:rsidRPr="00F026CE" w14:paraId="71544087" w14:textId="77777777" w:rsidTr="00C573E3">
        <w:trPr>
          <w:trHeight w:val="330"/>
        </w:trPr>
        <w:tc>
          <w:tcPr>
            <w:tcW w:w="1838" w:type="dxa"/>
          </w:tcPr>
          <w:p w14:paraId="7AFEC8E2"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2.74E+00 (Mutated</w:t>
            </w:r>
            <w:r w:rsidR="00611E66" w:rsidRPr="00F026CE">
              <w:rPr>
                <w:rFonts w:ascii="Palatino Linotype" w:eastAsia="Times New Roman" w:hAnsi="Palatino Linotype" w:cs="Times New Roman"/>
                <w:sz w:val="20"/>
                <w:szCs w:val="20"/>
              </w:rPr>
              <w:t xml:space="preserve">  target</w:t>
            </w:r>
            <w:r w:rsidRPr="00F026CE">
              <w:rPr>
                <w:rFonts w:ascii="Palatino Linotype" w:eastAsia="Times New Roman" w:hAnsi="Palatino Linotype" w:cs="Times New Roman"/>
                <w:sz w:val="20"/>
                <w:szCs w:val="20"/>
              </w:rPr>
              <w:t>)</w:t>
            </w:r>
          </w:p>
        </w:tc>
        <w:tc>
          <w:tcPr>
            <w:tcW w:w="1149" w:type="dxa"/>
            <w:vMerge w:val="restart"/>
          </w:tcPr>
          <w:p w14:paraId="1B6D83AF"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268.6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3</m:t>
                    </m:r>
                  </m:sup>
                </m:sSup>
              </m:oMath>
            </m:oMathPara>
          </w:p>
        </w:tc>
        <w:tc>
          <w:tcPr>
            <w:tcW w:w="1150" w:type="dxa"/>
            <w:vMerge w:val="restart"/>
          </w:tcPr>
          <w:p w14:paraId="53619489"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1</w:t>
            </w:r>
          </w:p>
        </w:tc>
        <w:tc>
          <w:tcPr>
            <w:tcW w:w="1407" w:type="dxa"/>
            <w:vMerge w:val="restart"/>
          </w:tcPr>
          <w:p w14:paraId="618C1BF1"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0.201</m:t>
                </m:r>
              </m:oMath>
            </m:oMathPara>
          </w:p>
        </w:tc>
        <w:tc>
          <w:tcPr>
            <w:tcW w:w="1701" w:type="dxa"/>
            <w:vMerge w:val="restart"/>
          </w:tcPr>
          <w:p w14:paraId="5718D407"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m:oMathPara>
              <m:oMath>
                <m:r>
                  <w:rPr>
                    <w:rFonts w:ascii="Cambria Math" w:eastAsia="Times New Roman" w:hAnsi="Cambria Math" w:cs="Times New Roman"/>
                    <w:sz w:val="20"/>
                    <w:szCs w:val="20"/>
                  </w:rPr>
                  <m:t xml:space="preserve">1 ×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-6</m:t>
                    </m:r>
                  </m:sup>
                </m:sSup>
              </m:oMath>
            </m:oMathPara>
          </w:p>
        </w:tc>
        <w:tc>
          <w:tcPr>
            <w:tcW w:w="1397" w:type="dxa"/>
            <w:vMerge w:val="restart"/>
          </w:tcPr>
          <w:p w14:paraId="6E8AE476" w14:textId="77777777" w:rsidR="00BB3F6E" w:rsidRPr="00F026CE" w:rsidRDefault="00DD4134" w:rsidP="00C573E3">
            <w:pPr>
              <w:autoSpaceDE w:val="0"/>
              <w:autoSpaceDN w:val="0"/>
              <w:spacing w:line="360" w:lineRule="auto"/>
              <w:rPr>
                <w:rFonts w:ascii="Palatino Linotype" w:eastAsia="Times New Roman" w:hAnsi="Palatino Linotype" w:cs="Times New Roman"/>
                <w:sz w:val="20"/>
                <w:szCs w:val="20"/>
              </w:rPr>
            </w:pPr>
            <m:oMathPara>
              <m:oMath>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0.1</m:t>
                    </m:r>
                  </m:e>
                </m:rad>
              </m:oMath>
            </m:oMathPara>
          </w:p>
        </w:tc>
        <w:tc>
          <w:tcPr>
            <w:tcW w:w="1418" w:type="dxa"/>
            <w:vAlign w:val="bottom"/>
          </w:tcPr>
          <w:p w14:paraId="616B6D7D"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2.31431e-8</w:t>
            </w:r>
          </w:p>
        </w:tc>
      </w:tr>
      <w:tr w:rsidR="00BB3F6E" w:rsidRPr="00F026CE" w14:paraId="3DF661A7" w14:textId="77777777" w:rsidTr="00C573E3">
        <w:trPr>
          <w:trHeight w:val="240"/>
        </w:trPr>
        <w:tc>
          <w:tcPr>
            <w:tcW w:w="1838" w:type="dxa"/>
          </w:tcPr>
          <w:p w14:paraId="483C7F5E"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r w:rsidRPr="00F026CE">
              <w:rPr>
                <w:rFonts w:ascii="Palatino Linotype" w:eastAsia="Times New Roman" w:hAnsi="Palatino Linotype" w:cs="Times New Roman"/>
                <w:sz w:val="20"/>
                <w:szCs w:val="20"/>
              </w:rPr>
              <w:t>2.64E+00 (Wild-type</w:t>
            </w:r>
            <w:r w:rsidR="00611E66" w:rsidRPr="00F026CE">
              <w:rPr>
                <w:rFonts w:ascii="Palatino Linotype" w:eastAsia="Times New Roman" w:hAnsi="Palatino Linotype" w:cs="Times New Roman"/>
                <w:sz w:val="20"/>
                <w:szCs w:val="20"/>
              </w:rPr>
              <w:t xml:space="preserve">  target</w:t>
            </w:r>
            <w:r w:rsidRPr="00F026CE">
              <w:rPr>
                <w:rFonts w:ascii="Palatino Linotype" w:eastAsia="Times New Roman" w:hAnsi="Palatino Linotype" w:cs="Times New Roman"/>
                <w:sz w:val="20"/>
                <w:szCs w:val="20"/>
              </w:rPr>
              <w:t>)</w:t>
            </w:r>
          </w:p>
        </w:tc>
        <w:tc>
          <w:tcPr>
            <w:tcW w:w="1149" w:type="dxa"/>
            <w:vMerge/>
          </w:tcPr>
          <w:p w14:paraId="53EF0A98"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150" w:type="dxa"/>
            <w:vMerge/>
          </w:tcPr>
          <w:p w14:paraId="14765412"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07" w:type="dxa"/>
            <w:vMerge/>
          </w:tcPr>
          <w:p w14:paraId="1A83EAC4"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701" w:type="dxa"/>
            <w:vMerge/>
          </w:tcPr>
          <w:p w14:paraId="51D22BD5"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397" w:type="dxa"/>
            <w:vMerge/>
          </w:tcPr>
          <w:p w14:paraId="06E860ED" w14:textId="77777777" w:rsidR="00BB3F6E" w:rsidRPr="00F026CE" w:rsidRDefault="00BB3F6E" w:rsidP="00C573E3">
            <w:pPr>
              <w:autoSpaceDE w:val="0"/>
              <w:autoSpaceDN w:val="0"/>
              <w:spacing w:line="360" w:lineRule="auto"/>
              <w:rPr>
                <w:rFonts w:ascii="Palatino Linotype" w:eastAsia="Times New Roman" w:hAnsi="Palatino Linotype" w:cs="Times New Roman"/>
                <w:sz w:val="20"/>
                <w:szCs w:val="20"/>
              </w:rPr>
            </w:pPr>
          </w:p>
        </w:tc>
        <w:tc>
          <w:tcPr>
            <w:tcW w:w="1418" w:type="dxa"/>
            <w:vAlign w:val="bottom"/>
          </w:tcPr>
          <w:p w14:paraId="1BDB0FB5" w14:textId="77777777" w:rsidR="00BB3F6E" w:rsidRPr="00F026CE" w:rsidRDefault="00BB3F6E" w:rsidP="00C573E3">
            <w:pPr>
              <w:autoSpaceDE w:val="0"/>
              <w:autoSpaceDN w:val="0"/>
              <w:spacing w:line="360" w:lineRule="auto"/>
              <w:rPr>
                <w:rFonts w:ascii="Palatino Linotype" w:eastAsia="Times New Roman" w:hAnsi="Palatino Linotype" w:cs="Times New Roman"/>
                <w:bCs/>
                <w:sz w:val="20"/>
                <w:szCs w:val="20"/>
              </w:rPr>
            </w:pPr>
            <w:r w:rsidRPr="00F026CE">
              <w:rPr>
                <w:rFonts w:ascii="Palatino Linotype" w:eastAsia="Times New Roman" w:hAnsi="Palatino Linotype" w:cs="Times New Roman"/>
                <w:bCs/>
                <w:sz w:val="20"/>
                <w:szCs w:val="20"/>
              </w:rPr>
              <w:t>2.14846e-8</w:t>
            </w:r>
          </w:p>
        </w:tc>
      </w:tr>
    </w:tbl>
    <w:p w14:paraId="300D27C6" w14:textId="77777777" w:rsidR="00775166" w:rsidRPr="005B1CCB" w:rsidRDefault="00775166" w:rsidP="0052183A">
      <w:pPr>
        <w:autoSpaceDE w:val="0"/>
        <w:autoSpaceDN w:val="0"/>
        <w:spacing w:line="360" w:lineRule="auto"/>
        <w:rPr>
          <w:rFonts w:ascii="Palatino Linotype" w:eastAsia="Times New Roman" w:hAnsi="Palatino Linotype" w:cs="Times New Roman"/>
          <w:sz w:val="24"/>
          <w:szCs w:val="24"/>
          <w:lang w:val="en-US"/>
        </w:rPr>
      </w:pPr>
    </w:p>
    <w:p w14:paraId="50965CF7" w14:textId="071B6017" w:rsidR="0001268D" w:rsidRPr="005B1CCB" w:rsidRDefault="005E343E" w:rsidP="00205AA3">
      <w:pPr>
        <w:autoSpaceDE w:val="0"/>
        <w:autoSpaceDN w:val="0"/>
        <w:spacing w:line="360" w:lineRule="auto"/>
        <w:jc w:val="both"/>
        <w:rPr>
          <w:rFonts w:ascii="Palatino Linotype" w:hAnsi="Palatino Linotype" w:cs="Times New Roman"/>
          <w:sz w:val="24"/>
          <w:szCs w:val="24"/>
        </w:rPr>
      </w:pPr>
      <w:r w:rsidRPr="005B1CCB">
        <w:rPr>
          <w:rFonts w:ascii="Palatino Linotype" w:eastAsia="Times New Roman" w:hAnsi="Palatino Linotype" w:cs="Times New Roman"/>
          <w:sz w:val="24"/>
          <w:szCs w:val="24"/>
          <w:lang w:val="en-US"/>
        </w:rPr>
        <w:t xml:space="preserve">    </w:t>
      </w:r>
      <w:r w:rsidRPr="0061102A">
        <w:rPr>
          <w:rFonts w:ascii="Palatino Linotype" w:eastAsia="Times New Roman" w:hAnsi="Palatino Linotype" w:cs="Times New Roman"/>
          <w:sz w:val="24"/>
          <w:szCs w:val="24"/>
          <w:lang w:val="en-US"/>
        </w:rPr>
        <w:t xml:space="preserve">Maintaining a cell line and DNA plasmid extraction as shown in </w:t>
      </w:r>
      <w:r w:rsidR="00797B21" w:rsidRPr="0061102A">
        <w:rPr>
          <w:rFonts w:ascii="Palatino Linotype" w:eastAsia="Times New Roman" w:hAnsi="Palatino Linotype" w:cs="Times New Roman"/>
          <w:sz w:val="24"/>
          <w:szCs w:val="24"/>
          <w:lang w:val="en-US"/>
        </w:rPr>
        <w:t>F</w:t>
      </w:r>
      <w:r w:rsidRPr="0061102A">
        <w:rPr>
          <w:rFonts w:ascii="Palatino Linotype" w:eastAsia="Times New Roman" w:hAnsi="Palatino Linotype" w:cs="Times New Roman"/>
          <w:sz w:val="24"/>
          <w:szCs w:val="24"/>
          <w:lang w:val="en-US"/>
        </w:rPr>
        <w:t>igure 2</w:t>
      </w:r>
      <w:r w:rsidR="003C2DCF" w:rsidRPr="0061102A">
        <w:rPr>
          <w:rFonts w:ascii="Palatino Linotype" w:eastAsia="Times New Roman" w:hAnsi="Palatino Linotype" w:cs="Times New Roman"/>
          <w:sz w:val="24"/>
          <w:szCs w:val="24"/>
          <w:lang w:val="en-US"/>
        </w:rPr>
        <w:t>2</w:t>
      </w:r>
      <w:r w:rsidRPr="0061102A">
        <w:rPr>
          <w:rFonts w:ascii="Palatino Linotype" w:eastAsia="Times New Roman" w:hAnsi="Palatino Linotype" w:cs="Times New Roman"/>
          <w:sz w:val="24"/>
          <w:szCs w:val="24"/>
          <w:lang w:val="en-US"/>
        </w:rPr>
        <w:t xml:space="preserve"> is a fundamental and necessary step to ensure there is a ready supply of DNA samples from human tissue for subsequent immobilisation and sensor development work.</w:t>
      </w:r>
      <w:r w:rsidRPr="005B1CCB">
        <w:rPr>
          <w:rFonts w:ascii="Palatino Linotype" w:eastAsia="Times New Roman" w:hAnsi="Palatino Linotype" w:cs="Times New Roman"/>
          <w:sz w:val="24"/>
          <w:szCs w:val="24"/>
          <w:lang w:val="en-US"/>
        </w:rPr>
        <w:t xml:space="preserve"> Studies have shown that </w:t>
      </w:r>
      <w:r w:rsidRPr="0061102A">
        <w:rPr>
          <w:rFonts w:ascii="Palatino Linotype" w:eastAsia="Times New Roman" w:hAnsi="Palatino Linotype" w:cs="Times New Roman"/>
          <w:sz w:val="24"/>
          <w:szCs w:val="24"/>
          <w:lang w:val="en-US"/>
        </w:rPr>
        <w:t>primary cells isolated from tumour samples and maintained at low</w:t>
      </w:r>
      <w:r w:rsidR="00370CE1" w:rsidRPr="0061102A">
        <w:rPr>
          <w:rFonts w:ascii="Palatino Linotype" w:eastAsia="Times New Roman" w:hAnsi="Palatino Linotype" w:cs="Times New Roman"/>
          <w:sz w:val="24"/>
          <w:szCs w:val="24"/>
          <w:lang w:val="en-US"/>
        </w:rPr>
        <w:t xml:space="preserve"> </w:t>
      </w:r>
      <w:r w:rsidR="00370CE1" w:rsidRPr="0061102A">
        <w:rPr>
          <w:rFonts w:ascii="Palatino Linotype" w:hAnsi="Palatino Linotype" w:cs="Times New Roman"/>
          <w:sz w:val="24"/>
          <w:szCs w:val="24"/>
        </w:rPr>
        <w:t>passage under specific growth conditions reproduce essential characteristics of tumour cell physiology to a high degree</w:t>
      </w:r>
      <w:r w:rsidR="00167965" w:rsidRPr="005B1CCB">
        <w:rPr>
          <w:rFonts w:ascii="Palatino Linotype" w:hAnsi="Palatino Linotype" w:cs="Times New Roman"/>
          <w:sz w:val="24"/>
          <w:szCs w:val="24"/>
        </w:rPr>
        <w:t xml:space="preserve"> </w:t>
      </w:r>
      <w:r w:rsidR="0016796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{"citationItems":[{"id":"ITEM-1","itemData":{"DOI":"10.1093/jnci/djt007","ISSN":"1460-2105","abstract":"Although advances in genomics during the last decade have opened new avenues for translational research and allowed the direct evaluation of clinical samples, there is still a need for reliable preclinical models to test therapeutic strategies. Human cancer-derived cell lines are the most widely used models to study the biology of cancer and to test hypotheses to improve the efficacy of cancer treatment. Since the development of the first cancer cell line, the clinical relevance of these models has been continuously questioned. Based upon recent studies that have fueled the debate, we review the major events in the development of the in vitro models and the emergence of new technologies that have revealed important issues and limitations concerning human cancer cell lines as models. All cancer cell lines do not have equal value as tumor models. Some have been successful, whereas others have failed. However, the success stories should not obscure the growing body of data that motivates us to develop new in vitro preclinical models that would substantially increase the success rate of new in vitro-assessed cancer treatments.","author":[{"dropping-particle":"","family":"Gillet","given":"Jean-Pierre","non-dropping-particle":"","parse-names":false,"suffix":""},{"dropping-particle":"","family":"Varma","given":"Sudhir","non-dropping-particle":"","parse-names":false,"suffix":""},{"dropping-particle":"","family":"Gottesman","given":"Michael M","non-dropping-particle":"","parse-names":false,"suffix":""}],"container-title":"Journal of the National Cancer Institute","edition":"2013/02/21","id":"ITEM-1","issue":"7","issued":{"date-parts":[["2013","4","3"]]},"language":"eng","page":"452-458","publisher":"Oxford University Press","title":"The clinical relevance of cancer cell lines","type":"article-journal","volume":"105"},"uris":["http://www.mendeley.com/documents/?uuid=d07c5c38-dec8-468f-9692-ae976a052353"]}],"mendeley":{"formattedCitation":"[220]","plainTextFormattedCitation":"[220]","previouslyFormattedCitation":"[220]"},"properties":{"noteIndex":0},"schema":"https://github.com/citation-style-language/schema/raw/master/csl-citation.json"}</w:instrText>
      </w:r>
      <w:r w:rsidR="0016796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[220]</w:t>
      </w:r>
      <w:r w:rsidR="00167965" w:rsidRPr="005B1CCB">
        <w:rPr>
          <w:rFonts w:ascii="Palatino Linotype" w:hAnsi="Palatino Linotype" w:cs="Times New Roman"/>
          <w:sz w:val="24"/>
          <w:szCs w:val="24"/>
        </w:rPr>
        <w:fldChar w:fldCharType="end"/>
      </w:r>
      <w:r w:rsidR="00167965" w:rsidRPr="005B1CCB">
        <w:rPr>
          <w:rFonts w:ascii="Palatino Linotype" w:hAnsi="Palatino Linotype" w:cs="Times New Roman"/>
          <w:sz w:val="24"/>
          <w:szCs w:val="24"/>
        </w:rPr>
        <w:t xml:space="preserve">. </w:t>
      </w:r>
      <w:r w:rsidR="00370CE1" w:rsidRPr="005B1CCB">
        <w:rPr>
          <w:rFonts w:ascii="Palatino Linotype" w:hAnsi="Palatino Linotype" w:cs="Times New Roman"/>
          <w:sz w:val="24"/>
          <w:szCs w:val="24"/>
        </w:rPr>
        <w:t>There is a need however to truly characterize the isolated cells using molecular profiling in order to come to sound conclusions.</w:t>
      </w:r>
    </w:p>
    <w:p w14:paraId="33794AEB" w14:textId="3F71CF83" w:rsidR="0001268D" w:rsidRPr="005B1CCB" w:rsidRDefault="00265DA8" w:rsidP="00205AA3">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01268D" w:rsidRPr="005B1CCB">
        <w:rPr>
          <w:rFonts w:ascii="Palatino Linotype" w:hAnsi="Palatino Linotype" w:cs="Times New Roman"/>
          <w:sz w:val="24"/>
          <w:szCs w:val="24"/>
        </w:rPr>
        <w:t>Studies carried out show that the EIS frequency response and peak current obtained from CV is reliant on the surface composition of the gold electrodes used</w:t>
      </w:r>
      <w:r w:rsidR="00E43FD7" w:rsidRPr="005B1CCB">
        <w:rPr>
          <w:rFonts w:ascii="Palatino Linotype" w:hAnsi="Palatino Linotype" w:cs="Times New Roman"/>
          <w:sz w:val="24"/>
          <w:szCs w:val="24"/>
        </w:rPr>
        <w:t xml:space="preserve"> </w:t>
      </w:r>
      <w:r w:rsidR="00E43FD7"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{"citationItems":[{"id":"ITEM-1","itemData":{"DOI":"10.3390/catal10070782","ISSN":"20734344","abstract":"The main objective of this study was to examine the quantitative performance of the electrochemical redox reaction of glucose by glucosidase and oxygen with laccase in a phosphate buffer solution at pH 7.0. The characterization of electrode performance was performed by using electrochemical analysis such as cyclic voltammetry (CV) and electrochemical impedance spectroscopy (EIS). The use of such electrochemical analysis (CV and EIS) enables a better understanding of the redox process, the charge transfer resistance, and, hence, the potential mass transfer among the electrode materials in phosphorus buffer solution. The experimental results show that the maximum power densities of the bioanode and the biocathode electrodes were 800 µA/cm2 and 600 µA/cm2, respectively. Both the bioanode and biocathode show high internal resistance. The occurrence of peak-separation shows an excellent mass-transfer mechanism and better chemical reactivity in the electrode.","author":[{"dropping-particle":"","family":"Bojang","given":"Adama A.","non-dropping-particle":"","parse-names":false,"suffix":""},{"dropping-particle":"","family":"Wu","given":"Ho Shing","non-dropping-particle":"","parse-names":false,"suffix":""}],"container-title":"Catalysts","id":"ITEM-1","issue":"7","issued":{"date-parts":[["2020"]]},"title":"Characterization of electrode performance in enzymatic biofuel cells using cyclic voltammetry and electrochemical impedance spectroscopy","type":"article-journal","volume":"10"},"uris":["http://www.mendeley.com/documents/?uuid=fdce55e3-5faf-4020-9547-fe2327fc7aae"]}],"mendeley":{"formattedCitation":"[221]","plainTextFormattedCitation":"[221]","previouslyFormattedCitation":"[221]"},"properties":{"noteIndex":0},"schema":"https://github.com/citation-style-language/schema/raw/master/csl-citation.json"}</w:instrText>
      </w:r>
      <w:r w:rsidR="00E43FD7"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[221]</w:t>
      </w:r>
      <w:r w:rsidR="00E43FD7" w:rsidRPr="005B1CCB">
        <w:rPr>
          <w:rFonts w:ascii="Palatino Linotype" w:hAnsi="Palatino Linotype" w:cs="Times New Roman"/>
          <w:sz w:val="24"/>
          <w:szCs w:val="24"/>
        </w:rPr>
        <w:fldChar w:fldCharType="end"/>
      </w:r>
      <w:r w:rsidR="00E43FD7" w:rsidRPr="005B1CCB">
        <w:rPr>
          <w:rFonts w:ascii="Palatino Linotype" w:hAnsi="Palatino Linotype" w:cs="Times New Roman"/>
          <w:sz w:val="24"/>
          <w:szCs w:val="24"/>
        </w:rPr>
        <w:t xml:space="preserve">. </w:t>
      </w:r>
      <w:r w:rsidR="0001268D" w:rsidRPr="00C55295">
        <w:rPr>
          <w:rFonts w:ascii="Palatino Linotype" w:hAnsi="Palatino Linotype" w:cs="Times New Roman"/>
          <w:sz w:val="24"/>
          <w:szCs w:val="24"/>
        </w:rPr>
        <w:t>The decrease in the diffusion coefficient of the DNA immobilised electrodes by a factor of 10 is expected as the surface of the electrode has a more densely packed porous layer at this stage which hinders diffusion to the surface</w:t>
      </w:r>
      <w:r w:rsidR="0001268D" w:rsidRPr="005B1CCB">
        <w:rPr>
          <w:rFonts w:ascii="Palatino Linotype" w:hAnsi="Palatino Linotype" w:cs="Times New Roman"/>
          <w:sz w:val="24"/>
          <w:szCs w:val="24"/>
        </w:rPr>
        <w:t>. This is proven by the further reduction in the diffusion coefficient observed in the mutated and wild</w:t>
      </w:r>
      <w:r w:rsidR="00A41083" w:rsidRPr="005B1CCB">
        <w:rPr>
          <w:rFonts w:ascii="Palatino Linotype" w:hAnsi="Palatino Linotype" w:cs="Times New Roman"/>
          <w:sz w:val="24"/>
          <w:szCs w:val="24"/>
        </w:rPr>
        <w:t>-</w:t>
      </w:r>
      <w:r w:rsidR="0001268D" w:rsidRPr="005B1CCB">
        <w:rPr>
          <w:rFonts w:ascii="Palatino Linotype" w:hAnsi="Palatino Linotype" w:cs="Times New Roman"/>
          <w:sz w:val="24"/>
          <w:szCs w:val="24"/>
        </w:rPr>
        <w:t xml:space="preserve">type targets scanned at 0.1 </w:t>
      </w:r>
      <w:r w:rsidR="007E3873">
        <w:rPr>
          <w:rFonts w:ascii="Palatino Linotype" w:hAnsi="Palatino Linotype" w:cs="Times New Roman"/>
          <w:sz w:val="24"/>
          <w:szCs w:val="24"/>
        </w:rPr>
        <w:t>V</w:t>
      </w:r>
      <w:r w:rsidR="000D2959">
        <w:rPr>
          <w:rFonts w:ascii="Palatino Linotype" w:hAnsi="Palatino Linotype" w:cs="Times New Roman"/>
          <w:sz w:val="24"/>
          <w:szCs w:val="24"/>
        </w:rPr>
        <w:t xml:space="preserve">/s </w:t>
      </w:r>
      <w:r w:rsidR="0001268D" w:rsidRPr="005B1CCB">
        <w:rPr>
          <w:rFonts w:ascii="Palatino Linotype" w:hAnsi="Palatino Linotype" w:cs="Times New Roman"/>
          <w:sz w:val="24"/>
          <w:szCs w:val="24"/>
        </w:rPr>
        <w:t>sweep rate. The decrease in peak current associated with the decrease in the scan rate could be ascribed to slow kinetics of the charge transfer</w:t>
      </w:r>
      <w:r w:rsidR="00DF22CB" w:rsidRPr="005B1CCB">
        <w:rPr>
          <w:rFonts w:ascii="Palatino Linotype" w:hAnsi="Palatino Linotype" w:cs="Times New Roman"/>
          <w:sz w:val="24"/>
          <w:szCs w:val="24"/>
        </w:rPr>
        <w:t xml:space="preserve"> </w:t>
      </w:r>
      <w:r w:rsidR="00DF22C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{"citationItems":[{"id":"ITEM-1","itemData":{"DOI":"https://doi.org/10.1016/j.electacta.2018.08.021","ISSN":"0013-4686","abstract":"Heterogeneous electron transfer rate constants of a series of chemical systems are estimated using Cyclic Voltammetry (CV) and Electrochemical Impedance Spectroscopy (EIS), and critically compared to one another. Using aqueous, quasi-reversible redox systems, and carbon screen-printed electrodes, this work has been able to quantify rate constants using both techniques and have proved that the two methods sometimes result in measured rate constants that differ by as much as one order of magnitude. The method has been converted to estimate k0 values for irreversible electrochemical systems such as ascorbic acid and norepinephrine, yielding reasonable values for the electron transfer of their respective oxidation reactions. Such electrochemically irreversible cases are compared to data obtained via digital simulations. The work is limited to finite concentration ranges of electroactive species undergoing simple electron processes (‘E’ type reactions). The manuscript provides the field with a simple and effective way estimating electron transfer rate constants for irreversible electrochemical systems without using digital software packages, something which is not possible using either Nicholson or Laviron methods.","author":[{"dropping-particle":"","family":"Randviir","given":"Edward P","non-dropping-particle":"","parse-names":false,"suffix":""}],"container-title":"Electrochimica Acta","id":"ITEM-1","issued":{"date-parts":[["2018"]]},"page":"179-186","title":"A cross examination of electron transfer rate constants for carbon screen-printed electrodes using Electrochemical Impedance Spectroscopy and cyclic voltammetry","type":"article-journal","volume":"286"},"uris":["http://www.mendeley.com/documents/?uuid=588efc98-742c-47ab-bb0f-0714df795bf4"]}],"mendeley":{"formattedCitation":"[222]","plainTextFormattedCitation":"[222]","previouslyFormattedCitation":"[222]"},"properties":{"noteIndex":0},"schema":"https://github.com/citation-style-language/schema/raw/master/csl-citation.json"}</w:instrText>
      </w:r>
      <w:r w:rsidR="00DF22C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[222]</w:t>
      </w:r>
      <w:r w:rsidR="00DF22CB" w:rsidRPr="005B1CCB">
        <w:rPr>
          <w:rFonts w:ascii="Palatino Linotype" w:hAnsi="Palatino Linotype" w:cs="Times New Roman"/>
          <w:sz w:val="24"/>
          <w:szCs w:val="24"/>
        </w:rPr>
        <w:fldChar w:fldCharType="end"/>
      </w:r>
      <w:r w:rsidR="00DF22CB" w:rsidRPr="005B1CCB">
        <w:rPr>
          <w:rFonts w:ascii="Palatino Linotype" w:hAnsi="Palatino Linotype" w:cs="Times New Roman"/>
          <w:sz w:val="24"/>
          <w:szCs w:val="24"/>
        </w:rPr>
        <w:t>.</w:t>
      </w:r>
    </w:p>
    <w:p w14:paraId="4F3BF562" w14:textId="6416FAE2" w:rsidR="0001268D" w:rsidRPr="005B1CCB" w:rsidRDefault="0001268D" w:rsidP="00205AA3">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The general strategy for detection using EIS measurement of the probe modified electrode both in the presence and absence of the target sequence so the difference in current signal acts as a measure </w:t>
      </w:r>
      <w:r w:rsidR="00DF22CB" w:rsidRPr="005B1CCB">
        <w:rPr>
          <w:rFonts w:ascii="Palatino Linotype" w:hAnsi="Palatino Linotype" w:cs="Times New Roman"/>
          <w:sz w:val="24"/>
          <w:szCs w:val="24"/>
        </w:rPr>
        <w:t>of hybridisation</w:t>
      </w:r>
      <w:r w:rsidRPr="005B1CCB">
        <w:rPr>
          <w:rFonts w:ascii="Palatino Linotype" w:hAnsi="Palatino Linotype" w:cs="Times New Roman"/>
          <w:sz w:val="24"/>
          <w:szCs w:val="24"/>
        </w:rPr>
        <w:t xml:space="preserve"> has also been employed in previous studies</w:t>
      </w:r>
      <w:r w:rsidR="00DF22CB" w:rsidRPr="005B1CCB">
        <w:rPr>
          <w:rFonts w:ascii="Palatino Linotype" w:hAnsi="Palatino Linotype" w:cs="Times New Roman"/>
          <w:sz w:val="24"/>
          <w:szCs w:val="24"/>
        </w:rPr>
        <w:t xml:space="preserve"> </w:t>
      </w:r>
      <w:r w:rsidR="00DF22C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{"citationItems":[{"id":"ITEM-1","itemData":{"DOI":"10.1016/j.jelechem.2016.12.050","ISSN":"1572-6657","author":[{"dropping-particle":"","family":"Corrigan","given":"D K","non-dropping-particle":"","parse-names":false,"suffix":""},{"dropping-particle":"","family":"Schulze","given":"H","non-dropping-particle":"","parse-names":false,"suffix":""},{"dropping-particle":"","family":"Ciani","given":"I","non-dropping-particle":"","parse-names":false,"suffix":""},{"dropping-particle":"","family":"Henihan","given":"G","non-dropping-particle":"","parse-names":false,"suffix":""},{"dropping-particle":"","family":"Mount","given":"A R","non-dropping-particle":"","parse-names":false,"suffix":""},{"dropping-particle":"","family":"Bachmann","given":"T T","non-dropping-particle":"","parse-names":false,"suffix":""}],"container-title":"Journal of Electroanalytical Chemistry","id":"ITEM-1","issued":{"date-parts":[["2017"]]},"page":"58-62","publisher":"Elsevier B.V.","title":"Improving performance of a rapid electrochemical MRSA assay : Optimisation of assay conditions to achieve enhanced discrimination of clinically important DNA sequences under ambient conditions","type":"article-journal","volume":"786"},"uris":["http://www.mendeley.com/documents/?uuid=a3b2477e-3db2-41f0-870d-49298e2dee5f"]}],"mendeley":{"formattedCitation":"[217]","plainTextFormattedCitation":"[217]","previouslyFormattedCitation":"[217]"},"properties":{"noteIndex":0},"schema":"https://github.com/citation-style-language/schema/raw/master/csl-citation.json"}</w:instrText>
      </w:r>
      <w:r w:rsidR="00DF22C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[217]</w:t>
      </w:r>
      <w:r w:rsidR="00DF22CB" w:rsidRPr="005B1CCB">
        <w:rPr>
          <w:rFonts w:ascii="Palatino Linotype" w:hAnsi="Palatino Linotype" w:cs="Times New Roman"/>
          <w:sz w:val="24"/>
          <w:szCs w:val="24"/>
        </w:rPr>
        <w:fldChar w:fldCharType="end"/>
      </w:r>
      <w:r w:rsidR="00DF22CB" w:rsidRPr="005B1CCB">
        <w:rPr>
          <w:rFonts w:ascii="Palatino Linotype" w:hAnsi="Palatino Linotype" w:cs="Times New Roman"/>
          <w:sz w:val="24"/>
          <w:szCs w:val="24"/>
        </w:rPr>
        <w:t xml:space="preserve">. </w:t>
      </w:r>
      <w:r w:rsidRPr="00C55295">
        <w:rPr>
          <w:rFonts w:ascii="Palatino Linotype" w:hAnsi="Palatino Linotype" w:cs="Times New Roman"/>
          <w:sz w:val="24"/>
          <w:szCs w:val="24"/>
        </w:rPr>
        <w:t>Selectivity is crucial for the successful detection of single nucleotide polymorphisms and point mutations and it was demonstrated that the wild</w:t>
      </w:r>
      <w:r w:rsidR="00C74F06" w:rsidRPr="00C55295">
        <w:rPr>
          <w:rFonts w:ascii="Palatino Linotype" w:hAnsi="Palatino Linotype" w:cs="Times New Roman"/>
          <w:sz w:val="24"/>
          <w:szCs w:val="24"/>
        </w:rPr>
        <w:t>-</w:t>
      </w:r>
      <w:r w:rsidRPr="00C55295">
        <w:rPr>
          <w:rFonts w:ascii="Palatino Linotype" w:hAnsi="Palatino Linotype" w:cs="Times New Roman"/>
          <w:sz w:val="24"/>
          <w:szCs w:val="24"/>
        </w:rPr>
        <w:t>type probe-target binding induced a higher resistance to electron exchange in the solution than the mutant and this was reflected by the high</w:t>
      </w:r>
      <w:r w:rsidR="00FE1357" w:rsidRPr="00C55295">
        <w:rPr>
          <w:rFonts w:ascii="Palatino Linotype" w:hAnsi="Palatino Linotype" w:cs="Times New Roman"/>
          <w:sz w:val="24"/>
          <w:szCs w:val="24"/>
        </w:rPr>
        <w:t>er</w:t>
      </w:r>
      <w:r w:rsidRPr="00C55295">
        <w:rPr>
          <w:rFonts w:ascii="Palatino Linotype" w:hAnsi="Palatino Linotype" w:cs="Times New Roman"/>
          <w:sz w:val="24"/>
          <w:szCs w:val="24"/>
        </w:rPr>
        <w:t xml:space="preserve"> R</w:t>
      </w:r>
      <w:r w:rsidRPr="00C55295">
        <w:rPr>
          <w:rFonts w:ascii="Palatino Linotype" w:hAnsi="Palatino Linotype" w:cs="Times New Roman"/>
          <w:sz w:val="24"/>
          <w:szCs w:val="24"/>
          <w:vertAlign w:val="subscript"/>
        </w:rPr>
        <w:t>CT</w:t>
      </w:r>
      <w:r w:rsidRPr="00C55295">
        <w:rPr>
          <w:rFonts w:ascii="Palatino Linotype" w:hAnsi="Palatino Linotype" w:cs="Times New Roman"/>
          <w:sz w:val="24"/>
          <w:szCs w:val="24"/>
        </w:rPr>
        <w:t xml:space="preserve"> </w:t>
      </w:r>
      <w:r w:rsidR="00FE1357" w:rsidRPr="00C55295">
        <w:rPr>
          <w:rFonts w:ascii="Palatino Linotype" w:hAnsi="Palatino Linotype" w:cs="Times New Roman"/>
          <w:sz w:val="24"/>
          <w:szCs w:val="24"/>
        </w:rPr>
        <w:t>increases</w:t>
      </w:r>
      <w:r w:rsidRPr="00C55295">
        <w:rPr>
          <w:rFonts w:ascii="Palatino Linotype" w:hAnsi="Palatino Linotype" w:cs="Times New Roman"/>
          <w:sz w:val="24"/>
          <w:szCs w:val="24"/>
        </w:rPr>
        <w:t xml:space="preserve"> measured</w:t>
      </w:r>
      <w:r w:rsidRPr="005B1CCB">
        <w:rPr>
          <w:rFonts w:ascii="Palatino Linotype" w:hAnsi="Palatino Linotype" w:cs="Times New Roman"/>
          <w:sz w:val="24"/>
          <w:szCs w:val="24"/>
        </w:rPr>
        <w:t>. The R</w:t>
      </w:r>
      <w:r w:rsidRPr="005B1CCB">
        <w:rPr>
          <w:rFonts w:ascii="Palatino Linotype" w:hAnsi="Palatino Linotype" w:cs="Times New Roman"/>
          <w:sz w:val="24"/>
          <w:szCs w:val="24"/>
          <w:vertAlign w:val="subscript"/>
        </w:rPr>
        <w:t>CT</w:t>
      </w:r>
      <w:r w:rsidRPr="005B1CCB">
        <w:rPr>
          <w:rFonts w:ascii="Palatino Linotype" w:hAnsi="Palatino Linotype" w:cs="Times New Roman"/>
          <w:sz w:val="24"/>
          <w:szCs w:val="24"/>
        </w:rPr>
        <w:t xml:space="preserve"> value represents the diffusion-controlled limit for the redox reaction rate at the surface of the SPE</w:t>
      </w:r>
      <w:r w:rsidR="008B2DE4" w:rsidRPr="005B1CCB">
        <w:rPr>
          <w:rFonts w:ascii="Palatino Linotype" w:hAnsi="Palatino Linotype" w:cs="Times New Roman"/>
          <w:sz w:val="24"/>
          <w:szCs w:val="24"/>
        </w:rPr>
        <w:t xml:space="preserve">. </w:t>
      </w:r>
      <w:r w:rsidR="008B2DE4" w:rsidRPr="00C55295">
        <w:rPr>
          <w:rFonts w:ascii="Palatino Linotype" w:hAnsi="Palatino Linotype" w:cs="Times New Roman"/>
          <w:sz w:val="24"/>
          <w:szCs w:val="24"/>
        </w:rPr>
        <w:t>A disadvantage of EIS is its high sensitivity towards non-specific adsorption</w:t>
      </w:r>
      <w:r w:rsidR="000469BF" w:rsidRPr="005B1CCB">
        <w:rPr>
          <w:rFonts w:ascii="Palatino Linotype" w:hAnsi="Palatino Linotype" w:cs="Times New Roman"/>
          <w:sz w:val="24"/>
          <w:szCs w:val="24"/>
        </w:rPr>
        <w:t xml:space="preserve"> </w:t>
      </w:r>
      <w:r w:rsidR="000469BF"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{"citationItems":[{"id":"ITEM-1","itemData":{"DOI":"10.1039/c4cs00369a","ISSN":"14604744","PMID":"25962356","abstract":"Electrochemistry, biosensors and microfluidics are popular research topics that have attracted widespread attention from chemists, biologists, physicists, and engineers. Here, we introduce the basic concepts and recent histories of electrochemistry, biosensors, and microfluidics, and describe how they are combining to form new application-areas, including so-called \"point-of-care\" systems in which measurements traditionally performed in a laboratory are moved into the field. We propose that this review can serve both as a useful starting-point for researchers who are new to these topics, as well as being a compendium of the current state-of-the art for experts in these evolving areas.","author":[{"dropping-particle":"","family":"Rackus","given":"Darius G.","non-dropping-particle":"","parse-names":false,"suffix":""},{"dropping-particle":"","family":"Shamsi","given":"Mohtashim H.","non-dropping-particle":"","parse-names":false,"suffix":""},{"dropping-particle":"","family":"Wheeler","given":"Aaron R.","non-dropping-particle":"","parse-names":false,"suffix":""}],"container-title":"Chemical Society Reviews","id":"ITEM-1","issue":"15","issued":{"date-parts":[["2015"]]},"page":"5320-5340","publisher":"Royal Society of Chemistry","title":"Electrochemistry, biosensors and microfluidics: a convergence of fields","type":"article-journal","volume":"44"},"uris":["http://www.mendeley.com/documents/?uuid=8c428899-ed97-4858-b7b9-0e5cc72693de"]}],"mendeley":{"formattedCitation":"[110]","plainTextFormattedCitation":"[110]","previouslyFormattedCitation":"[110]"},"properties":{"noteIndex":0},"schema":"https://github.com/citation-style-language/schema/raw/master/csl-citation.json"}</w:instrText>
      </w:r>
      <w:r w:rsidR="000469BF"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[110]</w:t>
      </w:r>
      <w:r w:rsidR="000469BF" w:rsidRPr="005B1CCB">
        <w:rPr>
          <w:rFonts w:ascii="Palatino Linotype" w:hAnsi="Palatino Linotype" w:cs="Times New Roman"/>
          <w:sz w:val="24"/>
          <w:szCs w:val="24"/>
        </w:rPr>
        <w:fldChar w:fldCharType="end"/>
      </w:r>
      <w:r w:rsidR="000469BF" w:rsidRPr="005B1CCB">
        <w:rPr>
          <w:rFonts w:ascii="Palatino Linotype" w:hAnsi="Palatino Linotype" w:cs="Times New Roman"/>
          <w:sz w:val="24"/>
          <w:szCs w:val="24"/>
        </w:rPr>
        <w:t xml:space="preserve">. </w:t>
      </w:r>
      <w:r w:rsidRPr="00C55295">
        <w:rPr>
          <w:rFonts w:ascii="Palatino Linotype" w:hAnsi="Palatino Linotype" w:cs="Times New Roman"/>
          <w:sz w:val="24"/>
          <w:szCs w:val="24"/>
        </w:rPr>
        <w:t>Variations in the starting R</w:t>
      </w:r>
      <w:r w:rsidRPr="00C55295">
        <w:rPr>
          <w:rFonts w:ascii="Palatino Linotype" w:hAnsi="Palatino Linotype" w:cs="Times New Roman"/>
          <w:sz w:val="24"/>
          <w:szCs w:val="24"/>
          <w:vertAlign w:val="subscript"/>
        </w:rPr>
        <w:t>CT</w:t>
      </w:r>
      <w:r w:rsidRPr="00C55295">
        <w:rPr>
          <w:rFonts w:ascii="Palatino Linotype" w:hAnsi="Palatino Linotype" w:cs="Times New Roman"/>
          <w:sz w:val="24"/>
          <w:szCs w:val="24"/>
        </w:rPr>
        <w:t xml:space="preserve"> values for each of the EIS measurement carried out could be attributed to an instability resulting from the </w:t>
      </w:r>
      <w:r w:rsidR="008D310E" w:rsidRPr="00C55295">
        <w:rPr>
          <w:rFonts w:ascii="Palatino Linotype" w:hAnsi="Palatino Linotype" w:cs="Times New Roman"/>
          <w:sz w:val="24"/>
          <w:szCs w:val="24"/>
        </w:rPr>
        <w:t xml:space="preserve">non-covalent nature </w:t>
      </w:r>
      <w:r w:rsidRPr="00C55295">
        <w:rPr>
          <w:rFonts w:ascii="Palatino Linotype" w:hAnsi="Palatino Linotype" w:cs="Times New Roman"/>
          <w:sz w:val="24"/>
          <w:szCs w:val="24"/>
        </w:rPr>
        <w:t xml:space="preserve">of the </w:t>
      </w:r>
      <w:r w:rsidR="008D310E" w:rsidRPr="00C55295">
        <w:rPr>
          <w:rFonts w:ascii="Palatino Linotype" w:hAnsi="Palatino Linotype" w:cs="Times New Roman"/>
          <w:sz w:val="24"/>
          <w:szCs w:val="24"/>
        </w:rPr>
        <w:t>Au-sulfur</w:t>
      </w:r>
      <w:r w:rsidRPr="00C55295">
        <w:rPr>
          <w:rFonts w:ascii="Palatino Linotype" w:hAnsi="Palatino Linotype" w:cs="Times New Roman"/>
          <w:sz w:val="24"/>
          <w:szCs w:val="24"/>
        </w:rPr>
        <w:t xml:space="preserve"> bonds of the single stranded DNA assembly on the electrode</w:t>
      </w:r>
      <w:r w:rsidRPr="005B1CCB">
        <w:rPr>
          <w:rFonts w:ascii="Palatino Linotype" w:hAnsi="Palatino Linotype" w:cs="Times New Roman"/>
          <w:sz w:val="24"/>
          <w:szCs w:val="24"/>
        </w:rPr>
        <w:t xml:space="preserve">. </w:t>
      </w:r>
      <w:r w:rsidR="00EB2F15" w:rsidRPr="005B1CCB">
        <w:rPr>
          <w:rFonts w:ascii="Palatino Linotype" w:hAnsi="Palatino Linotype" w:cs="Times New Roman"/>
          <w:sz w:val="24"/>
          <w:szCs w:val="24"/>
        </w:rPr>
        <w:t>A different study employed</w:t>
      </w:r>
      <w:r w:rsidRPr="005B1CCB">
        <w:rPr>
          <w:rFonts w:ascii="Palatino Linotype" w:hAnsi="Palatino Linotype" w:cs="Times New Roman"/>
          <w:sz w:val="24"/>
          <w:szCs w:val="24"/>
        </w:rPr>
        <w:t xml:space="preserve"> the use of tris-carboxyethyl phos</w:t>
      </w:r>
      <w:r w:rsidR="00B95129">
        <w:rPr>
          <w:rFonts w:ascii="Palatino Linotype" w:hAnsi="Palatino Linotype" w:cs="Times New Roman"/>
          <w:sz w:val="24"/>
          <w:szCs w:val="24"/>
        </w:rPr>
        <w:t>p</w:t>
      </w:r>
      <w:r w:rsidRPr="005B1CCB">
        <w:rPr>
          <w:rFonts w:ascii="Palatino Linotype" w:hAnsi="Palatino Linotype" w:cs="Times New Roman"/>
          <w:sz w:val="24"/>
          <w:szCs w:val="24"/>
        </w:rPr>
        <w:t>hine (TCEP) because it can cleave dithiol bonds into free thiol groups for improved film assembly kinetics</w:t>
      </w:r>
      <w:r w:rsidR="00F54D52" w:rsidRPr="005B1CCB">
        <w:rPr>
          <w:rFonts w:ascii="Palatino Linotype" w:hAnsi="Palatino Linotype" w:cs="Times New Roman"/>
          <w:sz w:val="24"/>
          <w:szCs w:val="24"/>
        </w:rPr>
        <w:t xml:space="preserve"> </w:t>
      </w:r>
      <w:r w:rsidR="00F54D52"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{"citationItems":[{"id":"ITEM-1","itemData":{"DOI":"10.3390/ijms17040561","ISSN":"1422-0067","abstract":"Antibody-drug conjugates (ADCs) comprised of a desirable monoclonal antibody, an active cytotoxic drug and an appropriate linker are considered to be an innovative therapeutic approach for targeted treatment of various types of tumors and cancers, enhancing the therapeutic parameter of the cytotoxic drug and reducing the possibility of systemic cytotoxicity. An appropriate linker between the antibody and the cytotoxic drug provides a specific bridge, and thus helps the antibody to selectively deliver the cytotoxic drug to tumor cells and accurately releases the cytotoxic drug at tumor sites. In addition to conjugation, the linkers maintain ADCs' stability during the preparation and storage stages of the ADCs and during the systemic circulation period. The design of linkers for ADCs is a challenge in terms of extracellular stability and intracellular release, and intracellular circumstances, such as the acid environment, the reducing environment and cathepsin, are considered as the catalysts to activate the triggers for initiating the cleavage of ADCs. This review discusses the linkers used in the clinical and marketing stages for ADCs and details the fracture modes of the linkers for the further development of ADCs.","author":[{"dropping-particle":"","family":"Lu","given":"Jun","non-dropping-particle":"","parse-names":false,"suffix":""},{"dropping-particle":"","family":"Jiang","given":"Feng","non-dropping-particle":"","parse-names":false,"suffix":""},{"dropping-particle":"","family":"Lu","given":"Aiping","non-dropping-particle":"","parse-names":false,"suffix":""},{"dropping-particle":"","family":"Zhang","given":"Ge","non-dropping-particle":"","parse-names":false,"suffix":""}],"container-title":"International journal of molecular sciences","id":"ITEM-1","issue":"4","issued":{"date-parts":[["2016","4","14"]]},"language":"eng","page":"561","publisher":"MDPI","title":"Linkers Having a Crucial Role in Antibody-Drug Conjugates","type":"article-journal","volume":"17"},"uris":["http://www.mendeley.com/documents/?uuid=02f8e892-89a2-4ffe-9eac-0d20eb06f72d"]}],"mendeley":{"formattedCitation":"[223]","plainTextFormattedCitation":"[223]","previouslyFormattedCitation":"[223]"},"properties":{"noteIndex":0},"schema":"https://github.com/citation-style-language/schema/raw/master/csl-citation.json"}</w:instrText>
      </w:r>
      <w:r w:rsidR="00F54D52"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[223]</w:t>
      </w:r>
      <w:r w:rsidR="00F54D52"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and  enhance the reproducibility and sensitivity  of biologically modified electrodes  </w:t>
      </w:r>
      <w:r w:rsidR="00D2037C"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{"citationItems":[{"id":"ITEM-1","itemData":{"DOI":"10.1016/j.jelechem.2016.12.050","ISSN":"1572-6657","author":[{"dropping-particle":"","family":"Corrigan","given":"D K","non-dropping-particle":"","parse-names":false,"suffix":""},{"dropping-particle":"","family":"Schulze","given":"H","non-dropping-particle":"","parse-names":false,"suffix":""},{"dropping-particle":"","family":"Ciani","given":"I","non-dropping-particle":"","parse-names":false,"suffix":""},{"dropping-particle":"","family":"Henihan","given":"G","non-dropping-particle":"","parse-names":false,"suffix":""},{"dropping-particle":"","family":"Mount","given":"A R","non-dropping-particle":"","parse-names":false,"suffix":""},{"dropping-particle":"","family":"Bachmann","given":"T T","non-dropping-particle":"","parse-names":false,"suffix":""}],"container-title":"Journal of Electroanalytical Chemistry","id":"ITEM-1","issued":{"date-parts":[["2017"]]},"page":"58-62","publisher":"Elsevier B.V.","title":"Improving performance of a rapid electrochemical MRSA assay : Optimisation of assay conditions to achieve enhanced discrimination of clinically important DNA sequences under ambient conditions","type":"article-journal","volume":"786"},"uris":["http://www.mendeley.com/documents/?uuid=a3b2477e-3db2-41f0-870d-49298e2dee5f"]}],"mendeley":{"formattedCitation":"[217]","plainTextFormattedCitation":"[217]","previouslyFormattedCitation":"[217]"},"properties":{"noteIndex":0},"schema":"https://github.com/citation-style-language/schema/raw/master/csl-citation.json"}</w:instrText>
      </w:r>
      <w:r w:rsidR="00D2037C"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[217]</w:t>
      </w:r>
      <w:r w:rsidR="00D2037C" w:rsidRPr="005B1CCB">
        <w:rPr>
          <w:rFonts w:ascii="Palatino Linotype" w:hAnsi="Palatino Linotype" w:cs="Times New Roman"/>
          <w:sz w:val="24"/>
          <w:szCs w:val="24"/>
        </w:rPr>
        <w:fldChar w:fldCharType="end"/>
      </w:r>
      <w:r w:rsidR="00D2037C" w:rsidRPr="005B1CCB">
        <w:rPr>
          <w:rFonts w:ascii="Palatino Linotype" w:hAnsi="Palatino Linotype" w:cs="Times New Roman"/>
          <w:sz w:val="24"/>
          <w:szCs w:val="24"/>
        </w:rPr>
        <w:t>.</w:t>
      </w:r>
    </w:p>
    <w:p w14:paraId="4A418C8A" w14:textId="3DD1B084" w:rsidR="0001268D" w:rsidRPr="005B1CCB" w:rsidRDefault="0001268D" w:rsidP="00205AA3">
      <w:pPr>
        <w:spacing w:line="360" w:lineRule="auto"/>
        <w:jc w:val="both"/>
        <w:rPr>
          <w:rFonts w:ascii="Palatino Linotype" w:eastAsia="Times New Roman" w:hAnsi="Palatino Linotype" w:cs="Times New Roman"/>
          <w:sz w:val="24"/>
          <w:szCs w:val="24"/>
          <w:lang w:val="en-US"/>
        </w:rPr>
      </w:pPr>
      <w:r w:rsidRPr="005B1CCB">
        <w:rPr>
          <w:rFonts w:ascii="Palatino Linotype" w:hAnsi="Palatino Linotype" w:cs="Times New Roman"/>
          <w:sz w:val="24"/>
          <w:szCs w:val="24"/>
        </w:rPr>
        <w:t xml:space="preserve">    </w:t>
      </w:r>
      <w:r w:rsidRPr="00C55295">
        <w:rPr>
          <w:rFonts w:ascii="Palatino Linotype" w:hAnsi="Palatino Linotype" w:cs="Times New Roman"/>
          <w:sz w:val="24"/>
          <w:szCs w:val="24"/>
        </w:rPr>
        <w:t>As label free detection is contingent on the electrochemical signal produced by the presence of the DNA sequences, it is important to gain a better understanding of factors that promote hybridisation or reduce its binding effects</w:t>
      </w:r>
      <w:r w:rsidRPr="005B1CCB">
        <w:rPr>
          <w:rFonts w:ascii="Palatino Linotype" w:hAnsi="Palatino Linotype" w:cs="Times New Roman"/>
          <w:sz w:val="24"/>
          <w:szCs w:val="24"/>
        </w:rPr>
        <w:t>. A difficulty which has decelerated the progress of an electrochemical</w:t>
      </w:r>
      <w:r w:rsidR="00EB2F15" w:rsidRPr="005B1CCB">
        <w:rPr>
          <w:rFonts w:ascii="Palatino Linotype" w:hAnsi="Palatino Linotype" w:cs="Times New Roman"/>
          <w:sz w:val="24"/>
          <w:szCs w:val="24"/>
        </w:rPr>
        <w:t xml:space="preserve"> biosensor is an interaction </w:t>
      </w:r>
      <w:r w:rsidRPr="005B1CCB">
        <w:rPr>
          <w:rFonts w:ascii="Palatino Linotype" w:hAnsi="Palatino Linotype" w:cs="Times New Roman"/>
          <w:sz w:val="24"/>
          <w:szCs w:val="24"/>
        </w:rPr>
        <w:t>by other proteins and non-specific DNA on the surface of the electrode which originate from c</w:t>
      </w:r>
      <w:r w:rsidR="007772E2" w:rsidRPr="005B1CCB">
        <w:rPr>
          <w:rFonts w:ascii="Palatino Linotype" w:hAnsi="Palatino Linotype" w:cs="Times New Roman"/>
          <w:sz w:val="24"/>
          <w:szCs w:val="24"/>
        </w:rPr>
        <w:t xml:space="preserve">omplex </w:t>
      </w:r>
      <w:r w:rsidRPr="005B1CCB">
        <w:rPr>
          <w:rFonts w:ascii="Palatino Linotype" w:hAnsi="Palatino Linotype" w:cs="Times New Roman"/>
          <w:sz w:val="24"/>
          <w:szCs w:val="24"/>
        </w:rPr>
        <w:t>sample</w:t>
      </w:r>
      <w:r w:rsidR="007772E2" w:rsidRPr="005B1CCB">
        <w:rPr>
          <w:rFonts w:ascii="Palatino Linotype" w:hAnsi="Palatino Linotype" w:cs="Times New Roman"/>
          <w:sz w:val="24"/>
          <w:szCs w:val="24"/>
        </w:rPr>
        <w:t xml:space="preserve"> types</w:t>
      </w:r>
      <w:r w:rsidR="00D2037C"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Other complications from simple electrode reactions include adsorption, linked chemical reactions, </w:t>
      </w:r>
      <w:r w:rsidRPr="00C55295">
        <w:rPr>
          <w:rFonts w:ascii="Palatino Linotype" w:hAnsi="Palatino Linotype" w:cs="Times New Roman"/>
          <w:sz w:val="24"/>
          <w:szCs w:val="24"/>
        </w:rPr>
        <w:t>intercalations from phases</w:t>
      </w:r>
      <w:r w:rsidRPr="005B1CCB">
        <w:rPr>
          <w:rFonts w:ascii="Palatino Linotype" w:hAnsi="Palatino Linotype" w:cs="Times New Roman"/>
          <w:sz w:val="24"/>
          <w:szCs w:val="24"/>
        </w:rPr>
        <w:t xml:space="preserve"> and diverse electron transfer</w:t>
      </w:r>
      <w:r w:rsidR="00D2037C" w:rsidRPr="005B1CCB">
        <w:rPr>
          <w:rFonts w:ascii="Palatino Linotype" w:hAnsi="Palatino Linotype" w:cs="Times New Roman"/>
          <w:sz w:val="24"/>
          <w:szCs w:val="24"/>
        </w:rPr>
        <w:t xml:space="preserve"> </w:t>
      </w:r>
      <w:r w:rsidR="00D2037C"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{"citationItems":[{"id":"ITEM-1","itemData":{"author":[{"dropping-particle":"","family":"Dorothee Grieshaber, Robert MacKenzie, Janos Voros","given":"Erik Reimhult","non-dropping-particle":"","parse-names":false,"suffix":""}],"id":"ITEM-1","issue":"March","issued":{"date-parts":[["2008"]]},"page":"1400-1458","title":"Electrochemical Biosensors - Sensor Principles and Architectures","type":"article-journal"},"uris":["http://www.mendeley.com/documents/?uuid=9173daa3-3a99-45de-957e-9bc9d7232582"]}],"mendeley":{"formattedCitation":"[145]","plainTextFormattedCitation":"[145]","previouslyFormattedCitation":"[145]"},"properties":{"noteIndex":0},"schema":"https://github.com/citation-style-language/schema/raw/master/csl-citation.json"}</w:instrText>
      </w:r>
      <w:r w:rsidR="00D2037C"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[145]</w:t>
      </w:r>
      <w:r w:rsidR="00D2037C" w:rsidRPr="005B1CCB">
        <w:rPr>
          <w:rFonts w:ascii="Palatino Linotype" w:hAnsi="Palatino Linotype" w:cs="Times New Roman"/>
          <w:sz w:val="24"/>
          <w:szCs w:val="24"/>
        </w:rPr>
        <w:fldChar w:fldCharType="end"/>
      </w:r>
      <w:r w:rsidR="00D2037C"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 </w:t>
      </w:r>
    </w:p>
    <w:p w14:paraId="4FB95F1A" w14:textId="281DC301" w:rsidR="00911E19" w:rsidRPr="005B1CCB" w:rsidRDefault="0001268D" w:rsidP="003D2FA8">
      <w:pPr>
        <w:autoSpaceDE w:val="0"/>
        <w:autoSpaceDN w:val="0"/>
        <w:spacing w:line="360" w:lineRule="auto"/>
        <w:jc w:val="both"/>
        <w:rPr>
          <w:rFonts w:ascii="Palatino Linotype" w:eastAsia="Times New Roman" w:hAnsi="Palatino Linotype" w:cs="Times New Roman"/>
          <w:sz w:val="24"/>
          <w:szCs w:val="24"/>
          <w:lang w:val="en-US"/>
        </w:rPr>
      </w:pPr>
      <w:r w:rsidRPr="005B1CCB">
        <w:rPr>
          <w:rFonts w:ascii="Palatino Linotype" w:eastAsia="Times New Roman" w:hAnsi="Palatino Linotype" w:cs="Times New Roman"/>
          <w:sz w:val="24"/>
          <w:szCs w:val="24"/>
          <w:lang w:val="en-US"/>
        </w:rPr>
        <w:t xml:space="preserve">     Qualitatively, the results from the EIS measurements indicate that an ideal tumour marker should be quantifiable in a non-invasive way</w:t>
      </w:r>
      <w:r w:rsidR="00BC139C">
        <w:rPr>
          <w:rFonts w:ascii="Palatino Linotype" w:eastAsia="Times New Roman" w:hAnsi="Palatino Linotype" w:cs="Times New Roman"/>
          <w:sz w:val="24"/>
          <w:szCs w:val="24"/>
          <w:lang w:val="en-US"/>
        </w:rPr>
        <w:t>. No selectivity or specificity studies were done</w:t>
      </w:r>
      <w:r w:rsidRPr="005B1CCB">
        <w:rPr>
          <w:rFonts w:ascii="Palatino Linotype" w:eastAsia="Times New Roman" w:hAnsi="Palatino Linotype" w:cs="Times New Roman"/>
          <w:sz w:val="24"/>
          <w:szCs w:val="24"/>
          <w:lang w:val="en-US"/>
        </w:rPr>
        <w:t xml:space="preserve">. </w:t>
      </w:r>
      <w:r w:rsidRPr="00C55295">
        <w:rPr>
          <w:rFonts w:ascii="Palatino Linotype" w:eastAsia="Times New Roman" w:hAnsi="Palatino Linotype" w:cs="Times New Roman"/>
          <w:sz w:val="24"/>
          <w:szCs w:val="24"/>
          <w:lang w:val="en-US"/>
        </w:rPr>
        <w:t xml:space="preserve">A point of contention in regard to this </w:t>
      </w:r>
      <w:r w:rsidR="001F7852" w:rsidRPr="00C55295">
        <w:rPr>
          <w:rFonts w:ascii="Palatino Linotype" w:eastAsia="Times New Roman" w:hAnsi="Palatino Linotype" w:cs="Times New Roman"/>
          <w:sz w:val="24"/>
          <w:szCs w:val="24"/>
          <w:lang w:val="en-US"/>
        </w:rPr>
        <w:t xml:space="preserve">initial </w:t>
      </w:r>
      <w:r w:rsidRPr="00C55295">
        <w:rPr>
          <w:rFonts w:ascii="Palatino Linotype" w:eastAsia="Times New Roman" w:hAnsi="Palatino Linotype" w:cs="Times New Roman"/>
          <w:sz w:val="24"/>
          <w:szCs w:val="24"/>
          <w:lang w:val="en-US"/>
        </w:rPr>
        <w:t>study is if the detected tumour marker is viable or apoptotic as only cells that are functional should be able to bring about metastatic formation</w:t>
      </w:r>
      <w:r w:rsidR="00806599" w:rsidRPr="00C55295">
        <w:rPr>
          <w:rFonts w:ascii="Palatino Linotype" w:eastAsia="Times New Roman" w:hAnsi="Palatino Linotype" w:cs="Times New Roman"/>
          <w:sz w:val="24"/>
          <w:szCs w:val="24"/>
          <w:lang w:val="en-US"/>
        </w:rPr>
        <w:t xml:space="preserve"> </w:t>
      </w:r>
      <w:r w:rsidR="00806599" w:rsidRPr="00C55295">
        <w:rPr>
          <w:rFonts w:ascii="Palatino Linotype" w:eastAsia="Times New Roman" w:hAnsi="Palatino Linotype" w:cs="Times New Roman"/>
          <w:sz w:val="24"/>
          <w:szCs w:val="24"/>
          <w:lang w:val="en-US"/>
        </w:rPr>
        <w:fldChar w:fldCharType="begin" w:fldLock="1"/>
      </w:r>
      <w:r w:rsidR="000766C5">
        <w:rPr>
          <w:rFonts w:ascii="Palatino Linotype" w:eastAsia="Times New Roman" w:hAnsi="Palatino Linotype" w:cs="Times New Roman"/>
          <w:sz w:val="24"/>
          <w:szCs w:val="24"/>
          <w:lang w:val="en-US"/>
        </w:rPr>
        <w:instrText>ADDIN CSL_CITATION {"citationItems":[{"id":"ITEM-1","itemData":{"DOI":"10.3978/j.issn.2072-1439.2012.08.15","ISSN":"2077-6624","author":[{"dropping-particle":"","family":"Pantel","given":"Klaus","non-dropping-particle":"","parse-names":false,"suffix":""},{"dropping-particle":"","family":"Alix-Panabières","given":"Catherine","non-dropping-particle":"","parse-names":false,"suffix":""}],"container-title":"Journal of thoracic disease","id":"ITEM-1","issue":"5","issued":{"date-parts":[["2012","10"]]},"language":"eng","page":"446-447","publisher":"Pioneer Bioscience Publishing Company","title":"Detection methods of circulating tumor cells","type":"article-journal","volume":"4"},"uris":["http://www.mendeley.com/documents/?uuid=bbfdc9b6-1360-4c4b-a794-665b1e404e89"]}],"mendeley":{"formattedCitation":"[224]","plainTextFormattedCitation":"[224]","previouslyFormattedCitation":"[224]"},"properties":{"noteIndex":0},"schema":"https://github.com/citation-style-language/schema/raw/master/csl-citation.json"}</w:instrText>
      </w:r>
      <w:r w:rsidR="00806599" w:rsidRPr="00C55295">
        <w:rPr>
          <w:rFonts w:ascii="Palatino Linotype" w:eastAsia="Times New Roman" w:hAnsi="Palatino Linotype" w:cs="Times New Roman"/>
          <w:sz w:val="24"/>
          <w:szCs w:val="24"/>
          <w:lang w:val="en-US"/>
        </w:rPr>
        <w:fldChar w:fldCharType="separate"/>
      </w:r>
      <w:r w:rsidR="005F2946" w:rsidRPr="005F2946">
        <w:rPr>
          <w:rFonts w:ascii="Palatino Linotype" w:eastAsia="Times New Roman" w:hAnsi="Palatino Linotype" w:cs="Times New Roman"/>
          <w:noProof/>
          <w:sz w:val="24"/>
          <w:szCs w:val="24"/>
          <w:lang w:val="en-US"/>
        </w:rPr>
        <w:t>[224]</w:t>
      </w:r>
      <w:r w:rsidR="00806599" w:rsidRPr="00C55295">
        <w:rPr>
          <w:rFonts w:ascii="Palatino Linotype" w:eastAsia="Times New Roman" w:hAnsi="Palatino Linotype" w:cs="Times New Roman"/>
          <w:sz w:val="24"/>
          <w:szCs w:val="24"/>
          <w:lang w:val="en-US"/>
        </w:rPr>
        <w:fldChar w:fldCharType="end"/>
      </w:r>
      <w:r w:rsidR="00806599" w:rsidRPr="00C55295">
        <w:rPr>
          <w:rFonts w:ascii="Palatino Linotype" w:eastAsia="Times New Roman" w:hAnsi="Palatino Linotype" w:cs="Times New Roman"/>
          <w:sz w:val="24"/>
          <w:szCs w:val="24"/>
          <w:lang w:val="en-US"/>
        </w:rPr>
        <w:t xml:space="preserve">. </w:t>
      </w:r>
      <w:r w:rsidRPr="00C55295">
        <w:rPr>
          <w:rFonts w:ascii="Palatino Linotype" w:eastAsia="Times New Roman" w:hAnsi="Palatino Linotype" w:cs="Times New Roman"/>
          <w:sz w:val="24"/>
          <w:szCs w:val="24"/>
          <w:lang w:val="en-US"/>
        </w:rPr>
        <w:t xml:space="preserve">To obviate this problem, </w:t>
      </w:r>
      <w:r w:rsidR="00EB2F15" w:rsidRPr="00C55295">
        <w:rPr>
          <w:rFonts w:ascii="Palatino Linotype" w:eastAsia="Times New Roman" w:hAnsi="Palatino Linotype" w:cs="Times New Roman"/>
          <w:sz w:val="24"/>
          <w:szCs w:val="24"/>
          <w:lang w:val="en-US"/>
        </w:rPr>
        <w:t>the aim of subsequent investigation will be</w:t>
      </w:r>
      <w:r w:rsidRPr="00C55295">
        <w:rPr>
          <w:rFonts w:ascii="Palatino Linotype" w:eastAsia="Times New Roman" w:hAnsi="Palatino Linotype" w:cs="Times New Roman"/>
          <w:sz w:val="24"/>
          <w:szCs w:val="24"/>
          <w:lang w:val="en-US"/>
        </w:rPr>
        <w:t xml:space="preserve"> to develop a multi</w:t>
      </w:r>
      <w:r w:rsidR="00EB2F15" w:rsidRPr="00C55295">
        <w:rPr>
          <w:rFonts w:ascii="Palatino Linotype" w:eastAsia="Times New Roman" w:hAnsi="Palatino Linotype" w:cs="Times New Roman"/>
          <w:sz w:val="24"/>
          <w:szCs w:val="24"/>
          <w:lang w:val="en-US"/>
        </w:rPr>
        <w:t>-</w:t>
      </w:r>
      <w:r w:rsidRPr="00C55295">
        <w:rPr>
          <w:rFonts w:ascii="Palatino Linotype" w:eastAsia="Times New Roman" w:hAnsi="Palatino Linotype" w:cs="Times New Roman"/>
          <w:sz w:val="24"/>
          <w:szCs w:val="24"/>
          <w:lang w:val="en-US"/>
        </w:rPr>
        <w:t xml:space="preserve">electrode array which measures </w:t>
      </w:r>
      <w:r w:rsidR="003D2FA8" w:rsidRPr="00C55295">
        <w:rPr>
          <w:rFonts w:ascii="Palatino Linotype" w:eastAsia="Times New Roman" w:hAnsi="Palatino Linotype" w:cs="Times New Roman"/>
          <w:sz w:val="24"/>
          <w:szCs w:val="24"/>
          <w:lang w:val="en-US"/>
        </w:rPr>
        <w:t>several biomarkers in parallel.</w:t>
      </w:r>
    </w:p>
    <w:p w14:paraId="1582418A" w14:textId="13C3BC1B" w:rsidR="00911E19" w:rsidRPr="005B1CCB" w:rsidRDefault="00911E19" w:rsidP="00205AA3">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Pr="00C55295">
        <w:rPr>
          <w:rFonts w:ascii="Palatino Linotype" w:hAnsi="Palatino Linotype" w:cs="Times New Roman"/>
          <w:sz w:val="24"/>
          <w:szCs w:val="24"/>
        </w:rPr>
        <w:t xml:space="preserve">Further work will </w:t>
      </w:r>
      <w:r w:rsidR="003D2FA8" w:rsidRPr="00C55295">
        <w:rPr>
          <w:rFonts w:ascii="Palatino Linotype" w:hAnsi="Palatino Linotype" w:cs="Times New Roman"/>
          <w:sz w:val="24"/>
          <w:szCs w:val="24"/>
        </w:rPr>
        <w:t xml:space="preserve">also </w:t>
      </w:r>
      <w:r w:rsidRPr="00C55295">
        <w:rPr>
          <w:rFonts w:ascii="Palatino Linotype" w:hAnsi="Palatino Linotype" w:cs="Times New Roman"/>
          <w:sz w:val="24"/>
          <w:szCs w:val="24"/>
        </w:rPr>
        <w:t xml:space="preserve">employ the use of micro and ultra-micro electrodes as these reduced dimensions have improved analytical performance which will allow the electrochemical study of and sensitive detection of minute analyte concentrations as circulating tumour </w:t>
      </w:r>
      <w:r w:rsidR="00C74F06" w:rsidRPr="00C55295">
        <w:rPr>
          <w:rFonts w:ascii="Palatino Linotype" w:hAnsi="Palatino Linotype" w:cs="Times New Roman"/>
          <w:sz w:val="24"/>
          <w:szCs w:val="24"/>
        </w:rPr>
        <w:t>DNA</w:t>
      </w:r>
      <w:r w:rsidRPr="00C55295">
        <w:rPr>
          <w:rFonts w:ascii="Palatino Linotype" w:hAnsi="Palatino Linotype" w:cs="Times New Roman"/>
          <w:sz w:val="24"/>
          <w:szCs w:val="24"/>
        </w:rPr>
        <w:t xml:space="preserve"> occur at very low concentrations</w:t>
      </w:r>
      <w:r w:rsidR="00731505" w:rsidRPr="005B1CCB">
        <w:rPr>
          <w:rFonts w:ascii="Palatino Linotype" w:hAnsi="Palatino Linotype" w:cs="Times New Roman"/>
          <w:sz w:val="24"/>
          <w:szCs w:val="24"/>
        </w:rPr>
        <w:t xml:space="preserve"> </w:t>
      </w:r>
      <w:r w:rsidR="0073150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{"citationItems":[{"id":"ITEM-1","itemData":{"DOI":"10.1039/c4cs00369a","ISSN":"14604744","PMID":"25962356","abstract":"Electrochemistry, biosensors and microfluidics are popular research topics that have attracted widespread attention from chemists, biologists, physicists, and engineers. Here, we introduce the basic concepts and recent histories of electrochemistry, biosensors, and microfluidics, and describe how they are combining to form new application-areas, including so-called \"point-of-care\" systems in which measurements traditionally performed in a laboratory are moved into the field. We propose that this review can serve both as a useful starting-point for researchers who are new to these topics, as well as being a compendium of the current state-of-the art for experts in these evolving areas.","author":[{"dropping-particle":"","family":"Rackus","given":"Darius G.","non-dropping-particle":"","parse-names":false,"suffix":""},{"dropping-particle":"","family":"Shamsi","given":"Mohtashim H.","non-dropping-particle":"","parse-names":false,"suffix":""},{"dropping-particle":"","family":"Wheeler","given":"Aaron R.","non-dropping-particle":"","parse-names":false,"suffix":""}],"container-title":"Chemical Society Reviews","id":"ITEM-1","issue":"15","issued":{"date-parts":[["2015"]]},"page":"5320-5340","publisher":"Royal Society of Chemistry","title":"Electrochemistry, biosensors and microfluidics: a convergence of fields","type":"article-journal","volume":"44"},"uris":["http://www.mendeley.com/documents/?uuid=8c428899-ed97-4858-b7b9-0e5cc72693de"]}],"mendeley":{"formattedCitation":"[110]","plainTextFormattedCitation":"[110]","previouslyFormattedCitation":"[110]"},"properties":{"noteIndex":0},"schema":"https://github.com/citation-style-language/schema/raw/master/csl-citation.json"}</w:instrText>
      </w:r>
      <w:r w:rsidR="0073150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[110]</w:t>
      </w:r>
      <w:r w:rsidR="00731505" w:rsidRPr="005B1CCB">
        <w:rPr>
          <w:rFonts w:ascii="Palatino Linotype" w:hAnsi="Palatino Linotype" w:cs="Times New Roman"/>
          <w:sz w:val="24"/>
          <w:szCs w:val="24"/>
        </w:rPr>
        <w:fldChar w:fldCharType="end"/>
      </w:r>
      <w:r w:rsidR="00731505" w:rsidRPr="005B1CCB">
        <w:rPr>
          <w:rFonts w:ascii="Palatino Linotype" w:hAnsi="Palatino Linotype" w:cs="Times New Roman"/>
          <w:sz w:val="24"/>
          <w:szCs w:val="24"/>
        </w:rPr>
        <w:t xml:space="preserve"> </w:t>
      </w:r>
      <w:r w:rsidR="00806599"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10.3978/j.issn.2072-1439.2012.08.15","ISSN":"2077-6624","author":[{"dropping-particle":"","family":"Pantel","given":"Klaus","non-dropping-particle":"","parse-names":false,"suffix":""},{"dropping-particle":"","family":"Alix-Panabières","given":"Catherine","non-dropping-particle":"","parse-names":false,"suffix":""}],"container-title":"Journal of thoracic disease","id":"ITEM-1","issue":"5","issued":{"date-parts":[["2012","10"]]},"language":"eng","page":"446-447","publisher":"Pioneer Bioscience Publishing Company","title":"Detection methods of circulating tumor cells","type":"article-journal","volume":"4"},"uris":["http://www.mendeley.com/documents/?uuid=bbfdc9b6-1360-4c4b-a794-665b1e404e89"]}],"mendeley":{"formattedCitation":"[224]","plainTextFormattedCitation":"[224]","previouslyFormattedCitation":"[224]"},"properties":{"noteIndex":0},"schema":"https://github.com/citation-style-language/schema/raw/master/csl-citation.json"}</w:instrText>
      </w:r>
      <w:r w:rsidR="00806599"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[224]</w:t>
      </w:r>
      <w:r w:rsidR="00806599" w:rsidRPr="005B1CCB">
        <w:rPr>
          <w:rFonts w:ascii="Palatino Linotype" w:hAnsi="Palatino Linotype" w:cs="Times New Roman"/>
          <w:sz w:val="24"/>
          <w:szCs w:val="24"/>
        </w:rPr>
        <w:fldChar w:fldCharType="end"/>
      </w:r>
      <w:r w:rsidR="00806599" w:rsidRPr="005B1CCB">
        <w:rPr>
          <w:rFonts w:ascii="Palatino Linotype" w:hAnsi="Palatino Linotype" w:cs="Times New Roman"/>
          <w:sz w:val="24"/>
          <w:szCs w:val="24"/>
        </w:rPr>
        <w:t xml:space="preserve">. </w:t>
      </w:r>
    </w:p>
    <w:p w14:paraId="4118FD7C" w14:textId="77777777" w:rsidR="00C74F06" w:rsidRPr="005B1CCB" w:rsidRDefault="00C74F06" w:rsidP="00205AA3">
      <w:pPr>
        <w:spacing w:line="360" w:lineRule="auto"/>
        <w:jc w:val="both"/>
        <w:rPr>
          <w:rFonts w:ascii="Palatino Linotype" w:hAnsi="Palatino Linotype" w:cs="Times New Roman"/>
          <w:sz w:val="24"/>
          <w:szCs w:val="24"/>
        </w:rPr>
      </w:pPr>
    </w:p>
    <w:p w14:paraId="76C15A48" w14:textId="741C322D" w:rsidR="00911E19" w:rsidRPr="005B1CCB" w:rsidRDefault="002F57C5" w:rsidP="00492F11">
      <w:pPr>
        <w:pStyle w:val="Heading2"/>
      </w:pPr>
      <w:bookmarkStart w:id="122" w:name="_Toc84528098"/>
      <w:r w:rsidRPr="005B1CCB">
        <w:t>Conclusion</w:t>
      </w:r>
      <w:bookmarkEnd w:id="122"/>
    </w:p>
    <w:p w14:paraId="72B16CFF" w14:textId="77777777" w:rsidR="008C44CD" w:rsidRPr="005B1CCB" w:rsidRDefault="00911E19" w:rsidP="007B7778">
      <w:pPr>
        <w:autoSpaceDE w:val="0"/>
        <w:autoSpaceDN w:val="0"/>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The ability to maintain and extract DNA plasmid from a known cell line containing a tumour marker of interest was demonstrated. DNA hybridization was carried out using CV and EIS measurements on gold SPE surfaces. Hybridization of the wild</w:t>
      </w:r>
      <w:r w:rsidR="00E37D58" w:rsidRPr="005B1CCB">
        <w:rPr>
          <w:rFonts w:ascii="Palatino Linotype" w:hAnsi="Palatino Linotype" w:cs="Times New Roman"/>
          <w:sz w:val="24"/>
          <w:szCs w:val="24"/>
        </w:rPr>
        <w:t>-</w:t>
      </w:r>
      <w:r w:rsidRPr="005B1CCB">
        <w:rPr>
          <w:rFonts w:ascii="Palatino Linotype" w:hAnsi="Palatino Linotype" w:cs="Times New Roman"/>
          <w:sz w:val="24"/>
          <w:szCs w:val="24"/>
        </w:rPr>
        <w:t>type DNA probe to its complementary wild</w:t>
      </w:r>
      <w:r w:rsidR="00DD3AB9" w:rsidRPr="005B1CCB">
        <w:rPr>
          <w:rFonts w:ascii="Palatino Linotype" w:hAnsi="Palatino Linotype" w:cs="Times New Roman"/>
          <w:sz w:val="24"/>
          <w:szCs w:val="24"/>
        </w:rPr>
        <w:t>-</w:t>
      </w:r>
      <w:r w:rsidRPr="005B1CCB">
        <w:rPr>
          <w:rFonts w:ascii="Palatino Linotype" w:hAnsi="Palatino Linotype" w:cs="Times New Roman"/>
          <w:sz w:val="24"/>
          <w:szCs w:val="24"/>
        </w:rPr>
        <w:t>type DNA target showed a higher R</w:t>
      </w:r>
      <w:r w:rsidRPr="005B1CCB">
        <w:rPr>
          <w:rFonts w:ascii="Palatino Linotype" w:hAnsi="Palatino Linotype" w:cs="Times New Roman"/>
          <w:sz w:val="24"/>
          <w:szCs w:val="24"/>
          <w:vertAlign w:val="subscript"/>
        </w:rPr>
        <w:t>CT</w:t>
      </w:r>
      <w:r w:rsidRPr="005B1CCB">
        <w:rPr>
          <w:rFonts w:ascii="Palatino Linotype" w:hAnsi="Palatino Linotype" w:cs="Times New Roman"/>
          <w:sz w:val="24"/>
          <w:szCs w:val="24"/>
        </w:rPr>
        <w:t xml:space="preserve"> compared to the hybridization of the wild</w:t>
      </w:r>
      <w:r w:rsidR="00C74F06" w:rsidRPr="005B1CCB">
        <w:rPr>
          <w:rFonts w:ascii="Palatino Linotype" w:hAnsi="Palatino Linotype" w:cs="Times New Roman"/>
          <w:sz w:val="24"/>
          <w:szCs w:val="24"/>
        </w:rPr>
        <w:t>-</w:t>
      </w:r>
      <w:r w:rsidRPr="005B1CCB">
        <w:rPr>
          <w:rFonts w:ascii="Palatino Linotype" w:hAnsi="Palatino Linotype" w:cs="Times New Roman"/>
          <w:sz w:val="24"/>
          <w:szCs w:val="24"/>
        </w:rPr>
        <w:t>type DNA probe to the mutated target. This meant it was possible to selectively detect wild</w:t>
      </w:r>
      <w:r w:rsidR="000E700D" w:rsidRPr="005B1CCB">
        <w:rPr>
          <w:rFonts w:ascii="Palatino Linotype" w:hAnsi="Palatino Linotype" w:cs="Times New Roman"/>
          <w:sz w:val="24"/>
          <w:szCs w:val="24"/>
        </w:rPr>
        <w:t>-</w:t>
      </w:r>
      <w:r w:rsidRPr="005B1CCB">
        <w:rPr>
          <w:rFonts w:ascii="Palatino Linotype" w:hAnsi="Palatino Linotype" w:cs="Times New Roman"/>
          <w:sz w:val="24"/>
          <w:szCs w:val="24"/>
        </w:rPr>
        <w:t xml:space="preserve">type and </w:t>
      </w:r>
      <w:r w:rsidR="00FE1357" w:rsidRPr="005B1CCB">
        <w:rPr>
          <w:rFonts w:ascii="Palatino Linotype" w:hAnsi="Palatino Linotype" w:cs="Times New Roman"/>
          <w:sz w:val="24"/>
          <w:szCs w:val="24"/>
        </w:rPr>
        <w:t>Tp</w:t>
      </w:r>
      <w:r w:rsidRPr="005B1CCB">
        <w:rPr>
          <w:rFonts w:ascii="Palatino Linotype" w:hAnsi="Palatino Linotype" w:cs="Times New Roman"/>
          <w:sz w:val="24"/>
          <w:szCs w:val="24"/>
        </w:rPr>
        <w:t xml:space="preserve">53 mutated DNA using the system developed. This study established a successful foundation that can be used to enhance the development of an affinity biosensor that can be used to detect a </w:t>
      </w:r>
      <w:r w:rsidR="00C2450B" w:rsidRPr="005B1CCB">
        <w:rPr>
          <w:rFonts w:ascii="Palatino Linotype" w:hAnsi="Palatino Linotype" w:cs="Times New Roman"/>
          <w:sz w:val="24"/>
          <w:szCs w:val="24"/>
        </w:rPr>
        <w:t>known circulating tumour marker</w:t>
      </w:r>
      <w:r w:rsidR="00C22D8E" w:rsidRPr="005B1CCB">
        <w:rPr>
          <w:rFonts w:ascii="Palatino Linotype" w:hAnsi="Palatino Linotype" w:cs="Times New Roman"/>
          <w:sz w:val="24"/>
          <w:szCs w:val="24"/>
        </w:rPr>
        <w:t xml:space="preserve">. </w:t>
      </w:r>
      <w:r w:rsidR="008D73FE" w:rsidRPr="005B1CCB">
        <w:rPr>
          <w:rFonts w:ascii="Palatino Linotype" w:hAnsi="Palatino Linotype" w:cs="Times New Roman"/>
          <w:sz w:val="24"/>
          <w:szCs w:val="24"/>
        </w:rPr>
        <w:t xml:space="preserve"> </w:t>
      </w:r>
      <w:r w:rsidR="008C44CD" w:rsidRPr="00C55295">
        <w:rPr>
          <w:rFonts w:ascii="Palatino Linotype" w:hAnsi="Palatino Linotype" w:cs="Times New Roman"/>
          <w:sz w:val="24"/>
          <w:szCs w:val="24"/>
        </w:rPr>
        <w:t xml:space="preserve">Although the gold SPEs used displayed a good performance, cost was a factor that was taken into account as the aim was to develop a low-cost sensor. Hence subsequent </w:t>
      </w:r>
      <w:r w:rsidR="00D44626" w:rsidRPr="00C55295">
        <w:rPr>
          <w:rFonts w:ascii="Palatino Linotype" w:hAnsi="Palatino Linotype" w:cs="Times New Roman"/>
          <w:sz w:val="24"/>
          <w:szCs w:val="24"/>
        </w:rPr>
        <w:t>work employed the use carbon as the main electrode material.</w:t>
      </w:r>
    </w:p>
    <w:p w14:paraId="1BAF61C2" w14:textId="77777777" w:rsidR="0001268D" w:rsidRPr="005B1CCB" w:rsidRDefault="00D44626" w:rsidP="007B7778">
      <w:pPr>
        <w:autoSpaceDE w:val="0"/>
        <w:autoSpaceDN w:val="0"/>
        <w:spacing w:line="360" w:lineRule="auto"/>
        <w:jc w:val="both"/>
        <w:rPr>
          <w:rFonts w:ascii="Palatino Linotype" w:eastAsia="Times New Roman" w:hAnsi="Palatino Linotype" w:cs="Times New Roman"/>
          <w:sz w:val="24"/>
          <w:szCs w:val="24"/>
          <w:lang w:val="en-US"/>
        </w:rPr>
        <w:sectPr w:rsidR="0001268D" w:rsidRPr="005B1CCB" w:rsidSect="00F148D7">
          <w:footerReference w:type="default" r:id="rId40"/>
          <w:pgSz w:w="11906" w:h="16838" w:code="9"/>
          <w:pgMar w:top="1134" w:right="1134" w:bottom="1701" w:left="2268" w:header="431" w:footer="431" w:gutter="0"/>
          <w:pgNumType w:start="0"/>
          <w:cols w:space="720"/>
          <w:titlePg/>
          <w:docGrid w:linePitch="299"/>
        </w:sectPr>
      </w:pPr>
      <w:r w:rsidRPr="005B1CCB">
        <w:rPr>
          <w:rFonts w:ascii="Palatino Linotype" w:hAnsi="Palatino Linotype" w:cs="Times New Roman"/>
          <w:sz w:val="24"/>
          <w:szCs w:val="24"/>
        </w:rPr>
        <w:t xml:space="preserve">     </w:t>
      </w:r>
      <w:r w:rsidR="008D73FE" w:rsidRPr="005B1CCB">
        <w:rPr>
          <w:rFonts w:ascii="Palatino Linotype" w:hAnsi="Palatino Linotype" w:cs="Times New Roman"/>
          <w:sz w:val="24"/>
          <w:szCs w:val="24"/>
        </w:rPr>
        <w:t>Having established the basis of an electrochemical biosensor for T</w:t>
      </w:r>
      <w:r w:rsidR="00DD3AB9" w:rsidRPr="005B1CCB">
        <w:rPr>
          <w:rFonts w:ascii="Palatino Linotype" w:hAnsi="Palatino Linotype" w:cs="Times New Roman"/>
          <w:sz w:val="24"/>
          <w:szCs w:val="24"/>
        </w:rPr>
        <w:t>p</w:t>
      </w:r>
      <w:r w:rsidR="008D73FE" w:rsidRPr="005B1CCB">
        <w:rPr>
          <w:rFonts w:ascii="Palatino Linotype" w:hAnsi="Palatino Linotype" w:cs="Times New Roman"/>
          <w:sz w:val="24"/>
          <w:szCs w:val="24"/>
        </w:rPr>
        <w:t xml:space="preserve">53 mutations, in the chapters that follow, a series of improvements and optimisations will be presented which include: use of an amplification step to increase the concentration of target DNA, </w:t>
      </w:r>
      <w:r w:rsidR="008D73FE" w:rsidRPr="00C55295">
        <w:rPr>
          <w:rFonts w:ascii="Palatino Linotype" w:hAnsi="Palatino Linotype" w:cs="Times New Roman"/>
          <w:sz w:val="24"/>
          <w:szCs w:val="24"/>
        </w:rPr>
        <w:t>the use of carbon electrodes to reduce biological fouling and the introduction of a covalently linked DNA film through NHS/EDC modification as opposed to the semi-covalent Au-thiol approach shown in this chapter.</w:t>
      </w:r>
      <w:r w:rsidR="008D73FE" w:rsidRPr="005B1CCB">
        <w:rPr>
          <w:rFonts w:ascii="Palatino Linotype" w:hAnsi="Palatino Linotype" w:cs="Times New Roman"/>
          <w:sz w:val="24"/>
          <w:szCs w:val="24"/>
        </w:rPr>
        <w:t xml:space="preserve"> </w:t>
      </w:r>
      <w:r w:rsidR="00797608" w:rsidRPr="005B1CCB">
        <w:rPr>
          <w:rFonts w:ascii="Palatino Linotype" w:hAnsi="Palatino Linotype" w:cs="Times New Roman"/>
          <w:sz w:val="24"/>
          <w:szCs w:val="24"/>
        </w:rPr>
        <w:t xml:space="preserve"> </w:t>
      </w:r>
    </w:p>
    <w:p w14:paraId="32461157" w14:textId="1CF4EB0C" w:rsidR="00AA6DF9" w:rsidRPr="005B1CCB" w:rsidRDefault="008C5D7E" w:rsidP="00C8492D">
      <w:pPr>
        <w:pStyle w:val="Heading1"/>
        <w:jc w:val="center"/>
      </w:pPr>
      <w:bookmarkStart w:id="123" w:name="_Toc84528099"/>
      <w:r w:rsidRPr="008C5D7E">
        <w:t xml:space="preserve">– DEVELOPING A ctDNA ASSAY USING </w:t>
      </w:r>
      <w:r>
        <w:t xml:space="preserve">A </w:t>
      </w:r>
      <w:r w:rsidRPr="008C5D7E">
        <w:t xml:space="preserve">COMMON AND ESTABLISHED CANCER MUTATION </w:t>
      </w:r>
      <w:r>
        <w:t xml:space="preserve">- </w:t>
      </w:r>
      <w:r w:rsidR="00EA396F" w:rsidRPr="005B1CCB">
        <w:t>KRAS G12D</w:t>
      </w:r>
      <w:bookmarkEnd w:id="123"/>
    </w:p>
    <w:p w14:paraId="4514037B" w14:textId="77777777" w:rsidR="00DE712F" w:rsidRPr="005B1CCB" w:rsidRDefault="00C1796A" w:rsidP="00BF381B">
      <w:pPr>
        <w:pStyle w:val="Heading2"/>
      </w:pPr>
      <w:bookmarkStart w:id="124" w:name="_Toc84528100"/>
      <w:r w:rsidRPr="005B1CCB">
        <w:t>Introduction</w:t>
      </w:r>
      <w:bookmarkEnd w:id="124"/>
    </w:p>
    <w:p w14:paraId="2BD66D76" w14:textId="53C69CF5" w:rsidR="00D7474E" w:rsidRPr="005B1CCB" w:rsidRDefault="00107A20"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D7474E" w:rsidRPr="005B1CCB">
        <w:rPr>
          <w:rFonts w:ascii="Palatino Linotype" w:hAnsi="Palatino Linotype" w:cs="Times New Roman"/>
          <w:sz w:val="24"/>
          <w:szCs w:val="24"/>
        </w:rPr>
        <w:t xml:space="preserve">V-Ki-ras Kirsten rat sarcoma </w:t>
      </w:r>
      <w:r w:rsidR="00D7474E" w:rsidRPr="00C55295">
        <w:rPr>
          <w:rFonts w:ascii="Palatino Linotype" w:hAnsi="Palatino Linotype" w:cs="Times New Roman"/>
          <w:sz w:val="24"/>
          <w:szCs w:val="24"/>
        </w:rPr>
        <w:t>(KRAS) is a member of the RAS family of proteins which are a part of at least six signalling pathways in a healthy human</w:t>
      </w:r>
      <w:r w:rsidR="00107992" w:rsidRPr="00C55295">
        <w:rPr>
          <w:rFonts w:ascii="Palatino Linotype" w:hAnsi="Palatino Linotype" w:cs="Times New Roman"/>
          <w:sz w:val="24"/>
          <w:szCs w:val="24"/>
        </w:rPr>
        <w:t xml:space="preserve"> cell</w:t>
      </w:r>
      <w:r w:rsidR="00D7474E" w:rsidRPr="005B1CCB">
        <w:rPr>
          <w:rFonts w:ascii="Palatino Linotype" w:hAnsi="Palatino Linotype" w:cs="Times New Roman"/>
          <w:sz w:val="24"/>
          <w:szCs w:val="24"/>
        </w:rPr>
        <w:t xml:space="preserve">. </w:t>
      </w:r>
      <w:r w:rsidR="00AC53CC" w:rsidRPr="005B1CCB">
        <w:rPr>
          <w:rFonts w:ascii="Palatino Linotype" w:hAnsi="Palatino Linotype" w:cs="Times New Roman"/>
          <w:sz w:val="24"/>
          <w:szCs w:val="24"/>
        </w:rPr>
        <w:t xml:space="preserve">This gene, a Kirsten ras oncogene homolog from the mammalian ras gene family, encodes a protein </w:t>
      </w:r>
      <w:r w:rsidR="00F16F8D" w:rsidRPr="00C55295">
        <w:rPr>
          <w:rFonts w:ascii="Palatino Linotype" w:hAnsi="Palatino Linotype" w:cs="Times New Roman"/>
          <w:sz w:val="24"/>
          <w:szCs w:val="24"/>
        </w:rPr>
        <w:t>(K</w:t>
      </w:r>
      <w:r w:rsidR="00C7339E" w:rsidRPr="00C55295">
        <w:rPr>
          <w:rFonts w:ascii="Palatino Linotype" w:hAnsi="Palatino Linotype" w:cs="Times New Roman"/>
          <w:sz w:val="24"/>
          <w:szCs w:val="24"/>
        </w:rPr>
        <w:t>RAS</w:t>
      </w:r>
      <w:r w:rsidR="00F16F8D" w:rsidRPr="00C55295">
        <w:rPr>
          <w:rFonts w:ascii="Palatino Linotype" w:hAnsi="Palatino Linotype" w:cs="Times New Roman"/>
          <w:sz w:val="24"/>
          <w:szCs w:val="24"/>
        </w:rPr>
        <w:t xml:space="preserve">) </w:t>
      </w:r>
      <w:r w:rsidR="00AC53CC" w:rsidRPr="00C55295">
        <w:rPr>
          <w:rFonts w:ascii="Palatino Linotype" w:hAnsi="Palatino Linotype" w:cs="Times New Roman"/>
          <w:sz w:val="24"/>
          <w:szCs w:val="24"/>
        </w:rPr>
        <w:t>that is a member of the small GTPase superfamily</w:t>
      </w:r>
      <w:r w:rsidR="00F16F8D" w:rsidRPr="005B1CCB">
        <w:rPr>
          <w:rFonts w:ascii="Palatino Linotype" w:hAnsi="Palatino Linotype" w:cs="Times New Roman"/>
          <w:sz w:val="24"/>
          <w:szCs w:val="24"/>
        </w:rPr>
        <w:t xml:space="preserve">. </w:t>
      </w:r>
      <w:r w:rsidR="00F16F8D" w:rsidRPr="00C55295">
        <w:rPr>
          <w:rFonts w:ascii="Palatino Linotype" w:hAnsi="Palatino Linotype" w:cs="Times New Roman"/>
          <w:sz w:val="24"/>
          <w:szCs w:val="24"/>
        </w:rPr>
        <w:t>K</w:t>
      </w:r>
      <w:r w:rsidR="00C7339E" w:rsidRPr="00C55295">
        <w:rPr>
          <w:rFonts w:ascii="Palatino Linotype" w:hAnsi="Palatino Linotype" w:cs="Times New Roman"/>
          <w:sz w:val="24"/>
          <w:szCs w:val="24"/>
        </w:rPr>
        <w:t>RAS</w:t>
      </w:r>
      <w:r w:rsidR="00F16F8D" w:rsidRPr="00C55295">
        <w:rPr>
          <w:rFonts w:ascii="Palatino Linotype" w:hAnsi="Palatino Linotype" w:cs="Times New Roman"/>
          <w:sz w:val="24"/>
          <w:szCs w:val="24"/>
        </w:rPr>
        <w:t xml:space="preserve"> protein relays signals instructing a cell to grow, divide or differentiate from outside the cell to the cell’s nucleus. K</w:t>
      </w:r>
      <w:r w:rsidR="00C7339E" w:rsidRPr="00C55295">
        <w:rPr>
          <w:rFonts w:ascii="Palatino Linotype" w:hAnsi="Palatino Linotype" w:cs="Times New Roman"/>
          <w:sz w:val="24"/>
          <w:szCs w:val="24"/>
        </w:rPr>
        <w:t>RAS</w:t>
      </w:r>
      <w:r w:rsidR="00F16F8D" w:rsidRPr="00C55295">
        <w:rPr>
          <w:rFonts w:ascii="Palatino Linotype" w:hAnsi="Palatino Linotype" w:cs="Times New Roman"/>
          <w:sz w:val="24"/>
          <w:szCs w:val="24"/>
        </w:rPr>
        <w:t xml:space="preserve"> protein also acts like a switch by converting </w:t>
      </w:r>
      <w:r w:rsidR="00422AE5" w:rsidRPr="00C55295">
        <w:rPr>
          <w:rFonts w:ascii="Palatino Linotype" w:hAnsi="Palatino Linotype" w:cs="Times New Roman"/>
          <w:sz w:val="24"/>
          <w:szCs w:val="24"/>
        </w:rPr>
        <w:t xml:space="preserve">signal transduction molecules: </w:t>
      </w:r>
      <w:r w:rsidR="00F16F8D" w:rsidRPr="00C55295">
        <w:rPr>
          <w:rFonts w:ascii="Palatino Linotype" w:hAnsi="Palatino Linotype" w:cs="Times New Roman"/>
          <w:sz w:val="24"/>
          <w:szCs w:val="24"/>
        </w:rPr>
        <w:t>guanosine triphosphate (GTP) into guanosine diphosphate</w:t>
      </w:r>
      <w:r w:rsidR="00F16F8D" w:rsidRPr="005B1CCB">
        <w:rPr>
          <w:rFonts w:ascii="Palatino Linotype" w:hAnsi="Palatino Linotype" w:cs="Times New Roman"/>
          <w:sz w:val="24"/>
          <w:szCs w:val="24"/>
        </w:rPr>
        <w:t xml:space="preserve"> (GDP) </w:t>
      </w:r>
      <w:r w:rsidR="00C7339E"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{"citationItems":[{"id":"ITEM-1","itemData":{"DOI":"https://doi.org/10.1016/j.csbj.2019.12.004","ISSN":"2001-0370","abstract":"One of the most common drivers in human cancer is the mutant KRAS protein. Not so long ago KRAS was considered as an undruggable oncoprotein. After a long struggle, however, we finally see some light at the end of the tunnel as promising KRAS targeted therapies are in or approaching clinical trials. In recent years, together with the promising progress in RAS drug discovery, our understanding of KRAS has increased tremendously. This progress has been accompanied with a resurgence of publicly available KRAS structures, which were limited to nine structures less than ten years ago. Furthermore, the ever-increasing computational capacity has made biologically relevant timescales accessible, enabling molecular dynamics (MD) simulations to study the dynamics of KRAS protein in more detail at the atomistic level. In this minireview, my aim is to provide the reader an overview of the publicly available KRAS structural data, insights to conformational dynamics revealed by experiments and what we have learned from MD simulations. Also, I will discuss limitations of the current data and provide suggestions for future research related to KRAS, which would fill out the existing gaps in our knowledge and provide guidance in deciphering this enigmatic oncoprotein.","author":[{"dropping-particle":"","family":"Pantsar","given":"Tatu","non-dropping-particle":"","parse-names":false,"suffix":""}],"container-title":"Computational and Structural Biotechnology Journal","id":"ITEM-1","issued":{"date-parts":[["2020"]]},"page":"189-198","title":"The current understanding of KRAS protein structure and dynamics","type":"article-journal","volume":"18"},"uris":["http://www.mendeley.com/documents/?uuid=bae14c50-4dd9-46b4-9a16-e7bbb14fd8c4"]}],"mendeley":{"formattedCitation":"[225]","plainTextFormattedCitation":"[225]","previouslyFormattedCitation":"[225]"},"properties":{"noteIndex":0},"schema":"https://github.com/citation-style-language/schema/raw/master/csl-citation.json"}</w:instrText>
      </w:r>
      <w:r w:rsidR="00C7339E"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[225]</w:t>
      </w:r>
      <w:r w:rsidR="00C7339E" w:rsidRPr="005B1CCB">
        <w:rPr>
          <w:rFonts w:ascii="Palatino Linotype" w:hAnsi="Palatino Linotype" w:cs="Times New Roman"/>
          <w:sz w:val="24"/>
          <w:szCs w:val="24"/>
        </w:rPr>
        <w:fldChar w:fldCharType="end"/>
      </w:r>
      <w:r w:rsidR="00C7339E" w:rsidRPr="005B1CCB">
        <w:rPr>
          <w:rFonts w:ascii="Palatino Linotype" w:hAnsi="Palatino Linotype" w:cs="Times New Roman"/>
          <w:sz w:val="24"/>
          <w:szCs w:val="24"/>
        </w:rPr>
        <w:t xml:space="preserve"> </w:t>
      </w:r>
      <w:r w:rsidR="00C7339E"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{"citationItems":[{"id":"ITEM-1","itemData":{"DOI":"10.1016/j.cell.2017.06.009","ISSN":"1097-4172","abstract":"RAS proteins are binary switches, cycling between ON and OFF states during signal transduction. These switches are normally tightly controlled, but in RAS-related diseases, such as cancer, RASopathies, and many psychiatric disorders, mutations in the RAS genes or their regulators render RAS proteins persistently active. The structural basis of the switch and many of the pathways that RAS controls are well known, but the precise mechanisms by which RAS proteins function are less clear. All RAS biology occurs in membranes: a precise understanding of RAS' interaction with membranes is essential to understand RAS action and to intervene in RAS-driven diseases.","author":[{"dropping-particle":"","family":"Simanshu","given":"Dhirendra K","non-dropping-particle":"","parse-names":false,"suffix":""},{"dropping-particle":"V","family":"Nissley","given":"Dwight","non-dropping-particle":"","parse-names":false,"suffix":""},{"dropping-particle":"","family":"McCormick","given":"Frank","non-dropping-particle":"","parse-names":false,"suffix":""}],"container-title":"Cell","id":"ITEM-1","issue":"1","issued":{"date-parts":[["2017","6","29"]]},"language":"eng","page":"17-33","title":"RAS Proteins and Their Regulators in Human Disease","type":"article-journal","volume":"170"},"uris":["http://www.mendeley.com/documents/?uuid=477268cc-278f-40dd-8aa3-daaaccb2c478"]}],"mendeley":{"formattedCitation":"[226]","plainTextFormattedCitation":"[226]","previouslyFormattedCitation":"[226]"},"properties":{"noteIndex":0},"schema":"https://github.com/citation-style-language/schema/raw/master/csl-citation.json"}</w:instrText>
      </w:r>
      <w:r w:rsidR="00C7339E"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[226]</w:t>
      </w:r>
      <w:r w:rsidR="00C7339E" w:rsidRPr="005B1CCB">
        <w:rPr>
          <w:rFonts w:ascii="Palatino Linotype" w:hAnsi="Palatino Linotype" w:cs="Times New Roman"/>
          <w:sz w:val="24"/>
          <w:szCs w:val="24"/>
        </w:rPr>
        <w:fldChar w:fldCharType="end"/>
      </w:r>
      <w:r w:rsidR="00AC53CC" w:rsidRPr="005B1CCB">
        <w:rPr>
          <w:rFonts w:ascii="Palatino Linotype" w:hAnsi="Palatino Linotype" w:cs="Times New Roman"/>
          <w:sz w:val="24"/>
          <w:szCs w:val="24"/>
        </w:rPr>
        <w:t>. A single amino acid substitution is responsible for an activating mutation</w:t>
      </w:r>
      <w:r w:rsidR="009E1BD5" w:rsidRPr="005B1CCB">
        <w:rPr>
          <w:rFonts w:ascii="Palatino Linotype" w:hAnsi="Palatino Linotype" w:cs="Times New Roman"/>
          <w:sz w:val="24"/>
          <w:szCs w:val="24"/>
        </w:rPr>
        <w:t xml:space="preserve"> which occurs </w:t>
      </w:r>
      <w:r w:rsidR="009E1BD5" w:rsidRPr="00C55295">
        <w:rPr>
          <w:rFonts w:ascii="Palatino Linotype" w:hAnsi="Palatino Linotype" w:cs="Times New Roman"/>
          <w:sz w:val="24"/>
          <w:szCs w:val="24"/>
        </w:rPr>
        <w:t>at position 35 on chromosome 12 changing glycine to asparti</w:t>
      </w:r>
      <w:r w:rsidR="002A39F1" w:rsidRPr="00C55295">
        <w:rPr>
          <w:rFonts w:ascii="Palatino Linotype" w:hAnsi="Palatino Linotype" w:cs="Times New Roman"/>
          <w:sz w:val="24"/>
          <w:szCs w:val="24"/>
        </w:rPr>
        <w:t>c acid in the protein structure</w:t>
      </w:r>
      <w:r w:rsidR="009E1BD5" w:rsidRPr="00C55295">
        <w:rPr>
          <w:rFonts w:ascii="Palatino Linotype" w:hAnsi="Palatino Linotype" w:cs="Times New Roman"/>
          <w:sz w:val="24"/>
          <w:szCs w:val="24"/>
        </w:rPr>
        <w:t xml:space="preserve">.  </w:t>
      </w:r>
      <w:r w:rsidR="00D7474E" w:rsidRPr="00C55295">
        <w:rPr>
          <w:rFonts w:ascii="Palatino Linotype" w:hAnsi="Palatino Linotype" w:cs="Times New Roman"/>
          <w:sz w:val="24"/>
          <w:szCs w:val="24"/>
        </w:rPr>
        <w:t>KRAS is the most frequently mutated protein in human tumours with KRAS G12D being a specific variant</w:t>
      </w:r>
      <w:r w:rsidR="00D7474E" w:rsidRPr="005B1CCB">
        <w:rPr>
          <w:rFonts w:ascii="Palatino Linotype" w:hAnsi="Palatino Linotype" w:cs="Times New Roman"/>
          <w:sz w:val="24"/>
          <w:szCs w:val="24"/>
        </w:rPr>
        <w:t xml:space="preserve"> </w:t>
      </w:r>
      <w:r w:rsidR="00AC53CC" w:rsidRPr="005B1CCB">
        <w:rPr>
          <w:rFonts w:ascii="Palatino Linotype" w:hAnsi="Palatino Linotype" w:cs="Times New Roman"/>
          <w:sz w:val="24"/>
          <w:szCs w:val="24"/>
        </w:rPr>
        <w:t xml:space="preserve">and </w:t>
      </w:r>
      <w:r w:rsidR="00AC53CC" w:rsidRPr="00C55295">
        <w:rPr>
          <w:rFonts w:ascii="Palatino Linotype" w:hAnsi="Palatino Linotype" w:cs="Times New Roman"/>
          <w:sz w:val="24"/>
          <w:szCs w:val="24"/>
        </w:rPr>
        <w:t>the transforming protein that results is implicated in various malignancies, including lung adenocarcinoma, mucinous adenoma, ductal carcinoma of the pancreas and colorectal carcinoma</w:t>
      </w:r>
      <w:r w:rsidR="00AC53CC" w:rsidRPr="005B1CCB">
        <w:rPr>
          <w:rFonts w:ascii="Palatino Linotype" w:hAnsi="Palatino Linotype" w:cs="Times New Roman"/>
          <w:sz w:val="24"/>
          <w:szCs w:val="24"/>
        </w:rPr>
        <w:t xml:space="preserve"> </w:t>
      </w:r>
      <w:r w:rsidR="00AC53CC"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10.1158/2159-8290.CD-17-0151.AACR","author":[{"dropping-particle":"","family":"Consortium","given":"International","non-dropping-particle":"","parse-names":false,"suffix":""}],"id":"ITEM-1","issue":"8","issued":{"date-parts":[["2018"]]},"page":"818-831","title":"HHS Public Access","type":"article-journal","volume":"7"},"uris":["http://www.mendeley.com/documents/?uuid=8bf7fbf8-d001-4f35-be6c-82dc30ec4932"]}],"mendeley":{"formattedCitation":"[227]","plainTextFormattedCitation":"[227]","previouslyFormattedCitation":"[227]"},"properties":{"noteIndex":0},"schema":"https://github.com/citation-style-language/schema/raw/master/csl-citation.json"}</w:instrText>
      </w:r>
      <w:r w:rsidR="00AC53CC"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[227]</w:t>
      </w:r>
      <w:r w:rsidR="00AC53CC" w:rsidRPr="005B1CCB">
        <w:rPr>
          <w:rFonts w:ascii="Palatino Linotype" w:hAnsi="Palatino Linotype" w:cs="Times New Roman"/>
          <w:sz w:val="24"/>
          <w:szCs w:val="24"/>
        </w:rPr>
        <w:fldChar w:fldCharType="end"/>
      </w:r>
      <w:r w:rsidR="00AC53CC" w:rsidRPr="005B1CCB">
        <w:rPr>
          <w:rFonts w:ascii="Palatino Linotype" w:hAnsi="Palatino Linotype" w:cs="Times New Roman"/>
          <w:sz w:val="24"/>
          <w:szCs w:val="24"/>
        </w:rPr>
        <w:t xml:space="preserve">. </w:t>
      </w:r>
      <w:r w:rsidR="00D7474E" w:rsidRPr="005B1CCB">
        <w:rPr>
          <w:rFonts w:ascii="Palatino Linotype" w:hAnsi="Palatino Linotype" w:cs="Times New Roman"/>
          <w:sz w:val="24"/>
          <w:szCs w:val="24"/>
        </w:rPr>
        <w:t xml:space="preserve">KRAS activated </w:t>
      </w:r>
      <w:r w:rsidR="00D7474E" w:rsidRPr="00C55295">
        <w:rPr>
          <w:rFonts w:ascii="Palatino Linotype" w:hAnsi="Palatino Linotype" w:cs="Times New Roman"/>
          <w:sz w:val="24"/>
          <w:szCs w:val="24"/>
        </w:rPr>
        <w:t>mutations drive cancer initiation, progression and drug resistance</w:t>
      </w:r>
      <w:r w:rsidR="00D7474E" w:rsidRPr="005B1CCB">
        <w:rPr>
          <w:rFonts w:ascii="Palatino Linotype" w:hAnsi="Palatino Linotype" w:cs="Times New Roman"/>
          <w:sz w:val="24"/>
          <w:szCs w:val="24"/>
        </w:rPr>
        <w:t xml:space="preserve">, directly leading to nearly a million deaths per year. </w:t>
      </w:r>
      <w:r w:rsidR="00D7474E" w:rsidRPr="00C55295">
        <w:rPr>
          <w:rFonts w:ascii="Palatino Linotype" w:hAnsi="Palatino Linotype" w:cs="Times New Roman"/>
          <w:sz w:val="24"/>
          <w:szCs w:val="24"/>
        </w:rPr>
        <w:t xml:space="preserve">KRAS mutations take place in approximately 90% of pancreatic cancers </w:t>
      </w:r>
      <w:r w:rsidR="00D7474E" w:rsidRPr="00C55295">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{"citationItems":[{"id":"ITEM-1","itemData":{"DOI":"10.1038/s41598-017-04601-z","ISSN":"2045-2322","PMID":"28674438","abstract":"Pancreatic ductal adenocarcinoma (PDAC) is a devastating disease. Circulating tumor cells (CTC) in the blood are hypothesized as the means of systemic tumor spread. Blood obtained from healthy donors and patients with PDAC was therefore subject to size-based CTC-isolation (ISET). We additionally compared Kirsten rat sarcoma viral oncogene homolog (KRAS) mutations in pancreatic CTC and corresponding tumors, and evaluated their significance as prognostic markers. Samples from 68 individuals (58 PDAC patients, 10 healthy donors) were analyzed; CTCs were present in patients with UICC stage IA-IV tumors and none of the controls (p &lt; 0.001). Patients with &gt;3 CTC/ml had a trend for worse median overall survival (OS) than patients with 0.3-3 CTC/ml (P = 0.12). Surprisingly, CTCs harbored various KRAS mutations in codon 12 and 13. Patients with a KRAS (G12V) mutation in their CTC (n = 14) had a trend to better median OS (24.5 months) compared to patients with other (10 months), or no detectable KRAS mutations (8 months; P = 0.04). KRAS mutations in CTC and corresponding tumor were discordant in 11 of 26 \"tumor-CTC-pairs\" (42%), while 15 (58%) had a matching mutation; survival was similar in both groups (P = 0.36). Genetic characterization, including mutations such as KRAS, may prove useful for prognosis and understanding of tumor biology.","author":[{"dropping-particle":"","family":"Kulemann","given":"Birte","non-dropping-particle":"","parse-names":false,"suffix":""},{"dropping-particle":"","family":"Rösch","given":"Stephanie","non-dropping-particle":"","parse-names":false,"suffix":""},{"dropping-particle":"","family":"Seifert","given":"Sindy","non-dropping-particle":"","parse-names":false,"suffix":""},{"dropping-particle":"","family":"Timme","given":"Sylvia","non-dropping-particle":"","parse-names":false,"suffix":""},{"dropping-particle":"","family":"Bronsert","given":"Peter","non-dropping-particle":"","parse-names":false,"suffix":""},{"dropping-particle":"","family":"Seifert","given":"Gabriel","non-dropping-particle":"","parse-names":false,"suffix":""},{"dropping-particle":"","family":"Martini","given":"Verena","non-dropping-particle":"","parse-names":false,"suffix":""},{"dropping-particle":"","family":"Kuvendjiska","given":"Jasmina","non-dropping-particle":"","parse-names":false,"suffix":""},{"dropping-particle":"","family":"Glatz","given":"Torben","non-dropping-particle":"","parse-names":false,"suffix":""},{"dropping-particle":"","family":"Hussung","given":"Saskia","non-dropping-particle":"","parse-names":false,"suffix":""},{"dropping-particle":"","family":"Fritsch","given":"Ralph","non-dropping-particle":"","parse-names":false,"suffix":""},{"dropping-particle":"","family":"Becker","given":"Heiko","non-dropping-particle":"","parse-names":false,"suffix":""},{"dropping-particle":"","family":"Pitman","given":"Martha B.","non-dropping-particle":"","parse-names":false,"suffix":""},{"dropping-particle":"","family":"Hoeppner","given":"Jens","non-dropping-particle":"","parse-names":false,"suffix":""}],"container-title":"Scientific Reports","id":"ITEM-1","issue":"1","issued":{"date-parts":[["2017"]]},"page":"4510","title":"Pancreatic cancer: Circulating Tumor Cells and Primary Tumors show Heterogeneous KRAS Mutations","type":"article-journal","volume":"7"},"uris":["http://www.mendeley.com/documents/?uuid=fc68009a-f573-462f-a228-33d2c3f5951e"]}],"mendeley":{"formattedCitation":"[228]","plainTextFormattedCitation":"[228]","previouslyFormattedCitation":"[228]"},"properties":{"noteIndex":0},"schema":"https://github.com/citation-style-language/schema/raw/master/csl-citation.json"}</w:instrText>
      </w:r>
      <w:r w:rsidR="00D7474E" w:rsidRPr="00C55295">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[228]</w:t>
      </w:r>
      <w:r w:rsidR="00D7474E" w:rsidRPr="00C55295">
        <w:rPr>
          <w:rFonts w:ascii="Palatino Linotype" w:hAnsi="Palatino Linotype" w:cs="Times New Roman"/>
          <w:sz w:val="24"/>
          <w:szCs w:val="24"/>
        </w:rPr>
        <w:fldChar w:fldCharType="end"/>
      </w:r>
      <w:r w:rsidR="00D7474E" w:rsidRPr="00C55295">
        <w:rPr>
          <w:rFonts w:ascii="Palatino Linotype" w:hAnsi="Palatino Linotype" w:cs="Times New Roman"/>
          <w:sz w:val="24"/>
          <w:szCs w:val="24"/>
        </w:rPr>
        <w:t xml:space="preserve">, 30% of lung cancers </w:t>
      </w:r>
      <w:r w:rsidR="00D7474E" w:rsidRPr="00C55295">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{"citationItems":[{"id":"ITEM-1","itemData":{"DOI":"10.1177/1947601912460547","ISSN":"1947-6019","abstract":"Activating point mutations in codons 12, 13, and 61 of the KRAS proto-oncogene are common in colorectal, non–small cell lung, pancreatic, and thyroid cancers. Constitutively activated KRAS mutations are strongly associated with a resistance to anti–epidermal growth factor receptor (EGFR) therapies, such as panitumumab and cetuximab used for treating metastatic colorectal carcinoma and EGFR tyrosine inhibitors used for advanced non–small cell lung cancers. Since anti-EGFR therapies are costly and may exert deleterious effects on individuals without activating mutations, KRAS mutation testing is recommended prior to the initiation of anti-EGFR therapy for these malignancies. The goal of this review is to summarize the KRAS mutation testing methods. Testing is now routinely requested in the clinical practice to provide data to assign the most appropriate anticancer chemotherapy for each given patient. Review of the most relevant literature was performed. Several areas were considered: ordering of the test, selection of the sample to be tested, and review of the testing methodologies. We found that several different methods are used for clinical KRAS mutation testing. Each of the methodologies is described, and information is provided about their performance, cost, turnaround times, detection limits, sensitivities, and specificities. We also provided “tips” for the appropriate selection and preparation of the sample to be tested. This is an important aspect of KRAS testing for clinical use, as the results of the test will affect clinical decisions with consequences for the patient. ","author":[{"dropping-particle":"","family":"Shackelford","given":"Rodney E","non-dropping-particle":"","parse-names":false,"suffix":""},{"dropping-particle":"","family":"Whitling","given":"Nicholas A","non-dropping-particle":"","parse-names":false,"suffix":""},{"dropping-particle":"","family":"McNab","given":"Patricia","non-dropping-particle":"","parse-names":false,"suffix":""},{"dropping-particle":"","family":"Japa","given":"Shanker","non-dropping-particle":"","parse-names":false,"suffix":""},{"dropping-particle":"","family":"Coppola","given":"Domenico","non-dropping-particle":"","parse-names":false,"suffix":""}],"container-title":"Genes &amp; Cancer","id":"ITEM-1","issue":"7-8","issued":{"date-parts":[["2012","7","24"]]},"page":"459-466","publisher":"SAGE Publications","publisher-place":"Sage CA: Los Angeles, CA","title":"KRAS Testing: A Tool for the Implementation of Personalized Medicine","type":"article-journal","volume":"3"},"uris":["http://www.mendeley.com/documents/?uuid=502afd9c-a259-4032-a5c9-f84dd1bd5418"]}],"mendeley":{"formattedCitation":"[229]","plainTextFormattedCitation":"[229]","previouslyFormattedCitation":"[229]"},"properties":{"noteIndex":0},"schema":"https://github.com/citation-style-language/schema/raw/master/csl-citation.json"}</w:instrText>
      </w:r>
      <w:r w:rsidR="00D7474E" w:rsidRPr="00C55295">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[229]</w:t>
      </w:r>
      <w:r w:rsidR="00D7474E" w:rsidRPr="00C55295">
        <w:rPr>
          <w:rFonts w:ascii="Palatino Linotype" w:hAnsi="Palatino Linotype" w:cs="Times New Roman"/>
          <w:sz w:val="24"/>
          <w:szCs w:val="24"/>
        </w:rPr>
        <w:fldChar w:fldCharType="end"/>
      </w:r>
      <w:r w:rsidR="00D7474E" w:rsidRPr="00C55295">
        <w:rPr>
          <w:rFonts w:ascii="Palatino Linotype" w:hAnsi="Palatino Linotype" w:cs="Times New Roman"/>
          <w:sz w:val="24"/>
          <w:szCs w:val="24"/>
        </w:rPr>
        <w:t>, 60% of thyroid cancers and 43% of colorectal cancers</w:t>
      </w:r>
      <w:r w:rsidR="00D7474E" w:rsidRPr="005B1CCB">
        <w:rPr>
          <w:rFonts w:ascii="Palatino Linotype" w:hAnsi="Palatino Linotype" w:cs="Times New Roman"/>
          <w:sz w:val="24"/>
          <w:szCs w:val="24"/>
        </w:rPr>
        <w:t xml:space="preserve"> </w:t>
      </w:r>
      <w:r w:rsidR="00D7474E"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{"citationItems":[{"id":"ITEM-1","itemData":{"DOI":"10.1126/scitranslmed.3007094","ISSN":"1946-6242","PMID":"24553385","abstract":"The development of noninvasive methods to detect and monitor tumors continues to be a major challenge in oncology. We used digital polymerase chain reaction-based technologies to evaluate the ability of circulating tumor DNA (ctDNA) to detect tumors in 640 patients with various cancer types. We found that ctDNA was detectable in &gt;75% of patients with advanced pancreatic, ovarian, colorectal, bladder, gastroesophageal, breast, melanoma, hepatocellular, and head and neck cancers, but in less than 50% of primary brain, renal, prostate, or thyroid cancers. In patients with localized tumors, ctDNA was detected in 73, 57, 48, and 50% of patients with colorectal cancer, gastroesophageal cancer, pancreatic cancer, and breast adenocarcinoma, respectively. ctDNA was often present in patients without detectable circulating tumor cells, suggesting that these two biomarkers are distinct entities. In a separate panel of 206 patients with metastatic colorectal cancers, we showed that the sensitivity of ctDNA for detection of clinically relevant KRAS gene mutations was 87.2% and its specificity was 99.2%. Finally, we assessed whether ctDNA could provide clues into the mechanisms underlying resistance to epidermal growth factor receptor blockade in 24 patients who objectively responded to therapy but subsequently relapsed. Twenty-three (96%) of these patients developed one or more mutations in genes involved in the mitogen-activated protein kinase pathway. Together, these data suggest that ctDNA is a broadly applicable, sensitive, and specific biomarker that can be used for a variety of clinical and research purposes in patients with multiple different types of cancer.","author":[{"dropping-particle":"","family":"Bettegowda","given":"Chetan","non-dropping-particle":"","parse-names":false,"suffix":""},{"dropping-particle":"","family":"Sausen","given":"Mark","non-dropping-particle":"","parse-names":false,"suffix":""},{"dropping-particle":"","family":"Leary","given":"Rebecca J","non-dropping-particle":"","parse-names":false,"suffix":""},{"dropping-particle":"","family":"Kinde","given":"Isaac","non-dropping-particle":"","parse-names":false,"suffix":""},{"dropping-particle":"","family":"Wang","given":"Yuxuan","non-dropping-particle":"","parse-names":false,"suffix":""},{"dropping-particle":"","family":"Agrawal","given":"Nishant","non-dropping-particle":"","parse-names":false,"suffix":""},{"dropping-particle":"","family":"Bartlett","given":"Bjarne R","non-dropping-particle":"","parse-names":false,"suffix":""},{"dropping-particle":"","family":"Wang","given":"Hao","non-dropping-particle":"","parse-names":false,"suffix":""},{"dropping-particle":"","family":"Luber","given":"Brandon","non-dropping-particle":"","parse-names":false,"suffix":""},{"dropping-particle":"","family":"Alani","given":"Rhoda M","non-dropping-particle":"","parse-names":false,"suffix":""},{"dropping-particle":"","family":"Antonarakis","given":"Emmanuel S","non-dropping-particle":"","parse-names":false,"suffix":""},{"dropping-particle":"","family":"Azad","given":"Nilofer S","non-dropping-particle":"","parse-names":false,"suffix":""},{"dropping-particle":"","family":"Bardelli","given":"Alberto","non-dropping-particle":"","parse-names":false,"suffix":""},{"dropping-particle":"","family":"Brem","given":"Henry","non-dropping-particle":"","parse-names":false,"suffix":""},{"dropping-particle":"","family":"Cameron","given":"John L","non-dropping-particle":"","parse-names":false,"suffix":""},{"dropping-particle":"","family":"Lee","given":"Clarence C","non-dropping-particle":"","parse-names":false,"suffix":""},{"dropping-particle":"","family":"Fecher","given":"Leslie A","non-dropping-particle":"","parse-names":false,"suffix":""},{"dropping-particle":"","family":"Gallia","given":"Gary L","non-dropping-particle":"","parse-names":false,"suffix":""},{"dropping-particle":"","family":"Gibbs","given":"Peter","non-dropping-particle":"","parse-names":false,"suffix":""},{"dropping-particle":"","family":"Le","given":"Dung","non-dropping-particle":"","parse-names":false,"suffix":""},{"dropping-particle":"","family":"Giuntoli","given":"Robert L","non-dropping-particle":"","parse-names":false,"suffix":""},{"dropping-particle":"","family":"Goggins","given":"Michael","non-dropping-particle":"","parse-names":false,"suffix":""},{"dropping-particle":"","family":"Hogarty","given":"Michael D","non-dropping-particle":"","parse-names":false,"suffix":""},{"dropping-particle":"","family":"Holdhoff","given":"Matthias","non-dropping-particle":"","parse-names":false,"suffix":""},{"dropping-particle":"","family":"Hong","given":"Seung-Mo","non-dropping-particle":"","parse-names":false,"suffix":""},{"dropping-particle":"","family":"Jiao","given":"Yuchen","non-dropping-particle":"","parse-names":false,"suffix":""},{"dropping-particle":"","family":"Juhl","given":"Hartmut H","non-dropping-particle":"","parse-names":false,"suffix":""},{"dropping-particle":"","family":"Kim","given":"Jenny J","non-dropping-particle":"","parse-names":false,"suffix":""},{"dropping-particle":"","family":"Siravegna","given":"Giulia","non-dropping-particle":"","parse-names":false,"suffix":""},{"dropping-particle":"","family":"Laheru","given":"Daniel A","non-dropping-particle":"","parse-names":false,"suffix":""},{"dropping-particle":"","family":"Lauricella","given":"Calogero","non-dropping-particle":"","parse-names":false,"suffix":""},{"dropping-particle":"","family":"Lim","given":"Michael","non-dropping-particle":"","parse-names":false,"suffix":""},{"dropping-particle":"","family":"Lipson","given":"Evan J","non-dropping-particle":"","parse-names":false,"suffix":""},{"dropping-particle":"","family":"Marie","given":"Suely Kazue Nagahashi","non-dropping-particle":"","parse-names":false,"suffix":""},{"dropping-particle":"","family":"Netto","given":"George J","non-dropping-particle":"","parse-names":false,"suffix":""},{"dropping-particle":"","family":"Oliner","given":"Kelly S","non-dropping-particle":"","parse-names":false,"suffix":""},{"dropping-particle":"","family":"Olivi","given":"Alessandro","non-dropping-particle":"","parse-names":false,"suffix":""},{"dropping-particle":"","family":"Olsson","given":"Louise","non-dropping-particle":"","parse-names":false,"suffix":""},{"dropping-particle":"","family":"Riggins","given":"Gregory J","non-dropping-particle":"","parse-names":false,"suffix":""},{"dropping-particle":"","family":"Sartore-Bianchi","given":"Andrea","non-dropping-particle":"","parse-names":false,"suffix":""},{"dropping-particle":"","family":"Schmidt","given":"Kerstin","non-dropping-particle":"","parse-names":false,"suffix":""},{"dropping-particle":"","family":"Shih","given":"le-Ming","non-dropping-particle":"","parse-names":false,"suffix":""},{"dropping-particle":"","family":"Oba-Shinjo","given":"Sueli Mieko","non-dropping-particle":"","parse-names":false,"suffix":""},{"dropping-particle":"","family":"Siena","given":"Salvatore","non-dropping-particle":"","parse-names":false,"suffix":""},{"dropping-particle":"","family":"Theodorescu","given":"Dan","non-dropping-particle":"","parse-names":false,"suffix":""},{"dropping-particle":"","family":"Tie","given":"Jeanne","non-dropping-particle":"","parse-names":false,"suffix":""},{"dropping-particle":"","family":"Harkins","given":"Timothy T","non-dropping-particle":"","parse-names":false,"suffix":""},{"dropping-particle":"","family":"Veronese","given":"Silvio","non-dropping-particle":"","parse-names":false,"suffix":""},{"dropping-particle":"","family":"Wang","given":"Tian-Li","non-dropping-particle":"","parse-names":false,"suffix":""},{"dropping-particle":"","family":"Weingart","given":"Jon D","non-dropping-particle":"","parse-names":false,"suffix":""},{"dropping-particle":"","family":"Wolfgang","given":"Christopher L","non-dropping-particle":"","parse-names":false,"suffix":""},{"dropping-particle":"","family":"Wood","given":"Laura D","non-dropping-particle":"","parse-names":false,"suffix":""},{"dropping-particle":"","family":"Xing","given":"Dongmei","non-dropping-particle":"","parse-names":false,"suffix":""},{"dropping-particle":"","family":"Hruban","given":"Ralph H","non-dropping-particle":"","parse-names":false,"suffix":""},{"dropping-particle":"","family":"Wu","given":"Jian","non-dropping-particle":"","parse-names":false,"suffix":""},{"dropping-particle":"","family":"Allen","given":"Peter J","non-dropping-particle":"","parse-names":false,"suffix":""},{"dropping-particle":"","family":"Schmidt","given":"C Max","non-dropping-particle":"","parse-names":false,"suffix":""},{"dropping-particle":"","family":"Choti","given":"Michael A","non-dropping-particle":"","parse-names":false,"suffix":""},{"dropping-particle":"","family":"Velculescu","given":"Victor E","non-dropping-particle":"","parse-names":false,"suffix":""},{"dropping-particle":"","family":"Kinzler","given":"Kenneth W","non-dropping-particle":"","parse-names":false,"suffix":""},{"dropping-particle":"","family":"Vogelstein","given":"Bert","non-dropping-particle":"","parse-names":false,"suffix":""},{"dropping-particle":"","family":"Papadopoulos","given":"Nickolas","non-dropping-particle":"","parse-names":false,"suffix":""},{"dropping-particle":"","family":"Diaz","given":"Luis A","non-dropping-particle":"","parse-names":false,"suffix":""},{"dropping-particle":"","family":"Jr.","given":"","non-dropping-particle":"","parse-names":false,"suffix":""}],"container-title":"Science translational medicine","id":"ITEM-1","issue":"224","issued":{"date-parts":[["2014","2","19"]]},"page":"224ra24","publisher":"NIH Public Access","title":"Detection of circulating tumor DNA in early- and late-stage human malignancies.","type":"article-journal","volume":"6"},"uris":["http://www.mendeley.com/documents/?uuid=e9b8c4aa-36cd-3586-a9a1-98f5d273d266"]}],"mendeley":{"formattedCitation":"[86]","plainTextFormattedCitation":"[86]","previouslyFormattedCitation":"[86]"},"properties":{"noteIndex":0},"schema":"https://github.com/citation-style-language/schema/raw/master/csl-citation.json"}</w:instrText>
      </w:r>
      <w:r w:rsidR="00D7474E"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[86]</w:t>
      </w:r>
      <w:r w:rsidR="00D7474E" w:rsidRPr="005B1CCB">
        <w:rPr>
          <w:rFonts w:ascii="Palatino Linotype" w:hAnsi="Palatino Linotype" w:cs="Times New Roman"/>
          <w:sz w:val="24"/>
          <w:szCs w:val="24"/>
        </w:rPr>
        <w:fldChar w:fldCharType="end"/>
      </w:r>
      <w:r w:rsidR="00CA557B" w:rsidRPr="005B1CCB">
        <w:rPr>
          <w:rFonts w:ascii="Palatino Linotype" w:hAnsi="Palatino Linotype" w:cs="Times New Roman"/>
          <w:sz w:val="24"/>
          <w:szCs w:val="24"/>
        </w:rPr>
        <w:t xml:space="preserve">. </w:t>
      </w:r>
      <w:r w:rsidR="007F3D30" w:rsidRPr="005B1CCB">
        <w:rPr>
          <w:rFonts w:ascii="Palatino Linotype" w:hAnsi="Palatino Linotype" w:cs="Times New Roman"/>
          <w:sz w:val="24"/>
          <w:szCs w:val="24"/>
        </w:rPr>
        <w:t xml:space="preserve">This </w:t>
      </w:r>
      <w:r w:rsidR="00C273B6" w:rsidRPr="005B1CCB">
        <w:rPr>
          <w:rFonts w:ascii="Palatino Linotype" w:hAnsi="Palatino Linotype" w:cs="Times New Roman"/>
          <w:sz w:val="24"/>
          <w:szCs w:val="24"/>
        </w:rPr>
        <w:t>chapter</w:t>
      </w:r>
      <w:r w:rsidR="007F3D30" w:rsidRPr="005B1CCB">
        <w:rPr>
          <w:rFonts w:ascii="Palatino Linotype" w:hAnsi="Palatino Linotype" w:cs="Times New Roman"/>
          <w:sz w:val="24"/>
          <w:szCs w:val="24"/>
        </w:rPr>
        <w:t xml:space="preserve"> presents a KRAS G12D DNA oligonucleotide probe modified sensor which when coupled to a PCR reaction detects mutated amplicons from a significant background of human DNA and in particular KRAS wild</w:t>
      </w:r>
      <w:r w:rsidR="009E1BD5" w:rsidRPr="005B1CCB">
        <w:rPr>
          <w:rFonts w:ascii="Palatino Linotype" w:hAnsi="Palatino Linotype" w:cs="Times New Roman"/>
          <w:sz w:val="24"/>
          <w:szCs w:val="24"/>
        </w:rPr>
        <w:t xml:space="preserve">-type sequences. </w:t>
      </w:r>
      <w:r w:rsidR="007F3D30" w:rsidRPr="005B1CCB">
        <w:rPr>
          <w:rFonts w:ascii="Palatino Linotype" w:hAnsi="Palatino Linotype" w:cs="Times New Roman"/>
          <w:sz w:val="24"/>
          <w:szCs w:val="24"/>
        </w:rPr>
        <w:t xml:space="preserve">The advantage of </w:t>
      </w:r>
      <w:r w:rsidR="00C273B6" w:rsidRPr="005B1CCB">
        <w:rPr>
          <w:rFonts w:ascii="Palatino Linotype" w:hAnsi="Palatino Linotype" w:cs="Times New Roman"/>
          <w:sz w:val="24"/>
          <w:szCs w:val="24"/>
        </w:rPr>
        <w:t>the</w:t>
      </w:r>
      <w:r w:rsidR="007F3D30" w:rsidRPr="005B1CCB">
        <w:rPr>
          <w:rFonts w:ascii="Palatino Linotype" w:hAnsi="Palatino Linotype" w:cs="Times New Roman"/>
          <w:sz w:val="24"/>
          <w:szCs w:val="24"/>
        </w:rPr>
        <w:t xml:space="preserve"> approach is its simplicity.  A straight forward </w:t>
      </w:r>
      <w:r w:rsidR="007F3D30" w:rsidRPr="00C55295">
        <w:rPr>
          <w:rFonts w:ascii="Palatino Linotype" w:hAnsi="Palatino Linotype" w:cs="Times New Roman"/>
          <w:sz w:val="24"/>
          <w:szCs w:val="24"/>
        </w:rPr>
        <w:t>covalent attachment is used</w:t>
      </w:r>
      <w:r w:rsidR="007F3D30" w:rsidRPr="005B1CCB">
        <w:rPr>
          <w:rFonts w:ascii="Palatino Linotype" w:hAnsi="Palatino Linotype" w:cs="Times New Roman"/>
          <w:sz w:val="24"/>
          <w:szCs w:val="24"/>
        </w:rPr>
        <w:t xml:space="preserve"> to couple a simple amine modified DNA sequence (e.g. no tethered labels or redox intercalators) to a simple screen printed carbon electrode which is then interrogated using cyclic voltammetry (CV) to reveal DNA hybridisation and thus mutation detection in potassium ferri-ferrocyanide solution.</w:t>
      </w:r>
      <w:r w:rsidR="00CB64A2">
        <w:rPr>
          <w:rFonts w:ascii="Palatino Linotype" w:hAnsi="Palatino Linotype" w:cs="Times New Roman"/>
          <w:sz w:val="24"/>
          <w:szCs w:val="24"/>
        </w:rPr>
        <w:t xml:space="preserve"> </w:t>
      </w:r>
      <w:r w:rsidR="007F3D30" w:rsidRPr="005B1CCB">
        <w:rPr>
          <w:rFonts w:ascii="Palatino Linotype" w:hAnsi="Palatino Linotype" w:cs="Times New Roman"/>
          <w:sz w:val="24"/>
          <w:szCs w:val="24"/>
        </w:rPr>
        <w:t xml:space="preserve"> </w:t>
      </w:r>
      <w:r w:rsidR="00D922E0">
        <w:rPr>
          <w:rFonts w:ascii="Palatino Linotype" w:hAnsi="Palatino Linotype" w:cs="Times New Roman"/>
          <w:sz w:val="24"/>
          <w:szCs w:val="24"/>
        </w:rPr>
        <w:t xml:space="preserve">Besides the simplicity of using carbon electrodes, the signals obtained after pre-treatment are undistorted, well-defined and reproducible. </w:t>
      </w:r>
      <w:r w:rsidR="007F3D30" w:rsidRPr="005B1CCB">
        <w:rPr>
          <w:rFonts w:ascii="Palatino Linotype" w:hAnsi="Palatino Linotype" w:cs="Times New Roman"/>
          <w:sz w:val="24"/>
          <w:szCs w:val="24"/>
        </w:rPr>
        <w:t xml:space="preserve">Due to the </w:t>
      </w:r>
      <w:r w:rsidR="000E0D3E">
        <w:rPr>
          <w:rFonts w:ascii="Palatino Linotype" w:hAnsi="Palatino Linotype" w:cs="Times New Roman"/>
          <w:sz w:val="24"/>
          <w:szCs w:val="24"/>
        </w:rPr>
        <w:t>ease</w:t>
      </w:r>
      <w:r w:rsidR="000E0D3E" w:rsidRPr="005B1CCB">
        <w:rPr>
          <w:rFonts w:ascii="Palatino Linotype" w:hAnsi="Palatino Linotype" w:cs="Times New Roman"/>
          <w:sz w:val="24"/>
          <w:szCs w:val="24"/>
        </w:rPr>
        <w:t xml:space="preserve"> </w:t>
      </w:r>
      <w:r w:rsidR="007F3D30" w:rsidRPr="005B1CCB">
        <w:rPr>
          <w:rFonts w:ascii="Palatino Linotype" w:hAnsi="Palatino Linotype" w:cs="Times New Roman"/>
          <w:sz w:val="24"/>
          <w:szCs w:val="24"/>
        </w:rPr>
        <w:t>of the approach presented herein and the choice of steps employed in the assay, the system can be very easily automated and integrated into a final device capable of fast and seamless clinical measurements. Since the assay has been deliberately engineered to be simple, low cost and employs well established methodologies such as PCR, the hope is that it will lead to faster clinical adoption.</w:t>
      </w:r>
    </w:p>
    <w:p w14:paraId="5C32114C" w14:textId="77777777" w:rsidR="00182BCE" w:rsidRPr="005B1CCB" w:rsidRDefault="00182BCE" w:rsidP="0052183A">
      <w:pPr>
        <w:spacing w:line="360" w:lineRule="auto"/>
        <w:jc w:val="both"/>
        <w:rPr>
          <w:rFonts w:ascii="Palatino Linotype" w:hAnsi="Palatino Linotype" w:cs="Times New Roman"/>
          <w:sz w:val="24"/>
          <w:szCs w:val="24"/>
        </w:rPr>
      </w:pPr>
    </w:p>
    <w:p w14:paraId="07CE6AC0" w14:textId="77777777" w:rsidR="00BF38F7" w:rsidRPr="005B1CCB" w:rsidRDefault="003D41F7" w:rsidP="00BF381B">
      <w:pPr>
        <w:pStyle w:val="Heading2"/>
      </w:pPr>
      <w:bookmarkStart w:id="125" w:name="_Toc84528101"/>
      <w:r w:rsidRPr="005B1CCB">
        <w:t>M</w:t>
      </w:r>
      <w:r w:rsidR="00DE712F" w:rsidRPr="005B1CCB">
        <w:t>ethods</w:t>
      </w:r>
      <w:bookmarkEnd w:id="125"/>
    </w:p>
    <w:p w14:paraId="14E20EEF" w14:textId="77777777" w:rsidR="003A5035" w:rsidRPr="005B1CCB" w:rsidRDefault="003A5035" w:rsidP="00D71969">
      <w:pPr>
        <w:pStyle w:val="Heading3"/>
      </w:pPr>
      <w:bookmarkStart w:id="126" w:name="_Toc84528102"/>
      <w:r w:rsidRPr="005B1CCB">
        <w:t>Genomic DNA sample preparation</w:t>
      </w:r>
      <w:bookmarkEnd w:id="126"/>
      <w:r w:rsidR="004060BA" w:rsidRPr="005B1CCB">
        <w:t xml:space="preserve">   </w:t>
      </w:r>
    </w:p>
    <w:p w14:paraId="3F63AFBB" w14:textId="50A19D93" w:rsidR="00A46556" w:rsidRPr="005B1CCB" w:rsidRDefault="002212E8" w:rsidP="003A5035">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A46556" w:rsidRPr="005B1CCB">
        <w:rPr>
          <w:rFonts w:ascii="Palatino Linotype" w:hAnsi="Palatino Linotype" w:cs="Times New Roman"/>
          <w:sz w:val="24"/>
          <w:szCs w:val="24"/>
        </w:rPr>
        <w:t>For assay development, copies of the KRAS pG12D mutant and wild</w:t>
      </w:r>
      <w:r w:rsidR="00285333" w:rsidRPr="005B1CCB">
        <w:rPr>
          <w:rFonts w:ascii="Palatino Linotype" w:hAnsi="Palatino Linotype" w:cs="Times New Roman"/>
          <w:sz w:val="24"/>
          <w:szCs w:val="24"/>
        </w:rPr>
        <w:t>-</w:t>
      </w:r>
      <w:r w:rsidR="00A46556" w:rsidRPr="005B1CCB">
        <w:rPr>
          <w:rFonts w:ascii="Palatino Linotype" w:hAnsi="Palatino Linotype" w:cs="Times New Roman"/>
          <w:sz w:val="24"/>
          <w:szCs w:val="24"/>
        </w:rPr>
        <w:t>type DNA were amplified from genomic DNA (gDNA) isolated from SK-UT-1 cells.  Levels of both mutant and wild</w:t>
      </w:r>
      <w:r w:rsidR="00285333" w:rsidRPr="005B1CCB">
        <w:rPr>
          <w:rFonts w:ascii="Palatino Linotype" w:hAnsi="Palatino Linotype" w:cs="Times New Roman"/>
          <w:sz w:val="24"/>
          <w:szCs w:val="24"/>
        </w:rPr>
        <w:t>-</w:t>
      </w:r>
      <w:r w:rsidR="00A46556" w:rsidRPr="005B1CCB">
        <w:rPr>
          <w:rFonts w:ascii="Palatino Linotype" w:hAnsi="Palatino Linotype" w:cs="Times New Roman"/>
          <w:sz w:val="24"/>
          <w:szCs w:val="24"/>
        </w:rPr>
        <w:t>type DNA were determined using ddPCR assays (KRA p.G12D c.35G&gt;A, assay ID dHsaCP000001and KRAS WT for p.G12D c.35G&gt;A, assay ID dHsaCP2000002) in combination with a QX200TM Droplet DigitalTM PCR system (Biorad Laboratories Ltd, UK) following the manufacturer’s instructions.  Briefly, 5-10ng of gDNA isolated from SK-UT-1 cells- was mixed with ddPCR Supermix for probes (N0 dUTP) and florescein amidite (FAM)-labelled KRAS p.G12D primers/probe and hexachloro-fluorescein 9 (HEX)-labelled KRAS WT primers/probes, in the presence of restriction enzyme and in a volume of 20μl.  Reaction samples were loaded onto a DG8TM cartridge with 70μL of Droplet Generation Oil for Probes according to the Droplet Generator Instruction Manual (Biorad Laboratories Ltd, UK). PCR cycling conditions for the generated droplets were as follows: initial enzyme activation at 95</w:t>
      </w:r>
      <w:r w:rsidR="00BE13D9" w:rsidRPr="005B1CCB">
        <w:rPr>
          <w:rFonts w:ascii="Palatino Linotype" w:hAnsi="Palatino Linotype" w:cs="Times New Roman"/>
          <w:sz w:val="24"/>
          <w:szCs w:val="24"/>
        </w:rPr>
        <w:t xml:space="preserve"> </w:t>
      </w:r>
      <w:r w:rsidR="00A46556" w:rsidRPr="005B1CCB">
        <w:rPr>
          <w:rFonts w:ascii="Palatino Linotype" w:hAnsi="Palatino Linotype" w:cs="Times New Roman"/>
          <w:sz w:val="24"/>
          <w:szCs w:val="24"/>
          <w:vertAlign w:val="superscript"/>
        </w:rPr>
        <w:t>o</w:t>
      </w:r>
      <w:r w:rsidR="00A46556" w:rsidRPr="005B1CCB">
        <w:rPr>
          <w:rFonts w:ascii="Palatino Linotype" w:hAnsi="Palatino Linotype" w:cs="Times New Roman"/>
          <w:sz w:val="24"/>
          <w:szCs w:val="24"/>
        </w:rPr>
        <w:t>C for 10 minutes, followed by 40 cycles of denaturation at 94</w:t>
      </w:r>
      <w:r w:rsidR="00BE13D9" w:rsidRPr="005B1CCB">
        <w:rPr>
          <w:rFonts w:ascii="Palatino Linotype" w:hAnsi="Palatino Linotype" w:cs="Times New Roman"/>
          <w:sz w:val="24"/>
          <w:szCs w:val="24"/>
        </w:rPr>
        <w:t xml:space="preserve"> </w:t>
      </w:r>
      <w:r w:rsidR="00A46556" w:rsidRPr="005B1CCB">
        <w:rPr>
          <w:rFonts w:ascii="Palatino Linotype" w:hAnsi="Palatino Linotype" w:cs="Times New Roman"/>
          <w:sz w:val="24"/>
          <w:szCs w:val="24"/>
          <w:vertAlign w:val="superscript"/>
        </w:rPr>
        <w:t>o</w:t>
      </w:r>
      <w:r w:rsidR="00A46556" w:rsidRPr="005B1CCB">
        <w:rPr>
          <w:rFonts w:ascii="Palatino Linotype" w:hAnsi="Palatino Linotype" w:cs="Times New Roman"/>
          <w:sz w:val="24"/>
          <w:szCs w:val="24"/>
        </w:rPr>
        <w:t>C for 30 seconds, and annealing/extension at 55</w:t>
      </w:r>
      <w:r w:rsidR="00BE13D9" w:rsidRPr="005B1CCB">
        <w:rPr>
          <w:rFonts w:ascii="Palatino Linotype" w:hAnsi="Palatino Linotype" w:cs="Times New Roman"/>
          <w:sz w:val="24"/>
          <w:szCs w:val="24"/>
        </w:rPr>
        <w:t xml:space="preserve"> </w:t>
      </w:r>
      <w:r w:rsidR="00A46556" w:rsidRPr="005B1CCB">
        <w:rPr>
          <w:rFonts w:ascii="Palatino Linotype" w:hAnsi="Palatino Linotype" w:cs="Times New Roman"/>
          <w:sz w:val="24"/>
          <w:szCs w:val="24"/>
          <w:vertAlign w:val="superscript"/>
        </w:rPr>
        <w:t>o</w:t>
      </w:r>
      <w:r w:rsidR="00A46556" w:rsidRPr="005B1CCB">
        <w:rPr>
          <w:rFonts w:ascii="Palatino Linotype" w:hAnsi="Palatino Linotype" w:cs="Times New Roman"/>
          <w:sz w:val="24"/>
          <w:szCs w:val="24"/>
        </w:rPr>
        <w:t>C for 1 minute, after which ended with a final enzyme deactivation at 98</w:t>
      </w:r>
      <w:r w:rsidR="00BE13D9" w:rsidRPr="005B1CCB">
        <w:rPr>
          <w:rFonts w:ascii="Palatino Linotype" w:hAnsi="Palatino Linotype" w:cs="Times New Roman"/>
          <w:sz w:val="24"/>
          <w:szCs w:val="24"/>
        </w:rPr>
        <w:t xml:space="preserve"> </w:t>
      </w:r>
      <w:r w:rsidR="00A46556" w:rsidRPr="005B1CCB">
        <w:rPr>
          <w:rFonts w:ascii="Palatino Linotype" w:hAnsi="Palatino Linotype" w:cs="Times New Roman"/>
          <w:sz w:val="24"/>
          <w:szCs w:val="24"/>
          <w:vertAlign w:val="superscript"/>
        </w:rPr>
        <w:t>o</w:t>
      </w:r>
      <w:r w:rsidR="00A46556" w:rsidRPr="005B1CCB">
        <w:rPr>
          <w:rFonts w:ascii="Palatino Linotype" w:hAnsi="Palatino Linotype" w:cs="Times New Roman"/>
          <w:sz w:val="24"/>
          <w:szCs w:val="24"/>
        </w:rPr>
        <w:t>C for 10 minutes. Data acquisition after thermal cycling, was performed using the QX200 Droplet Reader and the QuantaSoft Software (Biorad Laboratories Ltd).</w:t>
      </w:r>
    </w:p>
    <w:p w14:paraId="6E5968A8" w14:textId="77777777" w:rsidR="00182BCE" w:rsidRPr="005B1CCB" w:rsidRDefault="00182BCE" w:rsidP="003A5035">
      <w:pPr>
        <w:spacing w:line="360" w:lineRule="auto"/>
        <w:jc w:val="both"/>
        <w:rPr>
          <w:rFonts w:ascii="Palatino Linotype" w:hAnsi="Palatino Linotype" w:cs="Times New Roman"/>
          <w:sz w:val="24"/>
          <w:szCs w:val="24"/>
        </w:rPr>
      </w:pPr>
    </w:p>
    <w:p w14:paraId="7710D90F" w14:textId="77777777" w:rsidR="004C3DC9" w:rsidRPr="005B1CCB" w:rsidRDefault="003E71CB" w:rsidP="00D71969">
      <w:pPr>
        <w:pStyle w:val="Heading3"/>
      </w:pPr>
      <w:bookmarkStart w:id="127" w:name="_Toc84528103"/>
      <w:r w:rsidRPr="005B1CCB">
        <w:t xml:space="preserve">KRAS </w:t>
      </w:r>
      <w:r w:rsidR="004C3DC9" w:rsidRPr="005B1CCB">
        <w:t>G12D DNA probe design</w:t>
      </w:r>
      <w:bookmarkEnd w:id="127"/>
    </w:p>
    <w:p w14:paraId="5C64012B" w14:textId="12888117" w:rsidR="004060BA" w:rsidRDefault="004060BA"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2212E8" w:rsidRPr="005B1CCB">
        <w:rPr>
          <w:rFonts w:ascii="Palatino Linotype" w:hAnsi="Palatino Linotype" w:cs="Times New Roman"/>
          <w:sz w:val="24"/>
          <w:szCs w:val="24"/>
        </w:rPr>
        <w:t xml:space="preserve">  </w:t>
      </w:r>
      <w:r w:rsidR="003A5035" w:rsidRPr="005B1CCB">
        <w:rPr>
          <w:rFonts w:ascii="Palatino Linotype" w:hAnsi="Palatino Linotype" w:cs="Times New Roman"/>
          <w:sz w:val="24"/>
          <w:szCs w:val="24"/>
        </w:rPr>
        <w:t xml:space="preserve">The design of PCR primers and probes used for the analysis in this study was based on the published sequence of KRAS pG12D under accession number </w:t>
      </w:r>
      <w:r w:rsidR="003A5035" w:rsidRPr="005B1CCB">
        <w:rPr>
          <w:rFonts w:ascii="Palatino Linotype" w:hAnsi="Palatino Linotype" w:cs="Times New Roman"/>
          <w:sz w:val="24"/>
          <w:szCs w:val="24"/>
          <w:lang w:val="en-US"/>
        </w:rPr>
        <w:t>NC_000012.12</w:t>
      </w:r>
      <w:r w:rsidR="003A5035" w:rsidRPr="005B1CCB">
        <w:rPr>
          <w:rFonts w:ascii="Palatino Linotype" w:hAnsi="Palatino Linotype" w:cs="Times New Roman"/>
          <w:sz w:val="24"/>
          <w:szCs w:val="24"/>
        </w:rPr>
        <w:t xml:space="preserve">  </w:t>
      </w:r>
      <w:r w:rsidR="003A503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{"citationItems":[{"id":"ITEM-1","itemData":{"URL":"https://www.ncbi.nlm.nih.gov/nuccore/NG_007524.2?report=fasta&amp;to=53215","author":[{"dropping-particle":"","family":"NCBI","given":"","non-dropping-particle":"","parse-names":false,"suffix":""}],"container-title":"National Center for Biotechnology Information, U.S. National Library of Medicine","id":"ITEM-1","issued":{"date-parts":[["2019"]]},"title":"Homo sapiens KRAS proto-oncogene, GTPase (KRAS), RefSeqGene (LRG_344) on chromosome 12","type":"webpage"},"uris":["http://www.mendeley.com/documents/?uuid=db3fd062-4afe-488e-aafa-3648164cdce9"]}],"mendeley":{"formattedCitation":"[230]","plainTextFormattedCitation":"[230]","previouslyFormattedCitation":"[230]"},"properties":{"noteIndex":0},"schema":"https://github.com/citation-style-language/schema/raw/master/csl-citation.json"}</w:instrText>
      </w:r>
      <w:r w:rsidR="003A503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[230]</w:t>
      </w:r>
      <w:r w:rsidR="003A5035" w:rsidRPr="005B1CCB">
        <w:rPr>
          <w:rFonts w:ascii="Palatino Linotype" w:hAnsi="Palatino Linotype" w:cs="Times New Roman"/>
          <w:sz w:val="24"/>
          <w:szCs w:val="24"/>
        </w:rPr>
        <w:fldChar w:fldCharType="end"/>
      </w:r>
      <w:r w:rsidR="003A5035" w:rsidRPr="005B1CCB">
        <w:rPr>
          <w:rFonts w:ascii="Palatino Linotype" w:hAnsi="Palatino Linotype" w:cs="Times New Roman"/>
          <w:sz w:val="24"/>
          <w:szCs w:val="24"/>
        </w:rPr>
        <w:t>. Specific probe sequences for the G12D mutant and wild</w:t>
      </w:r>
      <w:r w:rsidR="006D03C3">
        <w:rPr>
          <w:rFonts w:ascii="Palatino Linotype" w:hAnsi="Palatino Linotype" w:cs="Times New Roman"/>
          <w:sz w:val="24"/>
          <w:szCs w:val="24"/>
        </w:rPr>
        <w:t>-</w:t>
      </w:r>
      <w:r w:rsidR="003A5035" w:rsidRPr="005B1CCB">
        <w:rPr>
          <w:rFonts w:ascii="Palatino Linotype" w:hAnsi="Palatino Linotype" w:cs="Times New Roman"/>
          <w:sz w:val="24"/>
          <w:szCs w:val="24"/>
        </w:rPr>
        <w:t xml:space="preserve">type KRAS sequences were designed, specifically for optimal discrimination of single base pair changes.  </w:t>
      </w:r>
      <w:r w:rsidR="003A5035" w:rsidRPr="00C55295">
        <w:rPr>
          <w:rFonts w:ascii="Palatino Linotype" w:hAnsi="Palatino Linotype" w:cs="Times New Roman"/>
          <w:sz w:val="24"/>
          <w:szCs w:val="24"/>
        </w:rPr>
        <w:t>Previous work on electrochemical detection of single base pair changes has demonstrated enhanced discrimination and optimal signal levels when the mutation is placed close to the centre of the probe sequence</w:t>
      </w:r>
      <w:r w:rsidR="003A5035" w:rsidRPr="005B1CCB">
        <w:rPr>
          <w:rFonts w:ascii="Palatino Linotype" w:hAnsi="Palatino Linotype" w:cs="Times New Roman"/>
          <w:sz w:val="24"/>
          <w:szCs w:val="24"/>
        </w:rPr>
        <w:t xml:space="preserve"> </w:t>
      </w:r>
      <w:r w:rsidR="003A503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{"citationItems":[{"id":"ITEM-1","itemData":{"DOI":"10.1021/ac060533b","ISBN":"0003-2700","ISSN":"00032700","PMID":"16944889","abstract":"Gold electrode arrays with electrode diameters of 10 mum were used for the detection of eight single-nucleotide mismatches in unlabeled and prehybridized DNA by electrochemical impedance spectroscopy (EIS). Because of the differences in the electrical properties of films of duplex DNA (normal duplex DNA in B-form) in the presence and absence of Zn(2+) at pH &gt; or = 8.6, Randles equivalent circuits were employed to evaluate the EIS results. The difference in the charge-transfer resistance (DeltaR(CT)) between B-DNA (absence of Zn2+ at pH &gt; or = 8.6) and M-DNA (presence of Zn2+ at pH &gt; or = 8.6) allows unequivocal detection of all eight single-nucleotide mismatches within a 20-mer DNA sequence. After dehybridization/rehybridization with target DNA, DeltaR(CT) allows the discrimination of single-nucleotide mismatches with concentrations of the target strand as low as 10 fM. Although the presence of protein impurities (bovine serum albumin, 10 microg/mL) interferes with the detection of the target strand (1 pM detection limit), the presence of nontarget DNA (calf thymus DNA, 10(-8) M) does not interfere, and the detection limit for recognition of the target strand remains at 10 fM.","author":[{"dropping-particle":"","family":"Li","given":"Xiaohong","non-dropping-particle":"","parse-names":false,"suffix":""},{"dropping-particle":"","family":"Lee","given":"Jeremy S.","non-dropping-particle":"","parse-names":false,"suffix":""},{"dropping-particle":"","family":"Kraatz","given":"Heinz Bernhard","non-dropping-particle":"","parse-names":false,"suffix":""}],"container-title":"Analytical Chemistry","id":"ITEM-1","issue":"17","issued":{"date-parts":[["2006"]]},"page":"6096-6101","title":"Electrochemical detection of single-nucleotide mismatches using an electrode microarray","type":"article-journal","volume":"78"},"uris":["http://www.mendeley.com/documents/?uuid=941a0a23-d1c8-438e-af9d-417e9e7e49b1"]}],"mendeley":{"formattedCitation":"[131]","plainTextFormattedCitation":"[131]","previouslyFormattedCitation":"[131]"},"properties":{"noteIndex":0},"schema":"https://github.com/citation-style-language/schema/raw/master/csl-citation.json"}</w:instrText>
      </w:r>
      <w:r w:rsidR="003A503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[131]</w:t>
      </w:r>
      <w:r w:rsidR="003A5035" w:rsidRPr="005B1CCB">
        <w:rPr>
          <w:rFonts w:ascii="Palatino Linotype" w:hAnsi="Palatino Linotype" w:cs="Times New Roman"/>
          <w:sz w:val="24"/>
          <w:szCs w:val="24"/>
        </w:rPr>
        <w:fldChar w:fldCharType="end"/>
      </w:r>
      <w:r w:rsidR="003A5035" w:rsidRPr="005B1CCB">
        <w:rPr>
          <w:rFonts w:ascii="Palatino Linotype" w:hAnsi="Palatino Linotype" w:cs="Times New Roman"/>
          <w:sz w:val="24"/>
          <w:szCs w:val="24"/>
        </w:rPr>
        <w:t xml:space="preserve">. Amine-modified synthetic oligonucleotides (KRAS G12D) designed with 5’ to 3’ ends as shown in </w:t>
      </w:r>
      <w:r w:rsidR="00186A61" w:rsidRPr="005B1CCB">
        <w:rPr>
          <w:rFonts w:ascii="Palatino Linotype" w:hAnsi="Palatino Linotype" w:cs="Times New Roman"/>
          <w:sz w:val="24"/>
          <w:szCs w:val="24"/>
        </w:rPr>
        <w:t>T</w:t>
      </w:r>
      <w:r w:rsidR="003A5035" w:rsidRPr="005B1CCB">
        <w:rPr>
          <w:rFonts w:ascii="Palatino Linotype" w:hAnsi="Palatino Linotype" w:cs="Times New Roman"/>
          <w:sz w:val="24"/>
          <w:szCs w:val="24"/>
        </w:rPr>
        <w:t xml:space="preserve">able </w:t>
      </w:r>
      <w:r w:rsidR="00CD7488" w:rsidRPr="005B1CCB">
        <w:rPr>
          <w:rFonts w:ascii="Palatino Linotype" w:hAnsi="Palatino Linotype" w:cs="Times New Roman"/>
          <w:sz w:val="24"/>
          <w:szCs w:val="24"/>
        </w:rPr>
        <w:t>1</w:t>
      </w:r>
      <w:r w:rsidR="00CD7488">
        <w:rPr>
          <w:rFonts w:ascii="Palatino Linotype" w:hAnsi="Palatino Linotype" w:cs="Times New Roman"/>
          <w:sz w:val="24"/>
          <w:szCs w:val="24"/>
        </w:rPr>
        <w:t>2</w:t>
      </w:r>
      <w:r w:rsidR="00CD7488" w:rsidRPr="005B1CCB">
        <w:rPr>
          <w:rFonts w:ascii="Palatino Linotype" w:hAnsi="Palatino Linotype" w:cs="Times New Roman"/>
          <w:sz w:val="24"/>
          <w:szCs w:val="24"/>
        </w:rPr>
        <w:t xml:space="preserve"> </w:t>
      </w:r>
      <w:r w:rsidR="003A5035" w:rsidRPr="005B1CCB">
        <w:rPr>
          <w:rFonts w:ascii="Palatino Linotype" w:hAnsi="Palatino Linotype" w:cs="Times New Roman"/>
          <w:sz w:val="24"/>
          <w:szCs w:val="24"/>
        </w:rPr>
        <w:t>with a concentration of 200µM was obtained from Sigma-Aldrich, UK and stored at -80</w:t>
      </w:r>
      <w:r w:rsidR="00285333" w:rsidRPr="005B1CCB">
        <w:rPr>
          <w:rFonts w:ascii="Palatino Linotype" w:hAnsi="Palatino Linotype" w:cs="Times New Roman"/>
          <w:sz w:val="24"/>
          <w:szCs w:val="24"/>
        </w:rPr>
        <w:t xml:space="preserve"> </w:t>
      </w:r>
      <w:r w:rsidR="003A5035" w:rsidRPr="005B1CCB">
        <w:rPr>
          <w:rFonts w:ascii="Palatino Linotype" w:hAnsi="Palatino Linotype" w:cs="Times New Roman"/>
          <w:sz w:val="24"/>
          <w:szCs w:val="24"/>
          <w:vertAlign w:val="superscript"/>
        </w:rPr>
        <w:t>o</w:t>
      </w:r>
      <w:r w:rsidR="003A5035" w:rsidRPr="005B1CCB">
        <w:rPr>
          <w:rFonts w:ascii="Palatino Linotype" w:hAnsi="Palatino Linotype" w:cs="Times New Roman"/>
          <w:sz w:val="24"/>
          <w:szCs w:val="24"/>
        </w:rPr>
        <w:t>C prior to aliquoting for use as probes. A wild</w:t>
      </w:r>
      <w:r w:rsidR="00BE13D9" w:rsidRPr="005B1CCB">
        <w:rPr>
          <w:rFonts w:ascii="Palatino Linotype" w:hAnsi="Palatino Linotype" w:cs="Times New Roman"/>
          <w:sz w:val="24"/>
          <w:szCs w:val="24"/>
        </w:rPr>
        <w:t>-</w:t>
      </w:r>
      <w:r w:rsidR="003A5035" w:rsidRPr="005B1CCB">
        <w:rPr>
          <w:rFonts w:ascii="Palatino Linotype" w:hAnsi="Palatino Linotype" w:cs="Times New Roman"/>
          <w:sz w:val="24"/>
          <w:szCs w:val="24"/>
        </w:rPr>
        <w:t xml:space="preserve">type probe (without the mutant base) was also designed for use as negative control. </w:t>
      </w:r>
      <w:r w:rsidRPr="005B1CCB">
        <w:rPr>
          <w:rFonts w:ascii="Palatino Linotype" w:hAnsi="Palatino Linotype" w:cs="Times New Roman"/>
          <w:sz w:val="24"/>
          <w:szCs w:val="24"/>
        </w:rPr>
        <w:t xml:space="preserve"> DNA probe stocks were diluted to a concentration of 20 µM in 0.1 x PBS just before use. </w:t>
      </w:r>
    </w:p>
    <w:p w14:paraId="39BCBF1C" w14:textId="18FC5D8E" w:rsidR="00CD7488" w:rsidRDefault="00CD7488" w:rsidP="0052183A">
      <w:pPr>
        <w:spacing w:line="360" w:lineRule="auto"/>
        <w:jc w:val="both"/>
        <w:rPr>
          <w:rFonts w:ascii="Palatino Linotype" w:hAnsi="Palatino Linotype" w:cs="Times New Roman"/>
          <w:sz w:val="24"/>
          <w:szCs w:val="24"/>
        </w:rPr>
      </w:pPr>
    </w:p>
    <w:p w14:paraId="249DD5E6" w14:textId="56238CB4" w:rsidR="00CD7488" w:rsidRDefault="00CD7488" w:rsidP="0052183A">
      <w:pPr>
        <w:spacing w:line="360" w:lineRule="auto"/>
        <w:jc w:val="both"/>
        <w:rPr>
          <w:rFonts w:ascii="Palatino Linotype" w:hAnsi="Palatino Linotype" w:cs="Times New Roman"/>
          <w:sz w:val="24"/>
          <w:szCs w:val="24"/>
        </w:rPr>
      </w:pPr>
    </w:p>
    <w:p w14:paraId="2CD9BF6A" w14:textId="77777777" w:rsidR="00CD7488" w:rsidRPr="005B1CCB" w:rsidRDefault="00CD7488" w:rsidP="0052183A">
      <w:pPr>
        <w:spacing w:line="360" w:lineRule="auto"/>
        <w:jc w:val="both"/>
        <w:rPr>
          <w:rFonts w:ascii="Palatino Linotype" w:hAnsi="Palatino Linotype" w:cs="Times New Roman"/>
          <w:sz w:val="24"/>
          <w:szCs w:val="24"/>
        </w:rPr>
      </w:pPr>
    </w:p>
    <w:p w14:paraId="038DBE0B" w14:textId="19CD1604" w:rsidR="003E78ED" w:rsidRPr="005B1CCB" w:rsidRDefault="003E78ED" w:rsidP="005E13BE">
      <w:pPr>
        <w:pStyle w:val="Caption"/>
        <w:keepNext/>
        <w:jc w:val="center"/>
        <w:rPr>
          <w:sz w:val="22"/>
          <w:szCs w:val="22"/>
        </w:rPr>
      </w:pPr>
      <w:r w:rsidRPr="005B1CCB">
        <w:rPr>
          <w:sz w:val="22"/>
          <w:szCs w:val="22"/>
        </w:rPr>
        <w:t xml:space="preserve">Table </w:t>
      </w:r>
      <w:r w:rsidR="00CD7488" w:rsidRPr="005B1CCB">
        <w:rPr>
          <w:sz w:val="22"/>
          <w:szCs w:val="22"/>
        </w:rPr>
        <w:t>1</w:t>
      </w:r>
      <w:r w:rsidR="00CD7488">
        <w:rPr>
          <w:sz w:val="22"/>
          <w:szCs w:val="22"/>
        </w:rPr>
        <w:t>2</w:t>
      </w:r>
      <w:r w:rsidRPr="005B1CCB">
        <w:rPr>
          <w:sz w:val="22"/>
          <w:szCs w:val="22"/>
        </w:rPr>
        <w:t xml:space="preserve">: </w:t>
      </w:r>
      <w:r w:rsidR="005E13BE" w:rsidRPr="005B1CCB">
        <w:rPr>
          <w:sz w:val="22"/>
          <w:szCs w:val="22"/>
        </w:rPr>
        <w:t xml:space="preserve">List of KRAS pG12D DNA sequences employed in this study. </w:t>
      </w:r>
    </w:p>
    <w:tbl>
      <w:tblPr>
        <w:tblW w:w="8359" w:type="dxa"/>
        <w:tblLayout w:type="fixed"/>
        <w:tblLook w:val="04A0" w:firstRow="1" w:lastRow="0" w:firstColumn="1" w:lastColumn="0" w:noHBand="0" w:noVBand="1"/>
      </w:tblPr>
      <w:tblGrid>
        <w:gridCol w:w="2830"/>
        <w:gridCol w:w="5529"/>
      </w:tblGrid>
      <w:tr w:rsidR="00DD4FD8" w:rsidRPr="005B1CCB" w14:paraId="42AE1009" w14:textId="77777777" w:rsidTr="00E53CD2">
        <w:trPr>
          <w:trHeight w:val="416"/>
        </w:trPr>
        <w:tc>
          <w:tcPr>
            <w:tcW w:w="8359" w:type="dxa"/>
            <w:gridSpan w:val="2"/>
          </w:tcPr>
          <w:p w14:paraId="6FC0634A"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 xml:space="preserve">KRAS </w:t>
            </w:r>
            <w:r w:rsidR="005E13BE" w:rsidRPr="005B1CCB">
              <w:rPr>
                <w:rFonts w:ascii="Palatino Linotype" w:hAnsi="Palatino Linotype" w:cs="Times New Roman"/>
                <w:b/>
              </w:rPr>
              <w:t>p</w:t>
            </w:r>
            <w:r w:rsidR="00946361" w:rsidRPr="005B1CCB">
              <w:rPr>
                <w:rFonts w:ascii="Palatino Linotype" w:hAnsi="Palatino Linotype" w:cs="Times New Roman"/>
                <w:b/>
              </w:rPr>
              <w:t xml:space="preserve">G12D </w:t>
            </w:r>
            <w:r w:rsidRPr="005B1CCB">
              <w:rPr>
                <w:rFonts w:ascii="Palatino Linotype" w:hAnsi="Palatino Linotype" w:cs="Times New Roman"/>
                <w:b/>
              </w:rPr>
              <w:t>Probe and primer Sequences</w:t>
            </w:r>
          </w:p>
        </w:tc>
      </w:tr>
      <w:tr w:rsidR="00DD4FD8" w:rsidRPr="005B1CCB" w14:paraId="257AD875" w14:textId="77777777" w:rsidTr="00E53CD2">
        <w:tc>
          <w:tcPr>
            <w:tcW w:w="2830" w:type="dxa"/>
          </w:tcPr>
          <w:p w14:paraId="2AA9F061" w14:textId="77777777" w:rsidR="00DD4FD8" w:rsidRPr="005B1CCB" w:rsidRDefault="00DD4FD8" w:rsidP="005B38B6">
            <w:pPr>
              <w:rPr>
                <w:rFonts w:ascii="Palatino Linotype" w:hAnsi="Palatino Linotype" w:cs="Times New Roman"/>
                <w:b/>
              </w:rPr>
            </w:pPr>
            <w:r w:rsidRPr="005B1CCB">
              <w:rPr>
                <w:rFonts w:ascii="Palatino Linotype" w:hAnsi="Palatino Linotype" w:cs="Times New Roman"/>
                <w:b/>
              </w:rPr>
              <w:t xml:space="preserve">23 bases </w:t>
            </w:r>
            <w:r w:rsidR="00A36348" w:rsidRPr="005B1CCB">
              <w:rPr>
                <w:rFonts w:ascii="Palatino Linotype" w:hAnsi="Palatino Linotype" w:cs="Times New Roman"/>
                <w:b/>
              </w:rPr>
              <w:t>w</w:t>
            </w:r>
            <w:r w:rsidRPr="005B1CCB">
              <w:rPr>
                <w:rFonts w:ascii="Palatino Linotype" w:hAnsi="Palatino Linotype" w:cs="Times New Roman"/>
                <w:b/>
              </w:rPr>
              <w:t>ild</w:t>
            </w:r>
            <w:r w:rsidR="005F65D9" w:rsidRPr="005B1CCB">
              <w:rPr>
                <w:rFonts w:ascii="Palatino Linotype" w:hAnsi="Palatino Linotype" w:cs="Times New Roman"/>
                <w:b/>
              </w:rPr>
              <w:t>-</w:t>
            </w:r>
            <w:r w:rsidRPr="005B1CCB">
              <w:rPr>
                <w:rFonts w:ascii="Palatino Linotype" w:hAnsi="Palatino Linotype" w:cs="Times New Roman"/>
                <w:b/>
              </w:rPr>
              <w:t>type Probe</w:t>
            </w:r>
          </w:p>
          <w:p w14:paraId="54777B2D" w14:textId="77777777" w:rsidR="00DD4FD8" w:rsidRPr="005B1CCB" w:rsidRDefault="00DD4FD8" w:rsidP="005B38B6">
            <w:pPr>
              <w:jc w:val="center"/>
              <w:rPr>
                <w:rFonts w:ascii="Palatino Linotype" w:hAnsi="Palatino Linotype" w:cs="Times New Roman"/>
                <w:b/>
              </w:rPr>
            </w:pPr>
          </w:p>
        </w:tc>
        <w:tc>
          <w:tcPr>
            <w:tcW w:w="5529" w:type="dxa"/>
          </w:tcPr>
          <w:p w14:paraId="06BD4132"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AGTTGGAGCTG</w:t>
            </w:r>
            <w:r w:rsidRPr="005B1CCB">
              <w:rPr>
                <w:rFonts w:ascii="Palatino Linotype" w:hAnsi="Palatino Linotype" w:cs="Times New Roman"/>
                <w:b/>
                <w:color w:val="00B050"/>
                <w:u w:val="single"/>
              </w:rPr>
              <w:t>G</w:t>
            </w:r>
            <w:r w:rsidRPr="005B1CCB">
              <w:rPr>
                <w:rFonts w:ascii="Palatino Linotype" w:hAnsi="Palatino Linotype" w:cs="Times New Roman"/>
                <w:b/>
              </w:rPr>
              <w:t>TGGCGTAGGCA</w:t>
            </w:r>
          </w:p>
        </w:tc>
      </w:tr>
      <w:tr w:rsidR="00DD4FD8" w:rsidRPr="005B1CCB" w14:paraId="0D8933EE" w14:textId="77777777" w:rsidTr="00E53CD2">
        <w:tc>
          <w:tcPr>
            <w:tcW w:w="2830" w:type="dxa"/>
          </w:tcPr>
          <w:p w14:paraId="74CECA4E" w14:textId="77777777" w:rsidR="00DD4FD8" w:rsidRPr="005B1CCB" w:rsidRDefault="00DD4FD8" w:rsidP="005B38B6">
            <w:pPr>
              <w:rPr>
                <w:rFonts w:ascii="Palatino Linotype" w:hAnsi="Palatino Linotype" w:cs="Times New Roman"/>
                <w:b/>
              </w:rPr>
            </w:pPr>
            <w:r w:rsidRPr="005B1CCB">
              <w:rPr>
                <w:rFonts w:ascii="Palatino Linotype" w:hAnsi="Palatino Linotype" w:cs="Times New Roman"/>
                <w:b/>
              </w:rPr>
              <w:t>23 bases Mutant Probe</w:t>
            </w:r>
          </w:p>
          <w:p w14:paraId="3C340F51" w14:textId="77777777" w:rsidR="00DD4FD8" w:rsidRPr="005B1CCB" w:rsidRDefault="00DD4FD8" w:rsidP="005B38B6">
            <w:pPr>
              <w:jc w:val="center"/>
              <w:rPr>
                <w:rFonts w:ascii="Palatino Linotype" w:hAnsi="Palatino Linotype" w:cs="Times New Roman"/>
                <w:b/>
              </w:rPr>
            </w:pPr>
          </w:p>
        </w:tc>
        <w:tc>
          <w:tcPr>
            <w:tcW w:w="5529" w:type="dxa"/>
          </w:tcPr>
          <w:p w14:paraId="343C6F5E"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AGTTGGAGCTG</w:t>
            </w:r>
            <w:r w:rsidRPr="005B1CCB">
              <w:rPr>
                <w:rFonts w:ascii="Palatino Linotype" w:hAnsi="Palatino Linotype" w:cs="Times New Roman"/>
                <w:b/>
                <w:color w:val="FF0000"/>
                <w:u w:val="single"/>
              </w:rPr>
              <w:t>A</w:t>
            </w:r>
            <w:r w:rsidRPr="005B1CCB">
              <w:rPr>
                <w:rFonts w:ascii="Palatino Linotype" w:hAnsi="Palatino Linotype" w:cs="Times New Roman"/>
                <w:b/>
              </w:rPr>
              <w:t>TGGCGTAGGCA</w:t>
            </w:r>
          </w:p>
        </w:tc>
      </w:tr>
      <w:tr w:rsidR="00DD4FD8" w:rsidRPr="005B1CCB" w14:paraId="492EB115" w14:textId="77777777" w:rsidTr="00E53CD2">
        <w:tc>
          <w:tcPr>
            <w:tcW w:w="2830" w:type="dxa"/>
          </w:tcPr>
          <w:p w14:paraId="6399EF93"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 xml:space="preserve">Forward </w:t>
            </w:r>
            <w:r w:rsidR="000B58AE" w:rsidRPr="005B1CCB">
              <w:rPr>
                <w:rFonts w:ascii="Palatino Linotype" w:hAnsi="Palatino Linotype" w:cs="Times New Roman"/>
                <w:b/>
              </w:rPr>
              <w:t xml:space="preserve">PCR </w:t>
            </w:r>
            <w:r w:rsidRPr="005B1CCB">
              <w:rPr>
                <w:rFonts w:ascii="Palatino Linotype" w:hAnsi="Palatino Linotype" w:cs="Times New Roman"/>
                <w:b/>
              </w:rPr>
              <w:t>Primer (</w:t>
            </w:r>
            <w:r w:rsidR="00A36348" w:rsidRPr="005B1CCB">
              <w:rPr>
                <w:rFonts w:ascii="Palatino Linotype" w:hAnsi="Palatino Linotype" w:cs="Times New Roman"/>
                <w:b/>
              </w:rPr>
              <w:t>w</w:t>
            </w:r>
            <w:r w:rsidRPr="005B1CCB">
              <w:rPr>
                <w:rFonts w:ascii="Palatino Linotype" w:hAnsi="Palatino Linotype" w:cs="Times New Roman"/>
                <w:b/>
              </w:rPr>
              <w:t>ild</w:t>
            </w:r>
            <w:r w:rsidR="005F65D9" w:rsidRPr="005B1CCB">
              <w:rPr>
                <w:rFonts w:ascii="Palatino Linotype" w:hAnsi="Palatino Linotype" w:cs="Times New Roman"/>
                <w:b/>
              </w:rPr>
              <w:t>-</w:t>
            </w:r>
            <w:r w:rsidRPr="005B1CCB">
              <w:rPr>
                <w:rFonts w:ascii="Palatino Linotype" w:hAnsi="Palatino Linotype" w:cs="Times New Roman"/>
                <w:b/>
              </w:rPr>
              <w:t>type)</w:t>
            </w:r>
          </w:p>
          <w:p w14:paraId="2388CA7F" w14:textId="77777777" w:rsidR="00DD4FD8" w:rsidRPr="005B1CCB" w:rsidRDefault="00DD4FD8" w:rsidP="005B38B6">
            <w:pPr>
              <w:jc w:val="center"/>
              <w:rPr>
                <w:rFonts w:ascii="Palatino Linotype" w:hAnsi="Palatino Linotype" w:cs="Times New Roman"/>
                <w:b/>
              </w:rPr>
            </w:pPr>
          </w:p>
        </w:tc>
        <w:tc>
          <w:tcPr>
            <w:tcW w:w="5529" w:type="dxa"/>
          </w:tcPr>
          <w:p w14:paraId="51CD39C9"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TGTGGTAGTTGGAGCTG</w:t>
            </w:r>
            <w:r w:rsidRPr="005B1CCB">
              <w:rPr>
                <w:rFonts w:ascii="Palatino Linotype" w:hAnsi="Palatino Linotype" w:cs="Times New Roman"/>
                <w:b/>
                <w:color w:val="00B050"/>
                <w:u w:val="single"/>
              </w:rPr>
              <w:t>G</w:t>
            </w:r>
            <w:r w:rsidRPr="005B1CCB">
              <w:rPr>
                <w:rFonts w:ascii="Palatino Linotype" w:hAnsi="Palatino Linotype" w:cs="Times New Roman"/>
                <w:b/>
              </w:rPr>
              <w:t>TG</w:t>
            </w:r>
          </w:p>
        </w:tc>
      </w:tr>
      <w:tr w:rsidR="00DD4FD8" w:rsidRPr="005B1CCB" w14:paraId="0DE7F02D" w14:textId="77777777" w:rsidTr="00E53CD2">
        <w:tc>
          <w:tcPr>
            <w:tcW w:w="2830" w:type="dxa"/>
          </w:tcPr>
          <w:p w14:paraId="1F4C3D09" w14:textId="77777777" w:rsidR="00DD4FD8" w:rsidRPr="005B1CCB" w:rsidRDefault="00DD4FD8" w:rsidP="005B38B6">
            <w:pPr>
              <w:rPr>
                <w:rFonts w:ascii="Palatino Linotype" w:hAnsi="Palatino Linotype" w:cs="Times New Roman"/>
                <w:b/>
              </w:rPr>
            </w:pPr>
            <w:r w:rsidRPr="005B1CCB">
              <w:rPr>
                <w:rFonts w:ascii="Palatino Linotype" w:hAnsi="Palatino Linotype" w:cs="Times New Roman"/>
                <w:b/>
              </w:rPr>
              <w:t xml:space="preserve"> Forward </w:t>
            </w:r>
            <w:r w:rsidR="000B58AE" w:rsidRPr="005B1CCB">
              <w:rPr>
                <w:rFonts w:ascii="Palatino Linotype" w:hAnsi="Palatino Linotype" w:cs="Times New Roman"/>
                <w:b/>
              </w:rPr>
              <w:t xml:space="preserve">PCR </w:t>
            </w:r>
            <w:r w:rsidRPr="005B1CCB">
              <w:rPr>
                <w:rFonts w:ascii="Palatino Linotype" w:hAnsi="Palatino Linotype" w:cs="Times New Roman"/>
                <w:b/>
              </w:rPr>
              <w:t>Primer (Mutant)</w:t>
            </w:r>
          </w:p>
          <w:p w14:paraId="4ACE43E8" w14:textId="77777777" w:rsidR="00DD4FD8" w:rsidRPr="005B1CCB" w:rsidRDefault="00DD4FD8" w:rsidP="005B38B6">
            <w:pPr>
              <w:jc w:val="center"/>
              <w:rPr>
                <w:rFonts w:ascii="Palatino Linotype" w:hAnsi="Palatino Linotype" w:cs="Times New Roman"/>
                <w:b/>
              </w:rPr>
            </w:pPr>
          </w:p>
        </w:tc>
        <w:tc>
          <w:tcPr>
            <w:tcW w:w="5529" w:type="dxa"/>
          </w:tcPr>
          <w:p w14:paraId="660FF99D"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TGTGGTAGTTGGAGCTG</w:t>
            </w:r>
            <w:r w:rsidRPr="005B1CCB">
              <w:rPr>
                <w:rFonts w:ascii="Palatino Linotype" w:hAnsi="Palatino Linotype" w:cs="Times New Roman"/>
                <w:b/>
                <w:color w:val="FF0000"/>
                <w:u w:val="single"/>
              </w:rPr>
              <w:t>A</w:t>
            </w:r>
            <w:r w:rsidRPr="005B1CCB">
              <w:rPr>
                <w:rFonts w:ascii="Palatino Linotype" w:hAnsi="Palatino Linotype" w:cs="Times New Roman"/>
                <w:b/>
              </w:rPr>
              <w:t>TG</w:t>
            </w:r>
          </w:p>
        </w:tc>
      </w:tr>
      <w:tr w:rsidR="00DD4FD8" w:rsidRPr="005B1CCB" w14:paraId="042E5518" w14:textId="77777777" w:rsidTr="00E53CD2">
        <w:tc>
          <w:tcPr>
            <w:tcW w:w="2830" w:type="dxa"/>
          </w:tcPr>
          <w:p w14:paraId="15F5B6A8"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 xml:space="preserve">Reverse </w:t>
            </w:r>
            <w:r w:rsidR="000B58AE" w:rsidRPr="005B1CCB">
              <w:rPr>
                <w:rFonts w:ascii="Palatino Linotype" w:hAnsi="Palatino Linotype" w:cs="Times New Roman"/>
                <w:b/>
              </w:rPr>
              <w:t xml:space="preserve">PCR </w:t>
            </w:r>
            <w:r w:rsidRPr="005B1CCB">
              <w:rPr>
                <w:rFonts w:ascii="Palatino Linotype" w:hAnsi="Palatino Linotype" w:cs="Times New Roman"/>
                <w:b/>
              </w:rPr>
              <w:t>Primer</w:t>
            </w:r>
          </w:p>
          <w:p w14:paraId="0E6D0960" w14:textId="77777777" w:rsidR="00DD4FD8" w:rsidRPr="005B1CCB" w:rsidRDefault="00DD4FD8" w:rsidP="005B38B6">
            <w:pPr>
              <w:jc w:val="center"/>
              <w:rPr>
                <w:rFonts w:ascii="Palatino Linotype" w:hAnsi="Palatino Linotype" w:cs="Times New Roman"/>
                <w:b/>
              </w:rPr>
            </w:pPr>
          </w:p>
        </w:tc>
        <w:tc>
          <w:tcPr>
            <w:tcW w:w="5529" w:type="dxa"/>
          </w:tcPr>
          <w:p w14:paraId="080D6026"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TTGTGGACGAATATGATCCAACA</w:t>
            </w:r>
          </w:p>
        </w:tc>
      </w:tr>
      <w:tr w:rsidR="00DD4FD8" w:rsidRPr="005B1CCB" w14:paraId="4372F0CB" w14:textId="77777777" w:rsidTr="00E53CD2">
        <w:tc>
          <w:tcPr>
            <w:tcW w:w="2830" w:type="dxa"/>
          </w:tcPr>
          <w:p w14:paraId="0083318B" w14:textId="77777777" w:rsidR="00DD4FD8" w:rsidRPr="005B1CCB" w:rsidRDefault="00DD4FD8" w:rsidP="00A36348">
            <w:pPr>
              <w:jc w:val="center"/>
              <w:rPr>
                <w:rFonts w:ascii="Palatino Linotype" w:hAnsi="Palatino Linotype" w:cs="Times New Roman"/>
                <w:b/>
              </w:rPr>
            </w:pPr>
            <w:r w:rsidRPr="005B1CCB">
              <w:rPr>
                <w:rFonts w:ascii="Palatino Linotype" w:hAnsi="Palatino Linotype" w:cs="Times New Roman"/>
                <w:b/>
              </w:rPr>
              <w:t>Synthetic Oligonucleotide sequence (</w:t>
            </w:r>
            <w:r w:rsidR="00A36348" w:rsidRPr="005B1CCB">
              <w:rPr>
                <w:rFonts w:ascii="Palatino Linotype" w:hAnsi="Palatino Linotype" w:cs="Times New Roman"/>
                <w:b/>
              </w:rPr>
              <w:t>w</w:t>
            </w:r>
            <w:r w:rsidRPr="005B1CCB">
              <w:rPr>
                <w:rFonts w:ascii="Palatino Linotype" w:hAnsi="Palatino Linotype" w:cs="Times New Roman"/>
                <w:b/>
              </w:rPr>
              <w:t>ild</w:t>
            </w:r>
            <w:r w:rsidR="005F65D9" w:rsidRPr="005B1CCB">
              <w:rPr>
                <w:rFonts w:ascii="Palatino Linotype" w:hAnsi="Palatino Linotype" w:cs="Times New Roman"/>
                <w:b/>
              </w:rPr>
              <w:t>-</w:t>
            </w:r>
            <w:r w:rsidRPr="005B1CCB">
              <w:rPr>
                <w:rFonts w:ascii="Palatino Linotype" w:hAnsi="Palatino Linotype" w:cs="Times New Roman"/>
                <w:b/>
              </w:rPr>
              <w:t>type probe)</w:t>
            </w:r>
          </w:p>
        </w:tc>
        <w:tc>
          <w:tcPr>
            <w:tcW w:w="5529" w:type="dxa"/>
          </w:tcPr>
          <w:p w14:paraId="44106156"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b/>
              </w:rPr>
              <w:t>ATGACTGAATATAAACTTGTGGTAGTTGGAGCTG</w:t>
            </w:r>
            <w:r w:rsidRPr="005B1CCB">
              <w:rPr>
                <w:rFonts w:ascii="Palatino Linotype" w:hAnsi="Palatino Linotype"/>
                <w:b/>
                <w:color w:val="00B050"/>
                <w:u w:val="single"/>
              </w:rPr>
              <w:t>G</w:t>
            </w:r>
            <w:r w:rsidRPr="005B1CCB">
              <w:rPr>
                <w:rFonts w:ascii="Palatino Linotype" w:hAnsi="Palatino Linotype"/>
                <w:b/>
              </w:rPr>
              <w:t>TGGCGTAGGCAAGAGTGCCTTGACGATACAGCTAATTCAGAATCATTTTGTGGACGAATATGATCCAACAATAGAGGATTCCTACAGGAAGCAAGTAGTAATTGATGGAGAAACCTGTCTCTTGGATATTCTCGACACAGCAGGT</w:t>
            </w:r>
          </w:p>
        </w:tc>
      </w:tr>
      <w:tr w:rsidR="00DD4FD8" w:rsidRPr="005B1CCB" w14:paraId="6539F623" w14:textId="77777777" w:rsidTr="00E53CD2">
        <w:tc>
          <w:tcPr>
            <w:tcW w:w="2830" w:type="dxa"/>
          </w:tcPr>
          <w:p w14:paraId="2B8C64CE" w14:textId="77777777" w:rsidR="00DD4FD8" w:rsidRPr="005B1CCB" w:rsidRDefault="00DD4FD8" w:rsidP="00A36348">
            <w:pPr>
              <w:jc w:val="center"/>
              <w:rPr>
                <w:rFonts w:ascii="Palatino Linotype" w:hAnsi="Palatino Linotype" w:cs="Times New Roman"/>
                <w:b/>
              </w:rPr>
            </w:pPr>
            <w:r w:rsidRPr="005B1CCB">
              <w:rPr>
                <w:rFonts w:ascii="Palatino Linotype" w:hAnsi="Palatino Linotype" w:cs="Times New Roman"/>
                <w:b/>
              </w:rPr>
              <w:t>Synthetic Oligonucleotide sequence (Complementary wild</w:t>
            </w:r>
            <w:r w:rsidR="00A36348" w:rsidRPr="005B1CCB">
              <w:rPr>
                <w:rFonts w:ascii="Palatino Linotype" w:hAnsi="Palatino Linotype" w:cs="Times New Roman"/>
                <w:b/>
              </w:rPr>
              <w:t>-</w:t>
            </w:r>
            <w:r w:rsidRPr="005B1CCB">
              <w:rPr>
                <w:rFonts w:ascii="Palatino Linotype" w:hAnsi="Palatino Linotype" w:cs="Times New Roman"/>
                <w:b/>
              </w:rPr>
              <w:t>type strand)</w:t>
            </w:r>
          </w:p>
        </w:tc>
        <w:tc>
          <w:tcPr>
            <w:tcW w:w="5529" w:type="dxa"/>
          </w:tcPr>
          <w:p w14:paraId="4403EA22" w14:textId="77777777" w:rsidR="00DD4FD8" w:rsidRPr="005B1CCB" w:rsidRDefault="00DD4FD8" w:rsidP="005B38B6">
            <w:pPr>
              <w:jc w:val="center"/>
              <w:rPr>
                <w:rFonts w:ascii="Palatino Linotype" w:hAnsi="Palatino Linotype"/>
                <w:b/>
              </w:rPr>
            </w:pPr>
            <w:r w:rsidRPr="005B1CCB">
              <w:rPr>
                <w:rFonts w:ascii="Palatino Linotype" w:hAnsi="Palatino Linotype"/>
                <w:b/>
              </w:rPr>
              <w:t>ACCTGCTGTGTCGAGAATATCCAAGAGACAGGTTTCTCCATCAATTACTACTTGCTTCCTGTAGGAATCCTCTATTGTTGGATCATATTCGTCCACAAAATGATTCTGAATTAGCTGTATCGTCAAGGCACTCTTGCCTACGCCACCAGCTCCAACTACCACAAGTTTATATTCAGTCAT</w:t>
            </w:r>
          </w:p>
        </w:tc>
      </w:tr>
      <w:tr w:rsidR="00DD4FD8" w:rsidRPr="005B1CCB" w14:paraId="7D386DE7" w14:textId="77777777" w:rsidTr="00E53CD2">
        <w:tc>
          <w:tcPr>
            <w:tcW w:w="2830" w:type="dxa"/>
          </w:tcPr>
          <w:p w14:paraId="7BA48A1B"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Synthetic Oligonucleotide sequence (Mutant probe)</w:t>
            </w:r>
          </w:p>
        </w:tc>
        <w:tc>
          <w:tcPr>
            <w:tcW w:w="5529" w:type="dxa"/>
          </w:tcPr>
          <w:p w14:paraId="72533580"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b/>
              </w:rPr>
              <w:t>ATGACTGAATATAAACTTGTGATAGTTGGAGCTG</w:t>
            </w:r>
            <w:r w:rsidRPr="005B1CCB">
              <w:rPr>
                <w:rFonts w:ascii="Palatino Linotype" w:hAnsi="Palatino Linotype"/>
                <w:b/>
                <w:color w:val="FF0000"/>
                <w:u w:val="single"/>
              </w:rPr>
              <w:t>A</w:t>
            </w:r>
            <w:r w:rsidRPr="005B1CCB">
              <w:rPr>
                <w:rFonts w:ascii="Palatino Linotype" w:hAnsi="Palatino Linotype"/>
                <w:b/>
              </w:rPr>
              <w:t>TGGCGTAGGCAAGAGTGCCTTGACGATACAGCTAATTCAGAATCATTTTGTGGACGAATATGATCCAACAATAGAGGATTCCTACAGGAAGCAAGTAGTAATTGATGGAGAAACCTGTCTCTTGGATATTCTCGACACAGCAGGT</w:t>
            </w:r>
          </w:p>
        </w:tc>
      </w:tr>
      <w:tr w:rsidR="00DD4FD8" w:rsidRPr="005B1CCB" w14:paraId="0009CF17" w14:textId="77777777" w:rsidTr="00E53CD2">
        <w:tc>
          <w:tcPr>
            <w:tcW w:w="2830" w:type="dxa"/>
          </w:tcPr>
          <w:p w14:paraId="78DD213D"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cs="Times New Roman"/>
                <w:b/>
              </w:rPr>
              <w:t>Synthetic Oligonucleotide sequence (Complementary mutant strand)</w:t>
            </w:r>
          </w:p>
        </w:tc>
        <w:tc>
          <w:tcPr>
            <w:tcW w:w="5529" w:type="dxa"/>
          </w:tcPr>
          <w:p w14:paraId="565117C5" w14:textId="77777777" w:rsidR="00DD4FD8" w:rsidRPr="005B1CCB" w:rsidRDefault="00DD4FD8" w:rsidP="005B38B6">
            <w:pPr>
              <w:jc w:val="center"/>
              <w:rPr>
                <w:rFonts w:ascii="Palatino Linotype" w:hAnsi="Palatino Linotype" w:cs="Times New Roman"/>
                <w:b/>
              </w:rPr>
            </w:pPr>
            <w:r w:rsidRPr="005B1CCB">
              <w:rPr>
                <w:rFonts w:ascii="Palatino Linotype" w:hAnsi="Palatino Linotype"/>
                <w:b/>
              </w:rPr>
              <w:t>ACCTGCTGTGTCGAGAATATCCAAGAGACAGGTTTCTCCATCAATTACTACTTGCTTCCTGTAGGAATCCTCTATTGTTGGATCATATTCGTCCACAAAATGATTCTGAATTAGCTGTATCGTCAAGGCACTCTTGCCTACGCCATCAGCTCCAACTATCACAAGTTTATATTCAGTCAT</w:t>
            </w:r>
          </w:p>
        </w:tc>
      </w:tr>
    </w:tbl>
    <w:p w14:paraId="135A55C3" w14:textId="3F2A434E" w:rsidR="000B58AE" w:rsidRDefault="000B58AE" w:rsidP="00E53CD2">
      <w:pPr>
        <w:spacing w:line="360" w:lineRule="auto"/>
        <w:rPr>
          <w:rFonts w:ascii="Palatino Linotype" w:hAnsi="Palatino Linotype" w:cs="Times New Roman"/>
          <w:sz w:val="24"/>
          <w:szCs w:val="24"/>
        </w:rPr>
      </w:pPr>
    </w:p>
    <w:p w14:paraId="5364D197" w14:textId="5DC967EB" w:rsidR="00CD7488" w:rsidRDefault="00CD7488" w:rsidP="00E53CD2">
      <w:pPr>
        <w:spacing w:line="360" w:lineRule="auto"/>
        <w:rPr>
          <w:rFonts w:ascii="Palatino Linotype" w:hAnsi="Palatino Linotype" w:cs="Times New Roman"/>
          <w:sz w:val="24"/>
          <w:szCs w:val="24"/>
        </w:rPr>
      </w:pPr>
    </w:p>
    <w:p w14:paraId="12A488F3" w14:textId="4D9D1B20" w:rsidR="00CD7488" w:rsidRDefault="00CD7488" w:rsidP="00E53CD2">
      <w:pPr>
        <w:spacing w:line="360" w:lineRule="auto"/>
        <w:rPr>
          <w:rFonts w:ascii="Palatino Linotype" w:hAnsi="Palatino Linotype" w:cs="Times New Roman"/>
          <w:sz w:val="24"/>
          <w:szCs w:val="24"/>
        </w:rPr>
      </w:pPr>
    </w:p>
    <w:p w14:paraId="1F267584" w14:textId="77777777" w:rsidR="00CD7488" w:rsidRPr="005B1CCB" w:rsidRDefault="00CD7488" w:rsidP="00E53CD2">
      <w:pPr>
        <w:spacing w:line="360" w:lineRule="auto"/>
        <w:rPr>
          <w:rFonts w:ascii="Palatino Linotype" w:hAnsi="Palatino Linotype" w:cs="Times New Roman"/>
          <w:sz w:val="24"/>
          <w:szCs w:val="24"/>
        </w:rPr>
      </w:pPr>
    </w:p>
    <w:p w14:paraId="0B98DA5C" w14:textId="77777777" w:rsidR="001D2D94" w:rsidRPr="005B1CCB" w:rsidRDefault="001D2D94" w:rsidP="00D71969">
      <w:pPr>
        <w:pStyle w:val="Heading3"/>
      </w:pPr>
      <w:bookmarkStart w:id="128" w:name="_Toc84528104"/>
      <w:r w:rsidRPr="005B1CCB">
        <w:t>KRAS G12D Amplification</w:t>
      </w:r>
      <w:bookmarkEnd w:id="128"/>
    </w:p>
    <w:p w14:paraId="01FDA541" w14:textId="7F37EB1E" w:rsidR="00805E05" w:rsidRPr="005B1CCB" w:rsidRDefault="00A36348" w:rsidP="00805E05">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805E05" w:rsidRPr="005B1CCB">
        <w:rPr>
          <w:rFonts w:ascii="Palatino Linotype" w:hAnsi="Palatino Linotype" w:cs="Times New Roman"/>
          <w:sz w:val="24"/>
          <w:szCs w:val="24"/>
        </w:rPr>
        <w:t xml:space="preserve">Primer BLAST software was used to design the PCR primers employed in this study. </w:t>
      </w:r>
      <w:r w:rsidR="00950040" w:rsidRPr="00C55295">
        <w:rPr>
          <w:rFonts w:ascii="Palatino Linotype" w:hAnsi="Palatino Linotype" w:cs="Times New Roman"/>
          <w:sz w:val="24"/>
          <w:szCs w:val="24"/>
        </w:rPr>
        <w:t xml:space="preserve">Many primers were optimised to obtain specific identification for this target, and eventually the primers specified in </w:t>
      </w:r>
      <w:r w:rsidR="00647637" w:rsidRPr="00C55295">
        <w:rPr>
          <w:rFonts w:ascii="Palatino Linotype" w:hAnsi="Palatino Linotype" w:cs="Times New Roman"/>
          <w:sz w:val="24"/>
          <w:szCs w:val="24"/>
        </w:rPr>
        <w:t>T</w:t>
      </w:r>
      <w:r w:rsidR="00950040" w:rsidRPr="00C55295">
        <w:rPr>
          <w:rFonts w:ascii="Palatino Linotype" w:hAnsi="Palatino Linotype" w:cs="Times New Roman"/>
          <w:sz w:val="24"/>
          <w:szCs w:val="24"/>
        </w:rPr>
        <w:t>able</w:t>
      </w:r>
      <w:r w:rsidR="00647637" w:rsidRPr="00C55295">
        <w:rPr>
          <w:rFonts w:ascii="Palatino Linotype" w:hAnsi="Palatino Linotype" w:cs="Times New Roman"/>
          <w:sz w:val="24"/>
          <w:szCs w:val="24"/>
        </w:rPr>
        <w:t xml:space="preserve"> </w:t>
      </w:r>
      <w:r w:rsidR="00CD7488">
        <w:rPr>
          <w:rFonts w:ascii="Palatino Linotype" w:hAnsi="Palatino Linotype" w:cs="Times New Roman"/>
          <w:sz w:val="24"/>
          <w:szCs w:val="24"/>
        </w:rPr>
        <w:t>12</w:t>
      </w:r>
      <w:r w:rsidR="00CD7488" w:rsidRPr="00C55295">
        <w:rPr>
          <w:rFonts w:ascii="Palatino Linotype" w:hAnsi="Palatino Linotype" w:cs="Times New Roman"/>
          <w:sz w:val="24"/>
          <w:szCs w:val="24"/>
        </w:rPr>
        <w:t xml:space="preserve"> </w:t>
      </w:r>
      <w:r w:rsidR="00950040" w:rsidRPr="00C55295">
        <w:rPr>
          <w:rFonts w:ascii="Palatino Linotype" w:hAnsi="Palatino Linotype" w:cs="Times New Roman"/>
          <w:sz w:val="24"/>
          <w:szCs w:val="24"/>
        </w:rPr>
        <w:t>were used</w:t>
      </w:r>
      <w:r w:rsidR="00950040" w:rsidRPr="005B1CCB">
        <w:rPr>
          <w:rFonts w:ascii="Palatino Linotype" w:hAnsi="Palatino Linotype" w:cs="Times New Roman"/>
          <w:sz w:val="24"/>
          <w:szCs w:val="24"/>
        </w:rPr>
        <w:t xml:space="preserve">. </w:t>
      </w:r>
      <w:r w:rsidR="00805E05" w:rsidRPr="005B1CCB">
        <w:rPr>
          <w:rFonts w:ascii="Palatino Linotype" w:hAnsi="Palatino Linotype" w:cs="Times New Roman"/>
          <w:sz w:val="24"/>
          <w:szCs w:val="24"/>
        </w:rPr>
        <w:t>The forward primers had a GC content of 55 % while the reverse primer had a GC content of 39.13 % with an estimated product length of 88. The self-complementarity of the primers used for the PCR amplification were</w:t>
      </w:r>
      <w:r w:rsidR="009225B1" w:rsidRPr="005B1CCB">
        <w:rPr>
          <w:rFonts w:ascii="Palatino Linotype" w:hAnsi="Palatino Linotype" w:cs="Times New Roman"/>
          <w:sz w:val="24"/>
          <w:szCs w:val="24"/>
        </w:rPr>
        <w:t xml:space="preserve"> scored as</w:t>
      </w:r>
      <w:r w:rsidR="00805E05" w:rsidRPr="005B1CCB">
        <w:rPr>
          <w:rFonts w:ascii="Palatino Linotype" w:hAnsi="Palatino Linotype" w:cs="Times New Roman"/>
          <w:sz w:val="24"/>
          <w:szCs w:val="24"/>
        </w:rPr>
        <w:t xml:space="preserve"> 4.00 and below, ensuring that the primers would not bind to themselves.</w:t>
      </w:r>
      <w:r w:rsidR="006C2B1F" w:rsidRPr="005B1CCB">
        <w:rPr>
          <w:rFonts w:ascii="Palatino Linotype" w:hAnsi="Palatino Linotype" w:cs="Times New Roman"/>
          <w:sz w:val="24"/>
          <w:szCs w:val="24"/>
        </w:rPr>
        <w:t xml:space="preserve"> </w:t>
      </w:r>
    </w:p>
    <w:p w14:paraId="7AB967E0" w14:textId="0AD19001" w:rsidR="00F70002" w:rsidRPr="005B1CCB" w:rsidRDefault="00F70002"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b/>
          <w:sz w:val="24"/>
          <w:szCs w:val="24"/>
        </w:rPr>
        <w:t>PCR</w:t>
      </w:r>
      <w:r w:rsidRPr="005B1CCB">
        <w:rPr>
          <w:rFonts w:ascii="Palatino Linotype" w:hAnsi="Palatino Linotype" w:cs="Times New Roman"/>
          <w:sz w:val="24"/>
          <w:szCs w:val="24"/>
        </w:rPr>
        <w:t>:</w:t>
      </w:r>
      <w:r w:rsidR="00CD33CD" w:rsidRPr="005B1CCB">
        <w:rPr>
          <w:rFonts w:ascii="Palatino Linotype" w:eastAsia="Times New Roman" w:hAnsi="Palatino Linotype" w:cs="Times New Roman"/>
          <w:snapToGrid w:val="0"/>
          <w:color w:val="000000"/>
          <w:sz w:val="20"/>
          <w:lang w:eastAsia="de-DE" w:bidi="en-US"/>
        </w:rPr>
        <w:t xml:space="preserve"> </w:t>
      </w:r>
      <w:r w:rsidR="00CD33CD" w:rsidRPr="005B1CCB">
        <w:rPr>
          <w:rFonts w:ascii="Palatino Linotype" w:hAnsi="Palatino Linotype" w:cs="Times New Roman"/>
          <w:sz w:val="24"/>
          <w:szCs w:val="24"/>
        </w:rPr>
        <w:t xml:space="preserve">For standard PCR amplification, samples of extracted </w:t>
      </w:r>
      <w:r w:rsidR="008D2FCC" w:rsidRPr="005B1CCB">
        <w:rPr>
          <w:rFonts w:ascii="Palatino Linotype" w:hAnsi="Palatino Linotype" w:cs="Times New Roman"/>
          <w:sz w:val="24"/>
          <w:szCs w:val="24"/>
        </w:rPr>
        <w:t>wild</w:t>
      </w:r>
      <w:r w:rsidR="008D2FCC">
        <w:rPr>
          <w:rFonts w:ascii="Palatino Linotype" w:hAnsi="Palatino Linotype" w:cs="Times New Roman"/>
          <w:sz w:val="24"/>
          <w:szCs w:val="24"/>
        </w:rPr>
        <w:t>-</w:t>
      </w:r>
      <w:r w:rsidR="00CD33CD" w:rsidRPr="005B1CCB">
        <w:rPr>
          <w:rFonts w:ascii="Palatino Linotype" w:hAnsi="Palatino Linotype" w:cs="Times New Roman"/>
          <w:sz w:val="24"/>
          <w:szCs w:val="24"/>
        </w:rPr>
        <w:t xml:space="preserve">type and KRAS G12D mutated DNA were amplified using the HotStar Taq plus DNA polymerase with 10×PCR Buffer, dNTP mix, Q-solution, and primer solutions (Qiagen, UK). Template DNA (≤1 μg/100 μl reaction) was added to individual PCR tubes containing the pre-prepared reaction mix and the thermal cycler was programmed to start with an initial heat-activation step at 95 °C for 5 minutes. Temperature specifications for denaturing, annealing, and extending were set at 1 minute for 94 </w:t>
      </w:r>
      <w:r w:rsidR="00CD33CD" w:rsidRPr="005B1CCB">
        <w:rPr>
          <w:rFonts w:ascii="Times New Roman" w:hAnsi="Times New Roman" w:cs="Times New Roman"/>
          <w:sz w:val="24"/>
          <w:szCs w:val="24"/>
        </w:rPr>
        <w:t>ᴼ</w:t>
      </w:r>
      <w:r w:rsidR="00CD33CD" w:rsidRPr="005B1CCB">
        <w:rPr>
          <w:rFonts w:ascii="Palatino Linotype" w:hAnsi="Palatino Linotype" w:cs="Times New Roman"/>
          <w:sz w:val="24"/>
          <w:szCs w:val="24"/>
        </w:rPr>
        <w:t xml:space="preserve">C, 65 </w:t>
      </w:r>
      <w:r w:rsidR="00CD33CD" w:rsidRPr="005B1CCB">
        <w:rPr>
          <w:rFonts w:ascii="Times New Roman" w:hAnsi="Times New Roman" w:cs="Times New Roman"/>
          <w:sz w:val="24"/>
          <w:szCs w:val="24"/>
        </w:rPr>
        <w:t>ᴼ</w:t>
      </w:r>
      <w:r w:rsidR="00CD33CD" w:rsidRPr="005B1CCB">
        <w:rPr>
          <w:rFonts w:ascii="Palatino Linotype" w:hAnsi="Palatino Linotype" w:cs="Times New Roman"/>
          <w:sz w:val="24"/>
          <w:szCs w:val="24"/>
        </w:rPr>
        <w:t xml:space="preserve">C, and 72 </w:t>
      </w:r>
      <w:r w:rsidR="00CD33CD" w:rsidRPr="005B1CCB">
        <w:rPr>
          <w:rFonts w:ascii="Times New Roman" w:hAnsi="Times New Roman" w:cs="Times New Roman"/>
          <w:sz w:val="24"/>
          <w:szCs w:val="24"/>
        </w:rPr>
        <w:t>ᴼ</w:t>
      </w:r>
      <w:r w:rsidR="00CD33CD" w:rsidRPr="005B1CCB">
        <w:rPr>
          <w:rFonts w:ascii="Palatino Linotype" w:hAnsi="Palatino Linotype" w:cs="Times New Roman"/>
          <w:sz w:val="24"/>
          <w:szCs w:val="24"/>
        </w:rPr>
        <w:t xml:space="preserve">C respectively. A final extension for 10 minutes at 72 </w:t>
      </w:r>
      <w:r w:rsidR="00CD33CD" w:rsidRPr="005B1CCB">
        <w:rPr>
          <w:rFonts w:ascii="Times New Roman" w:hAnsi="Times New Roman" w:cs="Times New Roman"/>
          <w:sz w:val="24"/>
          <w:szCs w:val="24"/>
        </w:rPr>
        <w:t>ᴼ</w:t>
      </w:r>
      <w:r w:rsidR="00CD33CD" w:rsidRPr="005B1CCB">
        <w:rPr>
          <w:rFonts w:ascii="Palatino Linotype" w:hAnsi="Palatino Linotype" w:cs="Times New Roman"/>
          <w:sz w:val="24"/>
          <w:szCs w:val="24"/>
        </w:rPr>
        <w:t>C was set and PCR conditions were systematically varied by employing cycle numbers of 20, 25, and 30. PCR amplification of wild</w:t>
      </w:r>
      <w:r w:rsidR="00F0636D" w:rsidRPr="005B1CCB">
        <w:rPr>
          <w:rFonts w:ascii="Palatino Linotype" w:hAnsi="Palatino Linotype" w:cs="Times New Roman"/>
          <w:sz w:val="24"/>
          <w:szCs w:val="24"/>
        </w:rPr>
        <w:t>-</w:t>
      </w:r>
      <w:r w:rsidR="00CD33CD" w:rsidRPr="005B1CCB">
        <w:rPr>
          <w:rFonts w:ascii="Palatino Linotype" w:hAnsi="Palatino Linotype" w:cs="Times New Roman"/>
          <w:sz w:val="24"/>
          <w:szCs w:val="24"/>
        </w:rPr>
        <w:t>type and KRAS G12D samples was performed using the mini</w:t>
      </w:r>
      <w:r w:rsidR="00BE13D9" w:rsidRPr="005B1CCB">
        <w:rPr>
          <w:rFonts w:ascii="Palatino Linotype" w:hAnsi="Palatino Linotype" w:cs="Times New Roman"/>
          <w:sz w:val="24"/>
          <w:szCs w:val="24"/>
        </w:rPr>
        <w:t>-PCR</w:t>
      </w:r>
      <w:r w:rsidR="00CD33CD" w:rsidRPr="005B1CCB">
        <w:rPr>
          <w:rFonts w:ascii="Palatino Linotype" w:hAnsi="Palatino Linotype" w:cs="Times New Roman"/>
          <w:sz w:val="24"/>
          <w:szCs w:val="24"/>
        </w:rPr>
        <w:t xml:space="preserve"> thermal cycler and amplicons were characterised using the mini</w:t>
      </w:r>
      <w:r w:rsidR="00BE13D9" w:rsidRPr="005B1CCB">
        <w:rPr>
          <w:rFonts w:ascii="Palatino Linotype" w:hAnsi="Palatino Linotype" w:cs="Times New Roman"/>
          <w:sz w:val="24"/>
          <w:szCs w:val="24"/>
        </w:rPr>
        <w:t>-PCR</w:t>
      </w:r>
      <w:r w:rsidR="003D72B2" w:rsidRPr="005B1CCB">
        <w:rPr>
          <w:rFonts w:ascii="Palatino Linotype" w:hAnsi="Palatino Linotype" w:cs="Times New Roman"/>
          <w:sz w:val="24"/>
          <w:szCs w:val="24"/>
        </w:rPr>
        <w:t xml:space="preserve"> blueGel Analy</w:t>
      </w:r>
      <w:r w:rsidR="00C41BD2">
        <w:rPr>
          <w:rFonts w:ascii="Palatino Linotype" w:hAnsi="Palatino Linotype" w:cs="Times New Roman"/>
          <w:sz w:val="24"/>
          <w:szCs w:val="24"/>
        </w:rPr>
        <w:t>s</w:t>
      </w:r>
      <w:r w:rsidR="003D72B2" w:rsidRPr="005B1CCB">
        <w:rPr>
          <w:rFonts w:ascii="Palatino Linotype" w:hAnsi="Palatino Linotype" w:cs="Times New Roman"/>
          <w:sz w:val="24"/>
          <w:szCs w:val="24"/>
        </w:rPr>
        <w:t xml:space="preserve">er with 1 </w:t>
      </w:r>
      <w:r w:rsidR="00CD33CD" w:rsidRPr="005B1CCB">
        <w:rPr>
          <w:rFonts w:ascii="Palatino Linotype" w:hAnsi="Palatino Linotype" w:cs="Times New Roman"/>
          <w:sz w:val="24"/>
          <w:szCs w:val="24"/>
        </w:rPr>
        <w:t xml:space="preserve">% agarose gel electrophoresis at 140 V for 40 minutes </w:t>
      </w:r>
      <w:r w:rsidR="00630A04"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minipcr.com/","accessed":{"date-parts":[["2019","10","7"]]},"author":[{"dropping-particle":"","family":"Amplyus","given":"","non-dropping-particle":"","parse-names":false,"suffix":""}],"id":"ITEM-1","issued":{"date-parts":[["2017"]]},"title":"bluegel-electrophoresis","type":"webpage"},"uris":["http://www.mendeley.com/documents/?uuid=10579040-c81a-4c66-a7cf-330444ee6768"]}],"mendeley":{"formattedCitation":"[196]","plainTextFormattedCitation":"[196]","previouslyFormattedCitation":"[196]"},"properties":{"noteIndex":0},"schema":"https://github.com/citation-style-language/schema/raw/master/csl-citation.json"}</w:instrText>
      </w:r>
      <w:r w:rsidR="00630A04"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[196]</w:t>
      </w:r>
      <w:r w:rsidR="00630A04" w:rsidRPr="005B1CCB">
        <w:rPr>
          <w:rFonts w:ascii="Palatino Linotype" w:hAnsi="Palatino Linotype" w:cs="Times New Roman"/>
          <w:sz w:val="24"/>
          <w:szCs w:val="24"/>
        </w:rPr>
        <w:fldChar w:fldCharType="end"/>
      </w:r>
      <w:r w:rsidR="00630A04" w:rsidRPr="005B1CCB">
        <w:rPr>
          <w:rFonts w:ascii="Palatino Linotype" w:hAnsi="Palatino Linotype" w:cs="Times New Roman"/>
          <w:sz w:val="24"/>
          <w:szCs w:val="24"/>
        </w:rPr>
        <w:t>.</w:t>
      </w:r>
    </w:p>
    <w:p w14:paraId="35D2EC0A" w14:textId="77777777" w:rsidR="00182BCE" w:rsidRPr="005B1CCB" w:rsidRDefault="00182BCE" w:rsidP="0052183A">
      <w:pPr>
        <w:spacing w:line="360" w:lineRule="auto"/>
        <w:jc w:val="both"/>
        <w:rPr>
          <w:rFonts w:ascii="Palatino Linotype" w:hAnsi="Palatino Linotype" w:cs="Times New Roman"/>
          <w:sz w:val="24"/>
          <w:szCs w:val="24"/>
        </w:rPr>
      </w:pPr>
    </w:p>
    <w:p w14:paraId="77B6171E" w14:textId="77777777" w:rsidR="00C929F6" w:rsidRPr="005B1CCB" w:rsidRDefault="00C929F6" w:rsidP="00D71969">
      <w:pPr>
        <w:pStyle w:val="Heading3"/>
      </w:pPr>
      <w:bookmarkStart w:id="129" w:name="_Toc84528105"/>
      <w:r w:rsidRPr="005B1CCB">
        <w:t>Electrochemical Measurements and Surface Functionalisation</w:t>
      </w:r>
      <w:bookmarkEnd w:id="129"/>
    </w:p>
    <w:p w14:paraId="1FA1D1C9" w14:textId="248E3202" w:rsidR="00C929F6" w:rsidRPr="005B1CCB" w:rsidRDefault="00C929F6" w:rsidP="00C929F6">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Pr="00C55295">
        <w:rPr>
          <w:rFonts w:ascii="Palatino Linotype" w:hAnsi="Palatino Linotype"/>
          <w:sz w:val="24"/>
          <w:szCs w:val="24"/>
        </w:rPr>
        <w:t>DNA hybridisation experiments were performed using a covalently attached layer of single stranded DNA probes</w:t>
      </w:r>
      <w:r w:rsidRPr="005B1CCB">
        <w:rPr>
          <w:rFonts w:ascii="Palatino Linotype" w:hAnsi="Palatino Linotype"/>
          <w:sz w:val="24"/>
          <w:szCs w:val="24"/>
        </w:rPr>
        <w:t xml:space="preserve">.  The surface functionalisation protocol is illustrated in </w:t>
      </w:r>
      <w:r w:rsidR="00797B21" w:rsidRPr="005B1CCB">
        <w:rPr>
          <w:rFonts w:ascii="Palatino Linotype" w:hAnsi="Palatino Linotype"/>
          <w:sz w:val="24"/>
          <w:szCs w:val="24"/>
        </w:rPr>
        <w:t>F</w:t>
      </w:r>
      <w:r w:rsidRPr="005B1CCB">
        <w:rPr>
          <w:rFonts w:ascii="Palatino Linotype" w:hAnsi="Palatino Linotype"/>
          <w:sz w:val="24"/>
          <w:szCs w:val="24"/>
        </w:rPr>
        <w:t xml:space="preserve">igure </w:t>
      </w:r>
      <w:r w:rsidR="00705A61" w:rsidRPr="005B1CCB">
        <w:rPr>
          <w:rFonts w:ascii="Palatino Linotype" w:hAnsi="Palatino Linotype"/>
          <w:sz w:val="24"/>
          <w:szCs w:val="24"/>
        </w:rPr>
        <w:t>9</w:t>
      </w:r>
      <w:r w:rsidRPr="005B1CCB">
        <w:rPr>
          <w:rFonts w:ascii="Palatino Linotype" w:hAnsi="Palatino Linotype"/>
          <w:sz w:val="24"/>
          <w:szCs w:val="24"/>
        </w:rPr>
        <w:t>. To prepare the surface of the carbon electrodes for DNA probe attachment it was necessary to first use a surface pre-treatment by applying 1.4 V for 1 min in 0.5 M acetate buffer solution (ABS) containing 20 mM NaCl 8 (pH 4.8) via CV. Next, 2 mM NaNO</w:t>
      </w:r>
      <w:r w:rsidRPr="005B1CCB">
        <w:rPr>
          <w:rFonts w:ascii="Palatino Linotype" w:hAnsi="Palatino Linotype"/>
          <w:sz w:val="24"/>
          <w:szCs w:val="24"/>
          <w:vertAlign w:val="subscript"/>
        </w:rPr>
        <w:t>2</w:t>
      </w:r>
      <w:r w:rsidRPr="005B1CCB">
        <w:rPr>
          <w:rFonts w:ascii="Palatino Linotype" w:hAnsi="Palatino Linotype"/>
          <w:sz w:val="24"/>
          <w:szCs w:val="24"/>
        </w:rPr>
        <w:t xml:space="preserve"> solution with 2 mM 4-aminobenzoic acid was prepared in 0.5 M HCl and stirred for about 5 mins at room temperature to produce a diazonium compound. The activated diazonium solution was then scanned using CV from +0.4 to -0.6 V at a scan rate of 100mV/s followed by a wash with DI water.  The resulting 4-carboxyphenyl (AP) film was activated on the electrode surface with 100 mM EDC and 20 mM NHS in 100 mM MES buffer (pH 5.0) for 60 minutes to form an ester that allowed for efficient conjugation to the amine-modified ssDNA probe. Ferricyanide buffer (5</w:t>
      </w:r>
      <w:r w:rsidR="00C41BD2">
        <w:rPr>
          <w:rFonts w:ascii="Palatino Linotype" w:hAnsi="Palatino Linotype"/>
          <w:sz w:val="24"/>
          <w:szCs w:val="24"/>
        </w:rPr>
        <w:t xml:space="preserve"> </w:t>
      </w:r>
      <w:r w:rsidRPr="005B1CCB">
        <w:rPr>
          <w:rFonts w:ascii="Palatino Linotype" w:hAnsi="Palatino Linotype"/>
          <w:sz w:val="24"/>
          <w:szCs w:val="24"/>
        </w:rPr>
        <w:t>µM) was used to characterise the sensor surface. Unless specifically stated, all the reported steps and measurements were carried out at room temperature.</w:t>
      </w:r>
    </w:p>
    <w:p w14:paraId="1DF9D77A" w14:textId="77777777" w:rsidR="00CB18A1" w:rsidRPr="005B1CCB" w:rsidRDefault="00CB18A1" w:rsidP="00C929F6">
      <w:pPr>
        <w:spacing w:line="360" w:lineRule="auto"/>
        <w:jc w:val="both"/>
        <w:rPr>
          <w:rFonts w:ascii="Palatino Linotype" w:hAnsi="Palatino Linotype"/>
          <w:sz w:val="24"/>
          <w:szCs w:val="24"/>
        </w:rPr>
      </w:pPr>
    </w:p>
    <w:p w14:paraId="14CC136D" w14:textId="77777777" w:rsidR="00AC0F27" w:rsidRPr="005B1CCB" w:rsidRDefault="00CB18A1" w:rsidP="00CB18A1">
      <w:pPr>
        <w:pStyle w:val="Heading3"/>
      </w:pPr>
      <w:bookmarkStart w:id="130" w:name="_Toc84528106"/>
      <w:r w:rsidRPr="005B1CCB">
        <w:t>Work-flow</w:t>
      </w:r>
      <w:bookmarkEnd w:id="130"/>
      <w:r w:rsidRPr="005B1CCB">
        <w:t xml:space="preserve"> </w:t>
      </w:r>
    </w:p>
    <w:p w14:paraId="74120799" w14:textId="77777777" w:rsidR="00CA3640" w:rsidRPr="005B1CCB" w:rsidRDefault="00CA3640" w:rsidP="00CA3640">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The multi-SPCEs were pre-treated using </w:t>
      </w:r>
      <w:r w:rsidR="00CE29E9" w:rsidRPr="005B1CCB">
        <w:rPr>
          <w:rFonts w:ascii="Palatino Linotype" w:hAnsi="Palatino Linotype"/>
          <w:sz w:val="24"/>
          <w:szCs w:val="24"/>
          <w:lang w:bidi="en-US"/>
        </w:rPr>
        <w:t>two different pre-treatment methods (</w:t>
      </w:r>
      <w:r w:rsidRPr="005B1CCB">
        <w:rPr>
          <w:rFonts w:ascii="Palatino Linotype" w:hAnsi="Palatino Linotype"/>
          <w:sz w:val="24"/>
          <w:szCs w:val="24"/>
          <w:lang w:bidi="en-US"/>
        </w:rPr>
        <w:t>20 mM NaCl and 3 M NaOH</w:t>
      </w:r>
      <w:r w:rsidR="00CE29E9" w:rsidRPr="005B1CCB">
        <w:rPr>
          <w:rFonts w:ascii="Palatino Linotype" w:hAnsi="Palatino Linotype"/>
          <w:sz w:val="24"/>
          <w:szCs w:val="24"/>
          <w:lang w:bidi="en-US"/>
        </w:rPr>
        <w:t>)</w:t>
      </w:r>
      <w:r w:rsidRPr="005B1CCB">
        <w:rPr>
          <w:rFonts w:ascii="Palatino Linotype" w:hAnsi="Palatino Linotype"/>
          <w:sz w:val="24"/>
          <w:szCs w:val="24"/>
          <w:lang w:bidi="en-US"/>
        </w:rPr>
        <w:t xml:space="preserve"> using specifications stated in section 3.2.6.  Initial SPCE surface characterisation </w:t>
      </w:r>
      <w:r w:rsidR="00CE29E9" w:rsidRPr="005B1CCB">
        <w:rPr>
          <w:rFonts w:ascii="Palatino Linotype" w:hAnsi="Palatino Linotype"/>
          <w:sz w:val="24"/>
          <w:szCs w:val="24"/>
          <w:lang w:bidi="en-US"/>
        </w:rPr>
        <w:t xml:space="preserve">on bare SPCE, and pre-treated SPCE </w:t>
      </w:r>
      <w:r w:rsidRPr="005B1CCB">
        <w:rPr>
          <w:rFonts w:ascii="Palatino Linotype" w:hAnsi="Palatino Linotype"/>
          <w:sz w:val="24"/>
          <w:szCs w:val="24"/>
          <w:lang w:bidi="en-US"/>
        </w:rPr>
        <w:t>was done using a scanning electron microscope (</w:t>
      </w:r>
      <w:r w:rsidR="00CB18A1" w:rsidRPr="005B1CCB">
        <w:rPr>
          <w:rFonts w:ascii="Palatino Linotype" w:hAnsi="Palatino Linotype"/>
          <w:sz w:val="24"/>
          <w:szCs w:val="24"/>
          <w:lang w:bidi="en-US"/>
        </w:rPr>
        <w:t>SEM</w:t>
      </w:r>
      <w:r w:rsidRPr="005B1CCB">
        <w:rPr>
          <w:rFonts w:ascii="Palatino Linotype" w:hAnsi="Palatino Linotype"/>
          <w:sz w:val="24"/>
          <w:szCs w:val="24"/>
          <w:lang w:bidi="en-US"/>
        </w:rPr>
        <w:t>).</w:t>
      </w:r>
      <w:r w:rsidR="00CE29E9" w:rsidRPr="005B1CCB">
        <w:rPr>
          <w:rFonts w:ascii="Palatino Linotype" w:hAnsi="Palatino Linotype"/>
          <w:sz w:val="24"/>
          <w:szCs w:val="24"/>
          <w:lang w:bidi="en-US"/>
        </w:rPr>
        <w:t xml:space="preserve"> </w:t>
      </w:r>
      <w:r w:rsidRPr="005B1CCB">
        <w:rPr>
          <w:rFonts w:ascii="Palatino Linotype" w:hAnsi="Palatino Linotype"/>
          <w:sz w:val="24"/>
          <w:szCs w:val="24"/>
          <w:lang w:bidi="en-US"/>
        </w:rPr>
        <w:t xml:space="preserve">Both pre-treatment </w:t>
      </w:r>
      <w:r w:rsidR="00CE29E9" w:rsidRPr="005B1CCB">
        <w:rPr>
          <w:rFonts w:ascii="Palatino Linotype" w:hAnsi="Palatino Linotype"/>
          <w:sz w:val="24"/>
          <w:szCs w:val="24"/>
          <w:lang w:bidi="en-US"/>
        </w:rPr>
        <w:t xml:space="preserve">effects </w:t>
      </w:r>
      <w:r w:rsidRPr="005B1CCB">
        <w:rPr>
          <w:rFonts w:ascii="Palatino Linotype" w:hAnsi="Palatino Linotype"/>
          <w:sz w:val="24"/>
          <w:szCs w:val="24"/>
          <w:lang w:bidi="en-US"/>
        </w:rPr>
        <w:t xml:space="preserve">were </w:t>
      </w:r>
      <w:r w:rsidR="00CE29E9" w:rsidRPr="005B1CCB">
        <w:rPr>
          <w:rFonts w:ascii="Palatino Linotype" w:hAnsi="Palatino Linotype"/>
          <w:sz w:val="24"/>
          <w:szCs w:val="24"/>
          <w:lang w:bidi="en-US"/>
        </w:rPr>
        <w:t xml:space="preserve">then compared using two different redox characterisation buffers (1mM ferri-ferrocyyanide </w:t>
      </w:r>
      <w:r w:rsidR="000734DE" w:rsidRPr="005B1CCB">
        <w:rPr>
          <w:rFonts w:ascii="Palatino Linotype" w:hAnsi="Palatino Linotype"/>
          <w:sz w:val="24"/>
          <w:szCs w:val="24"/>
          <w:lang w:bidi="en-US"/>
        </w:rPr>
        <w:t xml:space="preserve">in 0.1 X PBS </w:t>
      </w:r>
      <w:r w:rsidR="00CE29E9" w:rsidRPr="005B1CCB">
        <w:rPr>
          <w:rFonts w:ascii="Palatino Linotype" w:hAnsi="Palatino Linotype"/>
          <w:sz w:val="24"/>
          <w:szCs w:val="24"/>
          <w:lang w:bidi="en-US"/>
        </w:rPr>
        <w:t>and 1mM ruthenium hexamine</w:t>
      </w:r>
      <w:r w:rsidR="000734DE" w:rsidRPr="005B1CCB">
        <w:rPr>
          <w:rFonts w:ascii="Palatino Linotype" w:hAnsi="Palatino Linotype"/>
          <w:sz w:val="24"/>
          <w:szCs w:val="24"/>
          <w:lang w:bidi="en-US"/>
        </w:rPr>
        <w:t xml:space="preserve"> in 0.1 XPBS</w:t>
      </w:r>
      <w:r w:rsidR="00CE29E9" w:rsidRPr="005B1CCB">
        <w:rPr>
          <w:rFonts w:ascii="Palatino Linotype" w:hAnsi="Palatino Linotype"/>
          <w:sz w:val="24"/>
          <w:szCs w:val="24"/>
          <w:lang w:bidi="en-US"/>
        </w:rPr>
        <w:t>) and the</w:t>
      </w:r>
      <w:r w:rsidR="00353486" w:rsidRPr="005B1CCB">
        <w:rPr>
          <w:rFonts w:ascii="Palatino Linotype" w:hAnsi="Palatino Linotype"/>
          <w:sz w:val="24"/>
          <w:szCs w:val="24"/>
          <w:lang w:bidi="en-US"/>
        </w:rPr>
        <w:t>ir</w:t>
      </w:r>
      <w:r w:rsidR="00CE29E9" w:rsidRPr="005B1CCB">
        <w:rPr>
          <w:rFonts w:ascii="Palatino Linotype" w:hAnsi="Palatino Linotype"/>
          <w:sz w:val="24"/>
          <w:szCs w:val="24"/>
          <w:lang w:bidi="en-US"/>
        </w:rPr>
        <w:t xml:space="preserve"> electrochemical response was recorded using CV</w:t>
      </w:r>
      <w:r w:rsidR="00701DA5" w:rsidRPr="005B1CCB">
        <w:rPr>
          <w:rFonts w:ascii="Palatino Linotype" w:hAnsi="Palatino Linotype"/>
          <w:sz w:val="24"/>
          <w:szCs w:val="24"/>
          <w:lang w:bidi="en-US"/>
        </w:rPr>
        <w:t xml:space="preserve"> measurements. T</w:t>
      </w:r>
      <w:r w:rsidR="000734DE" w:rsidRPr="005B1CCB">
        <w:rPr>
          <w:rFonts w:ascii="Palatino Linotype" w:hAnsi="Palatino Linotype"/>
          <w:sz w:val="24"/>
          <w:szCs w:val="24"/>
          <w:lang w:bidi="en-US"/>
        </w:rPr>
        <w:t xml:space="preserve">he </w:t>
      </w:r>
      <w:r w:rsidR="00701DA5" w:rsidRPr="005B1CCB">
        <w:rPr>
          <w:rFonts w:ascii="Palatino Linotype" w:hAnsi="Palatino Linotype"/>
          <w:sz w:val="24"/>
          <w:szCs w:val="24"/>
          <w:lang w:bidi="en-US"/>
        </w:rPr>
        <w:t>SPCEs</w:t>
      </w:r>
      <w:r w:rsidR="000734DE" w:rsidRPr="005B1CCB">
        <w:rPr>
          <w:rFonts w:ascii="Palatino Linotype" w:hAnsi="Palatino Linotype"/>
          <w:sz w:val="24"/>
          <w:szCs w:val="24"/>
          <w:lang w:bidi="en-US"/>
        </w:rPr>
        <w:t xml:space="preserve"> were functionalised using protocols stated in section 3.2.6 and each functionalisation step was </w:t>
      </w:r>
      <w:r w:rsidR="00701DA5" w:rsidRPr="005B1CCB">
        <w:rPr>
          <w:rFonts w:ascii="Palatino Linotype" w:hAnsi="Palatino Linotype"/>
          <w:sz w:val="24"/>
          <w:szCs w:val="24"/>
          <w:lang w:bidi="en-US"/>
        </w:rPr>
        <w:t xml:space="preserve">further </w:t>
      </w:r>
      <w:r w:rsidR="000734DE" w:rsidRPr="005B1CCB">
        <w:rPr>
          <w:rFonts w:ascii="Palatino Linotype" w:hAnsi="Palatino Linotype"/>
          <w:sz w:val="24"/>
          <w:szCs w:val="24"/>
          <w:lang w:bidi="en-US"/>
        </w:rPr>
        <w:t xml:space="preserve">characterised using </w:t>
      </w:r>
      <w:r w:rsidR="00701DA5" w:rsidRPr="005B1CCB">
        <w:rPr>
          <w:rFonts w:ascii="Palatino Linotype" w:hAnsi="Palatino Linotype"/>
          <w:sz w:val="24"/>
          <w:szCs w:val="24"/>
          <w:lang w:bidi="en-US"/>
        </w:rPr>
        <w:t xml:space="preserve">DPV in </w:t>
      </w:r>
      <w:r w:rsidR="000734DE" w:rsidRPr="005B1CCB">
        <w:rPr>
          <w:rFonts w:ascii="Palatino Linotype" w:hAnsi="Palatino Linotype"/>
          <w:sz w:val="24"/>
          <w:szCs w:val="24"/>
          <w:lang w:bidi="en-US"/>
        </w:rPr>
        <w:t xml:space="preserve">both ferri-ferrocyanide and ruthenium redox buffers. </w:t>
      </w:r>
      <w:r w:rsidR="00701DA5" w:rsidRPr="005B1CCB">
        <w:rPr>
          <w:rFonts w:ascii="Palatino Linotype" w:hAnsi="Palatino Linotype"/>
          <w:sz w:val="24"/>
          <w:szCs w:val="24"/>
          <w:lang w:bidi="en-US"/>
        </w:rPr>
        <w:t xml:space="preserve">After establishing an optimum characterisation surface and buffer for the SPCEs, DNA samples isolated from patients were analysed using ddPCR to quantify the levels of </w:t>
      </w:r>
      <w:r w:rsidR="00E2567F" w:rsidRPr="005B1CCB">
        <w:rPr>
          <w:rFonts w:ascii="Palatino Linotype" w:hAnsi="Palatino Linotype"/>
          <w:sz w:val="24"/>
          <w:szCs w:val="24"/>
          <w:lang w:bidi="en-US"/>
        </w:rPr>
        <w:t xml:space="preserve">mutant </w:t>
      </w:r>
      <w:r w:rsidR="00701DA5" w:rsidRPr="005B1CCB">
        <w:rPr>
          <w:rFonts w:ascii="Palatino Linotype" w:hAnsi="Palatino Linotype"/>
          <w:sz w:val="24"/>
          <w:szCs w:val="24"/>
          <w:lang w:bidi="en-US"/>
        </w:rPr>
        <w:t>KRAS pG12D and wild-type KRAS</w:t>
      </w:r>
      <w:r w:rsidR="00E2567F" w:rsidRPr="005B1CCB">
        <w:rPr>
          <w:rFonts w:ascii="Palatino Linotype" w:hAnsi="Palatino Linotype"/>
          <w:sz w:val="24"/>
          <w:szCs w:val="24"/>
          <w:lang w:bidi="en-US"/>
        </w:rPr>
        <w:t xml:space="preserve"> DNA</w:t>
      </w:r>
      <w:r w:rsidR="00701DA5" w:rsidRPr="005B1CCB">
        <w:rPr>
          <w:rFonts w:ascii="Palatino Linotype" w:hAnsi="Palatino Linotype"/>
          <w:sz w:val="24"/>
          <w:szCs w:val="24"/>
          <w:lang w:bidi="en-US"/>
        </w:rPr>
        <w:t xml:space="preserve">. </w:t>
      </w:r>
      <w:r w:rsidR="000C6C29" w:rsidRPr="005B1CCB">
        <w:rPr>
          <w:rFonts w:ascii="Palatino Linotype" w:hAnsi="Palatino Linotype"/>
          <w:sz w:val="24"/>
          <w:szCs w:val="24"/>
          <w:lang w:bidi="en-US"/>
        </w:rPr>
        <w:t xml:space="preserve">PCR amplification </w:t>
      </w:r>
      <w:r w:rsidR="006E182D" w:rsidRPr="005B1CCB">
        <w:rPr>
          <w:rFonts w:ascii="Palatino Linotype" w:hAnsi="Palatino Linotype"/>
          <w:sz w:val="24"/>
          <w:szCs w:val="24"/>
          <w:lang w:bidi="en-US"/>
        </w:rPr>
        <w:t xml:space="preserve">using HotStarTaq Plus DNA </w:t>
      </w:r>
      <w:r w:rsidR="000C6C29" w:rsidRPr="005B1CCB">
        <w:rPr>
          <w:rFonts w:ascii="Palatino Linotype" w:hAnsi="Palatino Linotype"/>
          <w:sz w:val="24"/>
          <w:szCs w:val="24"/>
          <w:lang w:bidi="en-US"/>
        </w:rPr>
        <w:t xml:space="preserve">was used to amplify the mutants in the </w:t>
      </w:r>
      <w:r w:rsidR="006E182D" w:rsidRPr="005B1CCB">
        <w:rPr>
          <w:rFonts w:ascii="Palatino Linotype" w:hAnsi="Palatino Linotype"/>
          <w:sz w:val="24"/>
          <w:szCs w:val="24"/>
          <w:lang w:bidi="en-US"/>
        </w:rPr>
        <w:t xml:space="preserve">representative clinical </w:t>
      </w:r>
      <w:r w:rsidR="000C6C29" w:rsidRPr="005B1CCB">
        <w:rPr>
          <w:rFonts w:ascii="Palatino Linotype" w:hAnsi="Palatino Linotype"/>
          <w:sz w:val="24"/>
          <w:szCs w:val="24"/>
          <w:lang w:bidi="en-US"/>
        </w:rPr>
        <w:t xml:space="preserve">sample and gel electrophoresis was carried out to confirm the presence of amplicons. </w:t>
      </w:r>
    </w:p>
    <w:p w14:paraId="72BA71F7" w14:textId="77777777" w:rsidR="000C6C29" w:rsidRPr="005B1CCB" w:rsidRDefault="000C6C29" w:rsidP="00CA3640">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Assay stability was explored by performing repeated CV measurements simultaneously on all eight electrodes </w:t>
      </w:r>
      <w:r w:rsidR="002C501D" w:rsidRPr="005B1CCB">
        <w:rPr>
          <w:rFonts w:ascii="Palatino Linotype" w:hAnsi="Palatino Linotype"/>
          <w:sz w:val="24"/>
          <w:szCs w:val="24"/>
          <w:lang w:bidi="en-US"/>
        </w:rPr>
        <w:t>(</w:t>
      </w:r>
      <w:r w:rsidRPr="005B1CCB">
        <w:rPr>
          <w:rFonts w:ascii="Palatino Linotype" w:hAnsi="Palatino Linotype"/>
          <w:sz w:val="24"/>
          <w:szCs w:val="24"/>
          <w:lang w:bidi="en-US"/>
        </w:rPr>
        <w:t>multi SPCE</w:t>
      </w:r>
      <w:r w:rsidR="002C501D" w:rsidRPr="005B1CCB">
        <w:rPr>
          <w:rFonts w:ascii="Palatino Linotype" w:hAnsi="Palatino Linotype"/>
          <w:sz w:val="24"/>
          <w:szCs w:val="24"/>
          <w:lang w:bidi="en-US"/>
        </w:rPr>
        <w:t>)</w:t>
      </w:r>
      <w:r w:rsidRPr="005B1CCB">
        <w:rPr>
          <w:rFonts w:ascii="Palatino Linotype" w:hAnsi="Palatino Linotype"/>
          <w:sz w:val="24"/>
          <w:szCs w:val="24"/>
          <w:lang w:bidi="en-US"/>
        </w:rPr>
        <w:t>. DNA hybridisation using custom made pG12D oligonucleotide probes and PCR amplicons were carried out using CV to determine assay selectivity.</w:t>
      </w:r>
      <w:r w:rsidR="002C501D" w:rsidRPr="005B1CCB">
        <w:rPr>
          <w:rFonts w:ascii="Palatino Linotype" w:hAnsi="Palatino Linotype"/>
          <w:sz w:val="24"/>
          <w:szCs w:val="24"/>
          <w:lang w:bidi="en-US"/>
        </w:rPr>
        <w:t xml:space="preserve"> </w:t>
      </w:r>
      <w:r w:rsidR="007E4F70" w:rsidRPr="005B1CCB">
        <w:rPr>
          <w:rFonts w:ascii="Palatino Linotype" w:hAnsi="Palatino Linotype"/>
          <w:sz w:val="24"/>
          <w:szCs w:val="24"/>
          <w:lang w:bidi="en-US"/>
        </w:rPr>
        <w:t>All amplicons were denatured at 95</w:t>
      </w:r>
      <w:r w:rsidR="007E4F70" w:rsidRPr="005B1CCB">
        <w:rPr>
          <w:rFonts w:ascii="Palatino Linotype" w:hAnsi="Palatino Linotype"/>
          <w:sz w:val="24"/>
          <w:szCs w:val="24"/>
          <w:vertAlign w:val="superscript"/>
          <w:lang w:bidi="en-US"/>
        </w:rPr>
        <w:t>O</w:t>
      </w:r>
      <w:r w:rsidR="007E4F70" w:rsidRPr="005B1CCB">
        <w:rPr>
          <w:rFonts w:ascii="Palatino Linotype" w:hAnsi="Palatino Linotype"/>
          <w:sz w:val="24"/>
          <w:szCs w:val="24"/>
          <w:lang w:bidi="en-US"/>
        </w:rPr>
        <w:t xml:space="preserve"> for 5 minutes prior to immobilisation. </w:t>
      </w:r>
      <w:r w:rsidR="002C501D" w:rsidRPr="005B1CCB">
        <w:rPr>
          <w:rFonts w:ascii="Palatino Linotype" w:hAnsi="Palatino Linotype"/>
          <w:sz w:val="24"/>
          <w:szCs w:val="24"/>
          <w:lang w:bidi="en-US"/>
        </w:rPr>
        <w:t>Further DNA hybridisation using CV was done using non-amplified isolated DNA samples and custom made pG12D oligonucleotide targets to confirm assay specificity. The amplification reaction for the assay was optimised by investigating the effect of PCR thermal cycling numbers on the signals obtained after DNA hybridisation. This optimisation was characterised using EIS and CV measurements.</w:t>
      </w:r>
    </w:p>
    <w:p w14:paraId="75B2F475" w14:textId="77777777" w:rsidR="002C501D" w:rsidRPr="005B1CCB" w:rsidRDefault="002C501D" w:rsidP="00CA3640">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353486" w:rsidRPr="005B1CCB">
        <w:rPr>
          <w:rFonts w:ascii="Palatino Linotype" w:hAnsi="Palatino Linotype"/>
          <w:sz w:val="24"/>
          <w:szCs w:val="24"/>
          <w:lang w:bidi="en-US"/>
        </w:rPr>
        <w:t>A d</w:t>
      </w:r>
      <w:r w:rsidRPr="005B1CCB">
        <w:rPr>
          <w:rFonts w:ascii="Palatino Linotype" w:hAnsi="Palatino Linotype"/>
          <w:sz w:val="24"/>
          <w:szCs w:val="24"/>
          <w:lang w:bidi="en-US"/>
        </w:rPr>
        <w:t xml:space="preserve">ilution series was carried out on the PCR amplicons from the optimum amplification reaction result obtained and used to analyse dose response upon DNA hybridisation. </w:t>
      </w:r>
      <w:r w:rsidR="00353486" w:rsidRPr="005B1CCB">
        <w:rPr>
          <w:rFonts w:ascii="Palatino Linotype" w:hAnsi="Palatino Linotype"/>
          <w:sz w:val="24"/>
          <w:szCs w:val="24"/>
          <w:lang w:bidi="en-US"/>
        </w:rPr>
        <w:t>Finally,</w:t>
      </w:r>
      <w:r w:rsidRPr="005B1CCB">
        <w:rPr>
          <w:rFonts w:ascii="Palatino Linotype" w:hAnsi="Palatino Linotype"/>
          <w:sz w:val="24"/>
          <w:szCs w:val="24"/>
          <w:lang w:bidi="en-US"/>
        </w:rPr>
        <w:t xml:space="preserve"> different hybridisation targets were compared to ascertain </w:t>
      </w:r>
      <w:r w:rsidR="00353486" w:rsidRPr="005B1CCB">
        <w:rPr>
          <w:rFonts w:ascii="Palatino Linotype" w:hAnsi="Palatino Linotype"/>
          <w:sz w:val="24"/>
          <w:szCs w:val="24"/>
          <w:lang w:bidi="en-US"/>
        </w:rPr>
        <w:t>the sensitivity level of</w:t>
      </w:r>
      <w:r w:rsidRPr="005B1CCB">
        <w:rPr>
          <w:rFonts w:ascii="Palatino Linotype" w:hAnsi="Palatino Linotype"/>
          <w:sz w:val="24"/>
          <w:szCs w:val="24"/>
          <w:lang w:bidi="en-US"/>
        </w:rPr>
        <w:t xml:space="preserve"> the assay. Target controls used were ultra-pure water, blood plasma and DNA amplicons spiked in plasma. Measurements </w:t>
      </w:r>
      <w:r w:rsidR="00353486" w:rsidRPr="005B1CCB">
        <w:rPr>
          <w:rFonts w:ascii="Palatino Linotype" w:hAnsi="Palatino Linotype"/>
          <w:sz w:val="24"/>
          <w:szCs w:val="24"/>
          <w:lang w:bidi="en-US"/>
        </w:rPr>
        <w:t xml:space="preserve">for both dose response and target control analysis </w:t>
      </w:r>
      <w:r w:rsidRPr="005B1CCB">
        <w:rPr>
          <w:rFonts w:ascii="Palatino Linotype" w:hAnsi="Palatino Linotype"/>
          <w:sz w:val="24"/>
          <w:szCs w:val="24"/>
          <w:lang w:bidi="en-US"/>
        </w:rPr>
        <w:t>were recorded using CV.</w:t>
      </w:r>
    </w:p>
    <w:p w14:paraId="6D5923B6" w14:textId="77777777" w:rsidR="00353486" w:rsidRPr="005B1CCB" w:rsidRDefault="00353486" w:rsidP="00CA3640">
      <w:pPr>
        <w:spacing w:line="360" w:lineRule="auto"/>
        <w:jc w:val="both"/>
        <w:rPr>
          <w:rFonts w:ascii="Palatino Linotype" w:hAnsi="Palatino Linotype"/>
          <w:sz w:val="24"/>
          <w:szCs w:val="24"/>
          <w:lang w:bidi="en-US"/>
        </w:rPr>
      </w:pPr>
    </w:p>
    <w:p w14:paraId="0FBBFD06" w14:textId="77777777" w:rsidR="00DE712F" w:rsidRPr="005B1CCB" w:rsidRDefault="00DE712F" w:rsidP="00BF381B">
      <w:pPr>
        <w:pStyle w:val="Heading2"/>
      </w:pPr>
      <w:bookmarkStart w:id="131" w:name="_Toc84528107"/>
      <w:r w:rsidRPr="005B1CCB">
        <w:t>Results and discussion</w:t>
      </w:r>
      <w:bookmarkEnd w:id="131"/>
    </w:p>
    <w:p w14:paraId="39E6850E" w14:textId="77777777" w:rsidR="008D73B0" w:rsidRPr="005B1CCB" w:rsidRDefault="00C73459" w:rsidP="00D71969">
      <w:pPr>
        <w:pStyle w:val="Heading3"/>
      </w:pPr>
      <w:bookmarkStart w:id="132" w:name="_Toc84528108"/>
      <w:r w:rsidRPr="005B1CCB">
        <w:t>Scanning electron microscopy (</w:t>
      </w:r>
      <w:r w:rsidR="008D73B0" w:rsidRPr="005B1CCB">
        <w:t>SEM</w:t>
      </w:r>
      <w:r w:rsidRPr="005B1CCB">
        <w:t>)</w:t>
      </w:r>
      <w:r w:rsidR="008D73B0" w:rsidRPr="005B1CCB">
        <w:t xml:space="preserve"> characterisation</w:t>
      </w:r>
      <w:bookmarkEnd w:id="132"/>
    </w:p>
    <w:p w14:paraId="5B8B3490" w14:textId="77777777" w:rsidR="00C73459" w:rsidRPr="005B1CCB" w:rsidRDefault="006233E6" w:rsidP="00D14E0D">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C73459" w:rsidRPr="005B1CCB">
        <w:rPr>
          <w:rFonts w:ascii="Palatino Linotype" w:hAnsi="Palatino Linotype"/>
          <w:sz w:val="24"/>
          <w:szCs w:val="24"/>
          <w:lang w:bidi="en-US"/>
        </w:rPr>
        <w:t xml:space="preserve">The surface of the multi-carbon SPCE was characterised using scanning electron microscopy (SEM). </w:t>
      </w:r>
      <w:r w:rsidR="008D370A" w:rsidRPr="00C55295">
        <w:rPr>
          <w:rFonts w:ascii="Palatino Linotype" w:hAnsi="Palatino Linotype"/>
          <w:sz w:val="24"/>
          <w:szCs w:val="24"/>
          <w:lang w:bidi="en-US"/>
        </w:rPr>
        <w:t>The surface topography showed good definition of carbon particles and t</w:t>
      </w:r>
      <w:r w:rsidR="00C73459" w:rsidRPr="00C55295">
        <w:rPr>
          <w:rFonts w:ascii="Palatino Linotype" w:hAnsi="Palatino Linotype"/>
          <w:sz w:val="24"/>
          <w:szCs w:val="24"/>
          <w:lang w:bidi="en-US"/>
        </w:rPr>
        <w:t>he surface morphology</w:t>
      </w:r>
      <w:r w:rsidR="002C09ED" w:rsidRPr="00C55295">
        <w:rPr>
          <w:rFonts w:ascii="Palatino Linotype" w:hAnsi="Palatino Linotype"/>
          <w:sz w:val="24"/>
          <w:szCs w:val="24"/>
          <w:lang w:bidi="en-US"/>
        </w:rPr>
        <w:t xml:space="preserve"> observed showed that a</w:t>
      </w:r>
      <w:r w:rsidR="00C73459" w:rsidRPr="00C55295">
        <w:rPr>
          <w:rFonts w:ascii="Palatino Linotype" w:hAnsi="Palatino Linotype"/>
          <w:sz w:val="24"/>
          <w:szCs w:val="24"/>
          <w:lang w:bidi="en-US"/>
        </w:rPr>
        <w:t xml:space="preserve"> larger real surface area than the geometric area</w:t>
      </w:r>
      <w:r w:rsidR="002C09ED" w:rsidRPr="00C55295">
        <w:rPr>
          <w:rFonts w:ascii="Palatino Linotype" w:hAnsi="Palatino Linotype"/>
          <w:sz w:val="24"/>
          <w:szCs w:val="24"/>
          <w:lang w:bidi="en-US"/>
        </w:rPr>
        <w:t xml:space="preserve"> was apparent</w:t>
      </w:r>
      <w:r w:rsidR="00C73459" w:rsidRPr="00C55295">
        <w:rPr>
          <w:rFonts w:ascii="Palatino Linotype" w:hAnsi="Palatino Linotype"/>
          <w:sz w:val="24"/>
          <w:szCs w:val="24"/>
          <w:lang w:bidi="en-US"/>
        </w:rPr>
        <w:t>.</w:t>
      </w:r>
      <w:r w:rsidR="002C09ED" w:rsidRPr="005B1CCB">
        <w:rPr>
          <w:rFonts w:ascii="Palatino Linotype" w:hAnsi="Palatino Linotype"/>
          <w:sz w:val="24"/>
          <w:szCs w:val="24"/>
          <w:lang w:bidi="en-US"/>
        </w:rPr>
        <w:t xml:space="preserve"> This large difference between the real and geometric area can be attributed to the very rough and porous nature of the carbon electrode material. This would ordinarily represent a problem for gold electrodes where a rough porous surface would impair coherent SAM formation via gold-thiol attachment, but here because of the covalent nature of the surface functionalisation chemistry, the roughness and porosity of the electrode surface will not have the same impact on assay performance. </w:t>
      </w:r>
      <w:r w:rsidR="00B61E5B" w:rsidRPr="005B1CCB">
        <w:rPr>
          <w:rFonts w:ascii="Palatino Linotype" w:hAnsi="Palatino Linotype"/>
          <w:sz w:val="24"/>
          <w:szCs w:val="24"/>
          <w:lang w:bidi="en-US"/>
        </w:rPr>
        <w:t xml:space="preserve">In the lower magnification image (Figure </w:t>
      </w:r>
      <w:r w:rsidR="005F2F47" w:rsidRPr="005B1CCB">
        <w:rPr>
          <w:rFonts w:ascii="Palatino Linotype" w:hAnsi="Palatino Linotype"/>
          <w:sz w:val="24"/>
          <w:szCs w:val="24"/>
          <w:lang w:bidi="en-US"/>
        </w:rPr>
        <w:t>2</w:t>
      </w:r>
      <w:r w:rsidR="00182BCE" w:rsidRPr="005B1CCB">
        <w:rPr>
          <w:rFonts w:ascii="Palatino Linotype" w:hAnsi="Palatino Linotype"/>
          <w:sz w:val="24"/>
          <w:szCs w:val="24"/>
          <w:lang w:bidi="en-US"/>
        </w:rPr>
        <w:t>6</w:t>
      </w:r>
      <w:r w:rsidR="00B61E5B" w:rsidRPr="005B1CCB">
        <w:rPr>
          <w:rFonts w:ascii="Palatino Linotype" w:hAnsi="Palatino Linotype"/>
          <w:sz w:val="24"/>
          <w:szCs w:val="24"/>
          <w:lang w:bidi="en-US"/>
        </w:rPr>
        <w:t>), the electrode surface reveals the presence of a highly interconnected and uniform carbon network, creating a high surface area.</w:t>
      </w:r>
    </w:p>
    <w:p w14:paraId="066C6749" w14:textId="77777777" w:rsidR="00AB4FFC" w:rsidRPr="005B1CCB" w:rsidRDefault="00512153" w:rsidP="00512153">
      <w:pPr>
        <w:spacing w:line="360" w:lineRule="auto"/>
        <w:jc w:val="both"/>
        <w:rPr>
          <w:rFonts w:ascii="Palatino Linotype" w:hAnsi="Palatino Linotype"/>
          <w:sz w:val="24"/>
          <w:szCs w:val="24"/>
          <w:lang w:bidi="en-US"/>
        </w:rPr>
      </w:pPr>
      <w:r w:rsidRPr="005B1CCB">
        <w:rPr>
          <w:noProof/>
          <w:lang w:eastAsia="en-GB"/>
        </w:rPr>
        <w:drawing>
          <wp:inline distT="0" distB="0" distL="0" distR="0" wp14:anchorId="3415ADBA" wp14:editId="3EB67EC7">
            <wp:extent cx="5902132" cy="1796341"/>
            <wp:effectExtent l="0" t="0" r="381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28008" cy="1804216"/>
                    </a:xfrm>
                    <a:prstGeom prst="rect">
                      <a:avLst/>
                    </a:prstGeom>
                  </pic:spPr>
                </pic:pic>
              </a:graphicData>
            </a:graphic>
          </wp:inline>
        </w:drawing>
      </w:r>
    </w:p>
    <w:p w14:paraId="07C30F60" w14:textId="77777777" w:rsidR="008D73B0" w:rsidRPr="005B1CCB" w:rsidRDefault="008D73B0" w:rsidP="0091628F">
      <w:pPr>
        <w:pStyle w:val="Caption"/>
        <w:jc w:val="center"/>
        <w:rPr>
          <w:sz w:val="22"/>
          <w:szCs w:val="22"/>
        </w:rPr>
      </w:pPr>
      <w:bookmarkStart w:id="133" w:name="_Toc84519621"/>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26</w:t>
      </w:r>
      <w:r w:rsidRPr="005B1CCB">
        <w:rPr>
          <w:noProof/>
          <w:sz w:val="22"/>
          <w:szCs w:val="22"/>
        </w:rPr>
        <w:fldChar w:fldCharType="end"/>
      </w:r>
      <w:r w:rsidRPr="005B1CCB">
        <w:rPr>
          <w:sz w:val="22"/>
          <w:szCs w:val="22"/>
        </w:rPr>
        <w:t>: SEM image of a bare SPCE at</w:t>
      </w:r>
      <w:r w:rsidR="000D3E8B" w:rsidRPr="005B1CCB">
        <w:rPr>
          <w:sz w:val="22"/>
          <w:szCs w:val="22"/>
        </w:rPr>
        <w:t xml:space="preserve"> (A) x 1.0K (B) x 5.0K and (C) x 100 magnifications</w:t>
      </w:r>
      <w:bookmarkEnd w:id="133"/>
      <w:r w:rsidRPr="005B1CCB">
        <w:rPr>
          <w:sz w:val="22"/>
          <w:szCs w:val="22"/>
        </w:rPr>
        <w:t xml:space="preserve"> </w:t>
      </w:r>
    </w:p>
    <w:p w14:paraId="61317DA9" w14:textId="77777777" w:rsidR="00182BCE" w:rsidRPr="005B1CCB" w:rsidRDefault="00182BCE" w:rsidP="00182BCE"/>
    <w:p w14:paraId="42AEA78B" w14:textId="77777777" w:rsidR="00AB4FFC" w:rsidRPr="005B1CCB" w:rsidRDefault="00AB4FFC" w:rsidP="00D71969">
      <w:pPr>
        <w:pStyle w:val="Heading3"/>
        <w:numPr>
          <w:ilvl w:val="2"/>
          <w:numId w:val="25"/>
        </w:numPr>
      </w:pPr>
      <w:bookmarkStart w:id="134" w:name="_Toc84528109"/>
      <w:r w:rsidRPr="005B1CCB">
        <w:t>Characterisation of the pre-treated electrode surface</w:t>
      </w:r>
      <w:bookmarkEnd w:id="134"/>
    </w:p>
    <w:p w14:paraId="415E4F98" w14:textId="77777777" w:rsidR="00AB4FFC" w:rsidRPr="005B1CCB" w:rsidRDefault="00FE6D0F" w:rsidP="00A213FE">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A213FE">
        <w:rPr>
          <w:rFonts w:ascii="Palatino Linotype" w:hAnsi="Palatino Linotype"/>
          <w:sz w:val="24"/>
          <w:szCs w:val="24"/>
          <w:lang w:bidi="en-US"/>
        </w:rPr>
        <w:t xml:space="preserve">  </w:t>
      </w:r>
      <w:r w:rsidRPr="005B1CCB">
        <w:rPr>
          <w:rFonts w:ascii="Palatino Linotype" w:hAnsi="Palatino Linotype"/>
          <w:sz w:val="24"/>
          <w:szCs w:val="24"/>
          <w:lang w:bidi="en-US"/>
        </w:rPr>
        <w:t xml:space="preserve"> </w:t>
      </w:r>
      <w:r w:rsidR="00C15767" w:rsidRPr="005B1CCB">
        <w:rPr>
          <w:rFonts w:ascii="Palatino Linotype" w:hAnsi="Palatino Linotype"/>
          <w:sz w:val="24"/>
          <w:szCs w:val="24"/>
          <w:lang w:bidi="en-US"/>
        </w:rPr>
        <w:t>In order to compare the effect of surface pre-treatment on the SPCEs, the surfaces of both NaCl pre-treated and NaOH pre-treated SPCEs were characterised using SEM</w:t>
      </w:r>
      <w:r w:rsidR="00E64F8E" w:rsidRPr="005B1CCB">
        <w:rPr>
          <w:rFonts w:ascii="Palatino Linotype" w:hAnsi="Palatino Linotype"/>
          <w:sz w:val="24"/>
          <w:szCs w:val="24"/>
          <w:lang w:bidi="en-US"/>
        </w:rPr>
        <w:t xml:space="preserve">. </w:t>
      </w:r>
      <w:r w:rsidR="00BE1E5C" w:rsidRPr="005B1CCB">
        <w:rPr>
          <w:rFonts w:ascii="Palatino Linotype" w:hAnsi="Palatino Linotype"/>
          <w:sz w:val="24"/>
          <w:szCs w:val="24"/>
          <w:lang w:bidi="en-US"/>
        </w:rPr>
        <w:t xml:space="preserve"> (Figures </w:t>
      </w:r>
      <w:r w:rsidRPr="005B1CCB">
        <w:rPr>
          <w:rFonts w:ascii="Palatino Linotype" w:hAnsi="Palatino Linotype"/>
          <w:sz w:val="24"/>
          <w:szCs w:val="24"/>
          <w:lang w:bidi="en-US"/>
        </w:rPr>
        <w:t>2</w:t>
      </w:r>
      <w:r w:rsidR="00182BCE" w:rsidRPr="005B1CCB">
        <w:rPr>
          <w:rFonts w:ascii="Palatino Linotype" w:hAnsi="Palatino Linotype"/>
          <w:sz w:val="24"/>
          <w:szCs w:val="24"/>
          <w:lang w:bidi="en-US"/>
        </w:rPr>
        <w:t>7</w:t>
      </w:r>
      <w:r w:rsidR="00BE1E5C" w:rsidRPr="005B1CCB">
        <w:rPr>
          <w:rFonts w:ascii="Palatino Linotype" w:hAnsi="Palatino Linotype"/>
          <w:sz w:val="24"/>
          <w:szCs w:val="24"/>
          <w:lang w:bidi="en-US"/>
        </w:rPr>
        <w:t xml:space="preserve"> And </w:t>
      </w:r>
      <w:r w:rsidRPr="005B1CCB">
        <w:rPr>
          <w:rFonts w:ascii="Palatino Linotype" w:hAnsi="Palatino Linotype"/>
          <w:sz w:val="24"/>
          <w:szCs w:val="24"/>
          <w:lang w:bidi="en-US"/>
        </w:rPr>
        <w:t>2</w:t>
      </w:r>
      <w:r w:rsidR="00182BCE" w:rsidRPr="005B1CCB">
        <w:rPr>
          <w:rFonts w:ascii="Palatino Linotype" w:hAnsi="Palatino Linotype"/>
          <w:sz w:val="24"/>
          <w:szCs w:val="24"/>
          <w:lang w:bidi="en-US"/>
        </w:rPr>
        <w:t>8</w:t>
      </w:r>
      <w:r w:rsidR="00BE1E5C" w:rsidRPr="005B1CCB">
        <w:rPr>
          <w:rFonts w:ascii="Palatino Linotype" w:hAnsi="Palatino Linotype"/>
          <w:sz w:val="24"/>
          <w:szCs w:val="24"/>
          <w:lang w:bidi="en-US"/>
        </w:rPr>
        <w:t>)</w:t>
      </w:r>
      <w:r w:rsidR="00E64F8E" w:rsidRPr="005B1CCB">
        <w:rPr>
          <w:rFonts w:ascii="Palatino Linotype" w:hAnsi="Palatino Linotype"/>
          <w:sz w:val="24"/>
          <w:szCs w:val="24"/>
          <w:lang w:bidi="en-US"/>
        </w:rPr>
        <w:t xml:space="preserve"> depicts typical SEM images of the electrodes at different magnitudes</w:t>
      </w:r>
      <w:r w:rsidR="00C15767" w:rsidRPr="005B1CCB">
        <w:rPr>
          <w:rFonts w:ascii="Palatino Linotype" w:hAnsi="Palatino Linotype"/>
          <w:sz w:val="24"/>
          <w:szCs w:val="24"/>
          <w:lang w:bidi="en-US"/>
        </w:rPr>
        <w:t xml:space="preserve">. </w:t>
      </w:r>
      <w:r w:rsidR="004C0084" w:rsidRPr="005B1CCB">
        <w:rPr>
          <w:rFonts w:ascii="Palatino Linotype" w:hAnsi="Palatino Linotype"/>
          <w:sz w:val="24"/>
          <w:szCs w:val="24"/>
          <w:lang w:bidi="en-US"/>
        </w:rPr>
        <w:t>Surface roughness is observed in NaOH pre-treated SPCEs</w:t>
      </w:r>
      <w:r w:rsidR="00CC1210" w:rsidRPr="005B1CCB">
        <w:rPr>
          <w:rFonts w:ascii="Palatino Linotype" w:hAnsi="Palatino Linotype"/>
          <w:sz w:val="24"/>
          <w:szCs w:val="24"/>
          <w:lang w:bidi="en-US"/>
        </w:rPr>
        <w:t xml:space="preserve"> (Figure </w:t>
      </w:r>
      <w:r w:rsidRPr="005B1CCB">
        <w:rPr>
          <w:rFonts w:ascii="Palatino Linotype" w:hAnsi="Palatino Linotype"/>
          <w:sz w:val="24"/>
          <w:szCs w:val="24"/>
          <w:lang w:bidi="en-US"/>
        </w:rPr>
        <w:t>2</w:t>
      </w:r>
      <w:r w:rsidR="00182BCE" w:rsidRPr="005B1CCB">
        <w:rPr>
          <w:rFonts w:ascii="Palatino Linotype" w:hAnsi="Palatino Linotype"/>
          <w:sz w:val="24"/>
          <w:szCs w:val="24"/>
          <w:lang w:bidi="en-US"/>
        </w:rPr>
        <w:t>7</w:t>
      </w:r>
      <w:r w:rsidRPr="005B1CCB">
        <w:rPr>
          <w:rFonts w:ascii="Palatino Linotype" w:hAnsi="Palatino Linotype"/>
          <w:sz w:val="24"/>
          <w:szCs w:val="24"/>
          <w:lang w:bidi="en-US"/>
        </w:rPr>
        <w:t xml:space="preserve"> </w:t>
      </w:r>
      <w:r w:rsidR="00CC1210" w:rsidRPr="005B1CCB">
        <w:rPr>
          <w:rFonts w:ascii="Palatino Linotype" w:hAnsi="Palatino Linotype"/>
          <w:sz w:val="24"/>
          <w:szCs w:val="24"/>
          <w:lang w:bidi="en-US"/>
        </w:rPr>
        <w:t>A-C)</w:t>
      </w:r>
      <w:r w:rsidR="00FD2C19" w:rsidRPr="005B1CCB">
        <w:rPr>
          <w:rFonts w:ascii="Palatino Linotype" w:hAnsi="Palatino Linotype"/>
          <w:sz w:val="24"/>
          <w:szCs w:val="24"/>
          <w:lang w:bidi="en-US"/>
        </w:rPr>
        <w:t xml:space="preserve"> suggesting that the organic binders are largely removed and the</w:t>
      </w:r>
      <w:r w:rsidR="00B61E5B" w:rsidRPr="005B1CCB">
        <w:rPr>
          <w:rFonts w:ascii="Palatino Linotype" w:hAnsi="Palatino Linotype"/>
          <w:sz w:val="24"/>
          <w:szCs w:val="24"/>
          <w:lang w:bidi="en-US"/>
        </w:rPr>
        <w:t xml:space="preserve"> </w:t>
      </w:r>
      <w:r w:rsidR="00FD2C19" w:rsidRPr="005B1CCB">
        <w:rPr>
          <w:rFonts w:ascii="Palatino Linotype" w:hAnsi="Palatino Linotype"/>
          <w:sz w:val="24"/>
          <w:szCs w:val="24"/>
          <w:lang w:bidi="en-US"/>
        </w:rPr>
        <w:t>c</w:t>
      </w:r>
      <w:r w:rsidR="00B61E5B" w:rsidRPr="005B1CCB">
        <w:rPr>
          <w:rFonts w:ascii="Palatino Linotype" w:hAnsi="Palatino Linotype"/>
          <w:sz w:val="24"/>
          <w:szCs w:val="24"/>
          <w:lang w:bidi="en-US"/>
        </w:rPr>
        <w:t>a</w:t>
      </w:r>
      <w:r w:rsidR="00FD2C19" w:rsidRPr="005B1CCB">
        <w:rPr>
          <w:rFonts w:ascii="Palatino Linotype" w:hAnsi="Palatino Linotype"/>
          <w:sz w:val="24"/>
          <w:szCs w:val="24"/>
          <w:lang w:bidi="en-US"/>
        </w:rPr>
        <w:t>rbon particles are clearly exposed at the electrode surface</w:t>
      </w:r>
      <w:r w:rsidR="004C0084" w:rsidRPr="005B1CCB">
        <w:rPr>
          <w:rFonts w:ascii="Palatino Linotype" w:hAnsi="Palatino Linotype"/>
          <w:sz w:val="24"/>
          <w:szCs w:val="24"/>
          <w:lang w:bidi="en-US"/>
        </w:rPr>
        <w:t>.</w:t>
      </w:r>
      <w:r w:rsidR="00A213FE">
        <w:rPr>
          <w:rFonts w:ascii="Palatino Linotype" w:hAnsi="Palatino Linotype"/>
          <w:sz w:val="24"/>
          <w:szCs w:val="24"/>
          <w:lang w:bidi="en-US"/>
        </w:rPr>
        <w:t xml:space="preserve"> </w:t>
      </w:r>
    </w:p>
    <w:p w14:paraId="5A205ABA" w14:textId="77777777" w:rsidR="00B66B8D" w:rsidRPr="005B1CCB" w:rsidRDefault="00987A29" w:rsidP="00987A29">
      <w:pPr>
        <w:keepNext/>
        <w:jc w:val="center"/>
      </w:pPr>
      <w:r w:rsidRPr="005B1CCB">
        <w:rPr>
          <w:noProof/>
          <w:lang w:eastAsia="en-GB"/>
        </w:rPr>
        <w:drawing>
          <wp:inline distT="0" distB="0" distL="0" distR="0" wp14:anchorId="7A2A79B2" wp14:editId="4A8BA6F6">
            <wp:extent cx="5813859" cy="1861820"/>
            <wp:effectExtent l="0" t="0" r="0" b="508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830131" cy="1867031"/>
                    </a:xfrm>
                    <a:prstGeom prst="rect">
                      <a:avLst/>
                    </a:prstGeom>
                  </pic:spPr>
                </pic:pic>
              </a:graphicData>
            </a:graphic>
          </wp:inline>
        </w:drawing>
      </w:r>
    </w:p>
    <w:p w14:paraId="2645699D" w14:textId="77777777" w:rsidR="000D3E8B" w:rsidRPr="005B1CCB" w:rsidRDefault="00AB4FFC" w:rsidP="00B66B8D">
      <w:pPr>
        <w:pStyle w:val="Caption"/>
        <w:jc w:val="center"/>
        <w:rPr>
          <w:sz w:val="22"/>
          <w:szCs w:val="22"/>
        </w:rPr>
      </w:pPr>
      <w:bookmarkStart w:id="135" w:name="_Toc84519622"/>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27</w:t>
      </w:r>
      <w:r w:rsidRPr="005B1CCB">
        <w:rPr>
          <w:noProof/>
          <w:sz w:val="22"/>
          <w:szCs w:val="22"/>
        </w:rPr>
        <w:fldChar w:fldCharType="end"/>
      </w:r>
      <w:r w:rsidRPr="005B1CCB">
        <w:rPr>
          <w:sz w:val="22"/>
          <w:szCs w:val="22"/>
        </w:rPr>
        <w:t>:  SEM image of a Na</w:t>
      </w:r>
      <w:r w:rsidR="00987A29" w:rsidRPr="005B1CCB">
        <w:rPr>
          <w:sz w:val="22"/>
          <w:szCs w:val="22"/>
        </w:rPr>
        <w:t>OH</w:t>
      </w:r>
      <w:r w:rsidRPr="005B1CCB">
        <w:rPr>
          <w:sz w:val="22"/>
          <w:szCs w:val="22"/>
        </w:rPr>
        <w:t>- pre</w:t>
      </w:r>
      <w:r w:rsidR="0091628F" w:rsidRPr="005B1CCB">
        <w:rPr>
          <w:sz w:val="22"/>
          <w:szCs w:val="22"/>
        </w:rPr>
        <w:t>-</w:t>
      </w:r>
      <w:r w:rsidRPr="005B1CCB">
        <w:rPr>
          <w:sz w:val="22"/>
          <w:szCs w:val="22"/>
        </w:rPr>
        <w:t xml:space="preserve">treated SPCE at </w:t>
      </w:r>
      <w:r w:rsidR="000D3E8B" w:rsidRPr="005B1CCB">
        <w:rPr>
          <w:sz w:val="22"/>
          <w:szCs w:val="22"/>
        </w:rPr>
        <w:t>(A) x 1.0K (B) x 5.0K and (C) x 100 magnifications</w:t>
      </w:r>
      <w:bookmarkEnd w:id="135"/>
      <w:r w:rsidR="000D3E8B" w:rsidRPr="005B1CCB">
        <w:rPr>
          <w:sz w:val="22"/>
          <w:szCs w:val="22"/>
        </w:rPr>
        <w:t xml:space="preserve"> </w:t>
      </w:r>
    </w:p>
    <w:p w14:paraId="4FF16FEB" w14:textId="77777777" w:rsidR="00AB4FFC" w:rsidRPr="005B1CCB" w:rsidRDefault="00FE6D0F" w:rsidP="00987A29">
      <w:pPr>
        <w:spacing w:line="360" w:lineRule="auto"/>
        <w:jc w:val="both"/>
        <w:rPr>
          <w:rFonts w:ascii="Palatino Linotype" w:hAnsi="Palatino Linotype"/>
          <w:i/>
          <w:sz w:val="24"/>
          <w:szCs w:val="24"/>
        </w:rPr>
      </w:pPr>
      <w:r w:rsidRPr="005B1CCB">
        <w:rPr>
          <w:rFonts w:ascii="Palatino Linotype" w:hAnsi="Palatino Linotype"/>
          <w:sz w:val="24"/>
          <w:szCs w:val="24"/>
        </w:rPr>
        <w:t xml:space="preserve">   </w:t>
      </w:r>
      <w:r w:rsidR="00144CB8" w:rsidRPr="00C55295">
        <w:rPr>
          <w:rFonts w:ascii="Palatino Linotype" w:hAnsi="Palatino Linotype"/>
          <w:sz w:val="24"/>
          <w:szCs w:val="24"/>
        </w:rPr>
        <w:t>The surface of the NaCl pre-treated SPCEs showed fewer defects so it was determined that NaCl solution provides a mild and effective pre-treatment condition for the SPCE.</w:t>
      </w:r>
      <w:r w:rsidR="00144CB8" w:rsidRPr="005B1CCB">
        <w:rPr>
          <w:rFonts w:ascii="Palatino Linotype" w:hAnsi="Palatino Linotype"/>
          <w:sz w:val="24"/>
          <w:szCs w:val="24"/>
        </w:rPr>
        <w:t xml:space="preserve"> A predominantly homogenous particle size is observed with only a few voids across the surface profile</w:t>
      </w:r>
      <w:r w:rsidRPr="005B1CCB">
        <w:rPr>
          <w:rFonts w:ascii="Palatino Linotype" w:hAnsi="Palatino Linotype"/>
          <w:sz w:val="24"/>
          <w:szCs w:val="24"/>
        </w:rPr>
        <w:t xml:space="preserve"> (Figure 2</w:t>
      </w:r>
      <w:r w:rsidR="00182BCE" w:rsidRPr="005B1CCB">
        <w:rPr>
          <w:rFonts w:ascii="Palatino Linotype" w:hAnsi="Palatino Linotype"/>
          <w:sz w:val="24"/>
          <w:szCs w:val="24"/>
        </w:rPr>
        <w:t>8</w:t>
      </w:r>
      <w:r w:rsidRPr="005B1CCB">
        <w:rPr>
          <w:rFonts w:ascii="Palatino Linotype" w:hAnsi="Palatino Linotype"/>
          <w:sz w:val="24"/>
          <w:szCs w:val="24"/>
        </w:rPr>
        <w:t xml:space="preserve"> A – C)</w:t>
      </w:r>
      <w:r w:rsidR="00144CB8" w:rsidRPr="005B1CCB">
        <w:rPr>
          <w:rFonts w:ascii="Palatino Linotype" w:hAnsi="Palatino Linotype"/>
          <w:sz w:val="24"/>
          <w:szCs w:val="24"/>
        </w:rPr>
        <w:t xml:space="preserve">. </w:t>
      </w:r>
      <w:r w:rsidR="00144CB8" w:rsidRPr="00C55295">
        <w:rPr>
          <w:rFonts w:ascii="Palatino Linotype" w:hAnsi="Palatino Linotype"/>
          <w:sz w:val="24"/>
          <w:szCs w:val="24"/>
        </w:rPr>
        <w:t>Overall, the results show that cleaning the electrodes prior to use is effective</w:t>
      </w:r>
      <w:r w:rsidR="00F93A92" w:rsidRPr="005B1CCB">
        <w:rPr>
          <w:rFonts w:ascii="Palatino Linotype" w:hAnsi="Palatino Linotype"/>
          <w:sz w:val="24"/>
          <w:szCs w:val="24"/>
        </w:rPr>
        <w:t xml:space="preserve"> and NaCl pre-treatment was selected as the most optimum for this assay</w:t>
      </w:r>
      <w:r w:rsidR="00144CB8" w:rsidRPr="005B1CCB">
        <w:rPr>
          <w:rFonts w:ascii="Palatino Linotype" w:hAnsi="Palatino Linotype"/>
          <w:sz w:val="24"/>
          <w:szCs w:val="24"/>
        </w:rPr>
        <w:t>.</w:t>
      </w:r>
    </w:p>
    <w:p w14:paraId="7C5F79F0" w14:textId="77777777" w:rsidR="00987A29" w:rsidRPr="005B1CCB" w:rsidRDefault="00987A29" w:rsidP="00987A29">
      <w:r w:rsidRPr="005B1CCB">
        <w:rPr>
          <w:noProof/>
          <w:lang w:eastAsia="en-GB"/>
        </w:rPr>
        <w:drawing>
          <wp:inline distT="0" distB="0" distL="0" distR="0" wp14:anchorId="6A910A99" wp14:editId="59508A9D">
            <wp:extent cx="5914528" cy="1857224"/>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5007" cy="1863655"/>
                    </a:xfrm>
                    <a:prstGeom prst="rect">
                      <a:avLst/>
                    </a:prstGeom>
                  </pic:spPr>
                </pic:pic>
              </a:graphicData>
            </a:graphic>
          </wp:inline>
        </w:drawing>
      </w:r>
    </w:p>
    <w:p w14:paraId="75D5D7C8" w14:textId="77777777" w:rsidR="00701B05" w:rsidRPr="00A213FE" w:rsidRDefault="00AB4FFC" w:rsidP="00A213FE">
      <w:pPr>
        <w:pStyle w:val="Caption"/>
        <w:jc w:val="center"/>
        <w:rPr>
          <w:sz w:val="22"/>
          <w:szCs w:val="22"/>
        </w:rPr>
      </w:pPr>
      <w:bookmarkStart w:id="136" w:name="_Toc84519623"/>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28</w:t>
      </w:r>
      <w:r w:rsidRPr="005B1CCB">
        <w:rPr>
          <w:noProof/>
          <w:sz w:val="22"/>
          <w:szCs w:val="22"/>
        </w:rPr>
        <w:fldChar w:fldCharType="end"/>
      </w:r>
      <w:r w:rsidRPr="005B1CCB">
        <w:rPr>
          <w:sz w:val="22"/>
          <w:szCs w:val="22"/>
        </w:rPr>
        <w:t>: SEM image of a Na</w:t>
      </w:r>
      <w:r w:rsidR="00547430" w:rsidRPr="005B1CCB">
        <w:rPr>
          <w:sz w:val="22"/>
          <w:szCs w:val="22"/>
        </w:rPr>
        <w:t>Cl</w:t>
      </w:r>
      <w:r w:rsidRPr="005B1CCB">
        <w:rPr>
          <w:sz w:val="22"/>
          <w:szCs w:val="22"/>
        </w:rPr>
        <w:t xml:space="preserve"> </w:t>
      </w:r>
      <w:r w:rsidR="0091628F" w:rsidRPr="005B1CCB">
        <w:rPr>
          <w:sz w:val="22"/>
          <w:szCs w:val="22"/>
        </w:rPr>
        <w:t>–</w:t>
      </w:r>
      <w:r w:rsidRPr="005B1CCB">
        <w:rPr>
          <w:sz w:val="22"/>
          <w:szCs w:val="22"/>
        </w:rPr>
        <w:t xml:space="preserve"> pre</w:t>
      </w:r>
      <w:r w:rsidR="0091628F" w:rsidRPr="005B1CCB">
        <w:rPr>
          <w:sz w:val="22"/>
          <w:szCs w:val="22"/>
        </w:rPr>
        <w:t>-</w:t>
      </w:r>
      <w:r w:rsidRPr="005B1CCB">
        <w:rPr>
          <w:sz w:val="22"/>
          <w:szCs w:val="22"/>
        </w:rPr>
        <w:t xml:space="preserve">treated SPCE </w:t>
      </w:r>
      <w:r w:rsidR="000D3E8B" w:rsidRPr="005B1CCB">
        <w:rPr>
          <w:sz w:val="22"/>
          <w:szCs w:val="22"/>
        </w:rPr>
        <w:t>at (A) x 1.0K (B) x 5.0K and (C) x 100 magnifications</w:t>
      </w:r>
      <w:bookmarkEnd w:id="136"/>
    </w:p>
    <w:p w14:paraId="27C40D91" w14:textId="40720998" w:rsidR="00701B05" w:rsidRDefault="00701B05" w:rsidP="00182BCE"/>
    <w:p w14:paraId="71E6E0CF" w14:textId="77777777" w:rsidR="00C34AC3" w:rsidRPr="005B1CCB" w:rsidRDefault="00C34AC3" w:rsidP="00182BCE"/>
    <w:p w14:paraId="27493B89" w14:textId="77777777" w:rsidR="00255A9E" w:rsidRPr="005B1CCB" w:rsidRDefault="003A786A" w:rsidP="00D71969">
      <w:pPr>
        <w:pStyle w:val="Heading3"/>
      </w:pPr>
      <w:bookmarkStart w:id="137" w:name="_Toc84528110"/>
      <w:r w:rsidRPr="005B1CCB">
        <w:t>SPCE surface</w:t>
      </w:r>
      <w:r w:rsidR="00255A9E" w:rsidRPr="005B1CCB">
        <w:t xml:space="preserve"> characterisation in electrolyte solution</w:t>
      </w:r>
      <w:bookmarkEnd w:id="137"/>
    </w:p>
    <w:p w14:paraId="3F7DB1AA" w14:textId="77777777" w:rsidR="009721F7" w:rsidRPr="00A213FE" w:rsidRDefault="00A213FE" w:rsidP="00A213FE">
      <w:pPr>
        <w:spacing w:line="360" w:lineRule="auto"/>
        <w:jc w:val="both"/>
        <w:rPr>
          <w:rFonts w:ascii="Palatino Linotype" w:hAnsi="Palatino Linotype"/>
          <w:sz w:val="24"/>
          <w:szCs w:val="24"/>
          <w:lang w:bidi="en-US"/>
        </w:rPr>
      </w:pPr>
      <w:r>
        <w:rPr>
          <w:rFonts w:ascii="Palatino Linotype" w:hAnsi="Palatino Linotype"/>
          <w:sz w:val="24"/>
          <w:szCs w:val="24"/>
          <w:lang w:bidi="en-US"/>
        </w:rPr>
        <w:t xml:space="preserve">   </w:t>
      </w:r>
      <w:r w:rsidR="00FA1F89" w:rsidRPr="005B1CCB">
        <w:rPr>
          <w:rFonts w:ascii="Palatino Linotype" w:hAnsi="Palatino Linotype"/>
          <w:sz w:val="24"/>
          <w:szCs w:val="24"/>
          <w:lang w:bidi="en-US"/>
        </w:rPr>
        <w:t>Prior to the functionalisation of the SPCE used and the immobilisation of probe and target DNA, it was necessary to measure the electrochemical response of the carbon SPCE</w:t>
      </w:r>
      <w:r w:rsidR="007347B3" w:rsidRPr="005B1CCB">
        <w:rPr>
          <w:rFonts w:ascii="Palatino Linotype" w:hAnsi="Palatino Linotype"/>
          <w:sz w:val="24"/>
          <w:szCs w:val="24"/>
          <w:lang w:bidi="en-US"/>
        </w:rPr>
        <w:t xml:space="preserve"> </w:t>
      </w:r>
      <w:r w:rsidR="00EB29D0" w:rsidRPr="005B1CCB">
        <w:rPr>
          <w:rFonts w:ascii="Palatino Linotype" w:hAnsi="Palatino Linotype"/>
          <w:sz w:val="24"/>
          <w:szCs w:val="24"/>
          <w:lang w:bidi="en-US"/>
        </w:rPr>
        <w:t xml:space="preserve">surface </w:t>
      </w:r>
      <w:r w:rsidR="007347B3" w:rsidRPr="005B1CCB">
        <w:rPr>
          <w:rFonts w:ascii="Palatino Linotype" w:hAnsi="Palatino Linotype"/>
          <w:sz w:val="24"/>
          <w:szCs w:val="24"/>
          <w:lang w:bidi="en-US"/>
        </w:rPr>
        <w:t>using an optimum redox buffer</w:t>
      </w:r>
      <w:r w:rsidR="00FA1F89" w:rsidRPr="005B1CCB">
        <w:rPr>
          <w:rFonts w:ascii="Palatino Linotype" w:hAnsi="Palatino Linotype"/>
          <w:sz w:val="24"/>
          <w:szCs w:val="24"/>
          <w:lang w:bidi="en-US"/>
        </w:rPr>
        <w:t>. This was done using CV and the result</w:t>
      </w:r>
      <w:r w:rsidR="00D14789" w:rsidRPr="005B1CCB">
        <w:rPr>
          <w:rFonts w:ascii="Palatino Linotype" w:hAnsi="Palatino Linotype"/>
          <w:sz w:val="24"/>
          <w:szCs w:val="24"/>
          <w:lang w:bidi="en-US"/>
        </w:rPr>
        <w:t xml:space="preserve"> is</w:t>
      </w:r>
      <w:r w:rsidR="00FA1F89" w:rsidRPr="005B1CCB">
        <w:rPr>
          <w:rFonts w:ascii="Palatino Linotype" w:hAnsi="Palatino Linotype"/>
          <w:sz w:val="24"/>
          <w:szCs w:val="24"/>
          <w:lang w:bidi="en-US"/>
        </w:rPr>
        <w:t xml:space="preserve"> shown in </w:t>
      </w:r>
      <w:r w:rsidR="00797B21" w:rsidRPr="005B1CCB">
        <w:rPr>
          <w:rFonts w:ascii="Palatino Linotype" w:hAnsi="Palatino Linotype"/>
          <w:sz w:val="24"/>
          <w:szCs w:val="24"/>
          <w:lang w:bidi="en-US"/>
        </w:rPr>
        <w:t>F</w:t>
      </w:r>
      <w:r w:rsidR="00D14789" w:rsidRPr="005B1CCB">
        <w:rPr>
          <w:rFonts w:ascii="Palatino Linotype" w:hAnsi="Palatino Linotype"/>
          <w:sz w:val="24"/>
          <w:szCs w:val="24"/>
          <w:lang w:bidi="en-US"/>
        </w:rPr>
        <w:t>igure</w:t>
      </w:r>
      <w:r w:rsidR="00226F66" w:rsidRPr="005B1CCB">
        <w:rPr>
          <w:rFonts w:ascii="Palatino Linotype" w:hAnsi="Palatino Linotype"/>
          <w:sz w:val="24"/>
          <w:szCs w:val="24"/>
          <w:lang w:bidi="en-US"/>
        </w:rPr>
        <w:t xml:space="preserve"> 2</w:t>
      </w:r>
      <w:r w:rsidR="00182BCE" w:rsidRPr="005B1CCB">
        <w:rPr>
          <w:rFonts w:ascii="Palatino Linotype" w:hAnsi="Palatino Linotype"/>
          <w:sz w:val="24"/>
          <w:szCs w:val="24"/>
          <w:lang w:bidi="en-US"/>
        </w:rPr>
        <w:t>9</w:t>
      </w:r>
      <w:r>
        <w:rPr>
          <w:rFonts w:ascii="Palatino Linotype" w:hAnsi="Palatino Linotype"/>
          <w:sz w:val="24"/>
          <w:szCs w:val="24"/>
          <w:lang w:bidi="en-US"/>
        </w:rPr>
        <w:t xml:space="preserve">. </w:t>
      </w:r>
    </w:p>
    <w:p w14:paraId="541597C1" w14:textId="77777777" w:rsidR="00255A9E" w:rsidRPr="005B1CCB" w:rsidRDefault="00255A9E" w:rsidP="0091628F">
      <w:pPr>
        <w:keepNext/>
        <w:spacing w:line="360" w:lineRule="auto"/>
        <w:jc w:val="center"/>
      </w:pPr>
      <w:r w:rsidRPr="005B1CCB">
        <w:rPr>
          <w:rFonts w:ascii="Palatino Linotype" w:hAnsi="Palatino Linotype"/>
          <w:noProof/>
          <w:sz w:val="24"/>
          <w:szCs w:val="24"/>
          <w:lang w:eastAsia="en-GB"/>
        </w:rPr>
        <w:drawing>
          <wp:inline distT="0" distB="0" distL="0" distR="0" wp14:anchorId="01E28C9E" wp14:editId="6B394C3B">
            <wp:extent cx="4879359" cy="307119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l="2680" t="10533" r="11232" b="10350"/>
                    <a:stretch/>
                  </pic:blipFill>
                  <pic:spPr bwMode="auto">
                    <a:xfrm>
                      <a:off x="0" y="0"/>
                      <a:ext cx="4899244" cy="3083707"/>
                    </a:xfrm>
                    <a:prstGeom prst="rect">
                      <a:avLst/>
                    </a:prstGeom>
                    <a:noFill/>
                    <a:ln>
                      <a:noFill/>
                    </a:ln>
                    <a:extLst>
                      <a:ext uri="{53640926-AAD7-44D8-BBD7-CCE9431645EC}">
                        <a14:shadowObscured xmlns:a14="http://schemas.microsoft.com/office/drawing/2010/main"/>
                      </a:ext>
                    </a:extLst>
                  </pic:spPr>
                </pic:pic>
              </a:graphicData>
            </a:graphic>
          </wp:inline>
        </w:drawing>
      </w:r>
    </w:p>
    <w:p w14:paraId="5B6BAE83" w14:textId="77777777" w:rsidR="00182BCE" w:rsidRPr="00A213FE" w:rsidRDefault="00255A9E" w:rsidP="00A213FE">
      <w:pPr>
        <w:pStyle w:val="Caption"/>
        <w:jc w:val="center"/>
        <w:rPr>
          <w:rFonts w:ascii="Palatino Linotype" w:hAnsi="Palatino Linotype"/>
          <w:sz w:val="22"/>
          <w:szCs w:val="22"/>
        </w:rPr>
      </w:pPr>
      <w:bookmarkStart w:id="138" w:name="_Toc84519624"/>
      <w:r w:rsidRPr="005B1CCB">
        <w:rPr>
          <w:sz w:val="22"/>
          <w:szCs w:val="22"/>
        </w:rPr>
        <w:t xml:space="preserve">Figure </w:t>
      </w:r>
      <w:r w:rsidR="003B49ED" w:rsidRPr="005B1CCB">
        <w:rPr>
          <w:sz w:val="22"/>
          <w:szCs w:val="22"/>
        </w:rPr>
        <w:fldChar w:fldCharType="begin"/>
      </w:r>
      <w:r w:rsidR="003B49ED" w:rsidRPr="005B1CCB">
        <w:rPr>
          <w:sz w:val="22"/>
          <w:szCs w:val="22"/>
        </w:rPr>
        <w:instrText xml:space="preserve"> SEQ Figure \* ARABIC </w:instrText>
      </w:r>
      <w:r w:rsidR="003B49ED" w:rsidRPr="005B1CCB">
        <w:rPr>
          <w:sz w:val="22"/>
          <w:szCs w:val="22"/>
        </w:rPr>
        <w:fldChar w:fldCharType="separate"/>
      </w:r>
      <w:r w:rsidR="009007B4">
        <w:rPr>
          <w:noProof/>
          <w:sz w:val="22"/>
          <w:szCs w:val="22"/>
        </w:rPr>
        <w:t>29</w:t>
      </w:r>
      <w:r w:rsidR="003B49ED" w:rsidRPr="005B1CCB">
        <w:rPr>
          <w:noProof/>
          <w:sz w:val="22"/>
          <w:szCs w:val="22"/>
        </w:rPr>
        <w:fldChar w:fldCharType="end"/>
      </w:r>
      <w:r w:rsidRPr="005B1CCB">
        <w:rPr>
          <w:sz w:val="22"/>
          <w:szCs w:val="22"/>
        </w:rPr>
        <w:t xml:space="preserve">: SPCE </w:t>
      </w:r>
      <w:r w:rsidR="00EB29D0" w:rsidRPr="005B1CCB">
        <w:rPr>
          <w:sz w:val="22"/>
          <w:szCs w:val="22"/>
        </w:rPr>
        <w:t xml:space="preserve">pre-treated </w:t>
      </w:r>
      <w:r w:rsidRPr="005B1CCB">
        <w:rPr>
          <w:sz w:val="22"/>
          <w:szCs w:val="22"/>
        </w:rPr>
        <w:t xml:space="preserve">surfaces </w:t>
      </w:r>
      <w:r w:rsidR="00EB29D0" w:rsidRPr="005B1CCB">
        <w:rPr>
          <w:sz w:val="22"/>
          <w:szCs w:val="22"/>
        </w:rPr>
        <w:t xml:space="preserve">(Bare, NaCl and NaOH treated) </w:t>
      </w:r>
      <w:r w:rsidRPr="005B1CCB">
        <w:rPr>
          <w:sz w:val="22"/>
          <w:szCs w:val="22"/>
        </w:rPr>
        <w:t>characterised in ferri</w:t>
      </w:r>
      <w:r w:rsidR="00CE29E9" w:rsidRPr="005B1CCB">
        <w:rPr>
          <w:sz w:val="22"/>
          <w:szCs w:val="22"/>
        </w:rPr>
        <w:t>-</w:t>
      </w:r>
      <w:r w:rsidR="00800A27" w:rsidRPr="005B1CCB">
        <w:rPr>
          <w:sz w:val="22"/>
          <w:szCs w:val="22"/>
        </w:rPr>
        <w:t>ferro</w:t>
      </w:r>
      <w:r w:rsidRPr="005B1CCB">
        <w:rPr>
          <w:sz w:val="22"/>
          <w:szCs w:val="22"/>
        </w:rPr>
        <w:t>cyanide and ruthenium redox buffers</w:t>
      </w:r>
      <w:bookmarkEnd w:id="138"/>
    </w:p>
    <w:p w14:paraId="4D12CAE7" w14:textId="77777777" w:rsidR="00635839" w:rsidRPr="005B1CCB" w:rsidRDefault="00F026CE" w:rsidP="00D702C3">
      <w:pPr>
        <w:spacing w:line="360" w:lineRule="auto"/>
        <w:jc w:val="both"/>
        <w:rPr>
          <w:rFonts w:ascii="Palatino Linotype" w:hAnsi="Palatino Linotype"/>
          <w:sz w:val="24"/>
          <w:szCs w:val="24"/>
          <w:lang w:bidi="en-US"/>
        </w:rPr>
      </w:pPr>
      <w:r>
        <w:rPr>
          <w:rFonts w:ascii="Palatino Linotype" w:hAnsi="Palatino Linotype"/>
          <w:sz w:val="24"/>
          <w:szCs w:val="24"/>
          <w:lang w:bidi="en-US"/>
        </w:rPr>
        <w:t xml:space="preserve">   </w:t>
      </w:r>
      <w:r w:rsidR="001A0D3F" w:rsidRPr="005B1CCB">
        <w:rPr>
          <w:rFonts w:ascii="Palatino Linotype" w:hAnsi="Palatino Linotype"/>
          <w:sz w:val="24"/>
          <w:szCs w:val="24"/>
          <w:lang w:bidi="en-US"/>
        </w:rPr>
        <w:t xml:space="preserve">Ruthenium buffer characterisation on </w:t>
      </w:r>
      <w:r w:rsidR="00362471" w:rsidRPr="005B1CCB">
        <w:rPr>
          <w:rFonts w:ascii="Palatino Linotype" w:hAnsi="Palatino Linotype"/>
          <w:sz w:val="24"/>
          <w:szCs w:val="24"/>
          <w:lang w:bidi="en-US"/>
        </w:rPr>
        <w:t>all</w:t>
      </w:r>
      <w:r w:rsidR="001A0D3F" w:rsidRPr="005B1CCB">
        <w:rPr>
          <w:rFonts w:ascii="Palatino Linotype" w:hAnsi="Palatino Linotype"/>
          <w:sz w:val="24"/>
          <w:szCs w:val="24"/>
          <w:lang w:bidi="en-US"/>
        </w:rPr>
        <w:t xml:space="preserve"> the </w:t>
      </w:r>
      <w:r w:rsidR="00362471" w:rsidRPr="005B1CCB">
        <w:rPr>
          <w:rFonts w:ascii="Palatino Linotype" w:hAnsi="Palatino Linotype"/>
          <w:sz w:val="24"/>
          <w:szCs w:val="24"/>
          <w:lang w:bidi="en-US"/>
        </w:rPr>
        <w:t xml:space="preserve">surfaces including </w:t>
      </w:r>
      <w:r w:rsidR="001A0D3F" w:rsidRPr="005B1CCB">
        <w:rPr>
          <w:rFonts w:ascii="Palatino Linotype" w:hAnsi="Palatino Linotype"/>
          <w:sz w:val="24"/>
          <w:szCs w:val="24"/>
          <w:lang w:bidi="en-US"/>
        </w:rPr>
        <w:t>NaCl and NaOH pre-treated surfaces exhibited poor charge transfer properties</w:t>
      </w:r>
      <w:r w:rsidR="00A72CA1" w:rsidRPr="005B1CCB">
        <w:rPr>
          <w:rFonts w:ascii="Palatino Linotype" w:hAnsi="Palatino Linotype"/>
          <w:sz w:val="24"/>
          <w:szCs w:val="24"/>
          <w:lang w:bidi="en-US"/>
        </w:rPr>
        <w:t xml:space="preserve"> compared to characterisation using the ferri</w:t>
      </w:r>
      <w:r w:rsidR="00CE29E9" w:rsidRPr="005B1CCB">
        <w:rPr>
          <w:rFonts w:ascii="Palatino Linotype" w:hAnsi="Palatino Linotype"/>
          <w:sz w:val="24"/>
          <w:szCs w:val="24"/>
          <w:lang w:bidi="en-US"/>
        </w:rPr>
        <w:t>-</w:t>
      </w:r>
      <w:r w:rsidR="00A72CA1" w:rsidRPr="005B1CCB">
        <w:rPr>
          <w:rFonts w:ascii="Palatino Linotype" w:hAnsi="Palatino Linotype"/>
          <w:sz w:val="24"/>
          <w:szCs w:val="24"/>
          <w:lang w:bidi="en-US"/>
        </w:rPr>
        <w:t>ferro</w:t>
      </w:r>
      <w:r>
        <w:rPr>
          <w:rFonts w:ascii="Palatino Linotype" w:hAnsi="Palatino Linotype"/>
          <w:sz w:val="24"/>
          <w:szCs w:val="24"/>
          <w:lang w:bidi="en-US"/>
        </w:rPr>
        <w:t>cyanide</w:t>
      </w:r>
      <w:r w:rsidR="00A72CA1" w:rsidRPr="005B1CCB">
        <w:rPr>
          <w:rFonts w:ascii="Palatino Linotype" w:hAnsi="Palatino Linotype"/>
          <w:sz w:val="24"/>
          <w:szCs w:val="24"/>
          <w:lang w:bidi="en-US"/>
        </w:rPr>
        <w:t xml:space="preserve"> redox couple</w:t>
      </w:r>
      <w:r w:rsidR="001A0D3F" w:rsidRPr="005B1CCB">
        <w:rPr>
          <w:rFonts w:ascii="Palatino Linotype" w:hAnsi="Palatino Linotype"/>
          <w:sz w:val="24"/>
          <w:szCs w:val="24"/>
          <w:lang w:bidi="en-US"/>
        </w:rPr>
        <w:t xml:space="preserve">. </w:t>
      </w:r>
      <w:r w:rsidR="006F5D37" w:rsidRPr="00C55295">
        <w:rPr>
          <w:rFonts w:ascii="Palatino Linotype" w:hAnsi="Palatino Linotype"/>
          <w:sz w:val="24"/>
          <w:szCs w:val="24"/>
          <w:lang w:bidi="en-US"/>
        </w:rPr>
        <w:t xml:space="preserve">Although </w:t>
      </w:r>
      <w:r w:rsidR="00362471" w:rsidRPr="00C55295">
        <w:rPr>
          <w:rFonts w:ascii="Palatino Linotype" w:hAnsi="Palatino Linotype"/>
          <w:sz w:val="24"/>
          <w:szCs w:val="24"/>
          <w:lang w:bidi="en-US"/>
        </w:rPr>
        <w:t>the bare SPCE characterised using ferri</w:t>
      </w:r>
      <w:r w:rsidR="00CE29E9" w:rsidRPr="00C55295">
        <w:rPr>
          <w:rFonts w:ascii="Palatino Linotype" w:hAnsi="Palatino Linotype"/>
          <w:sz w:val="24"/>
          <w:szCs w:val="24"/>
          <w:lang w:bidi="en-US"/>
        </w:rPr>
        <w:t>-</w:t>
      </w:r>
      <w:r w:rsidR="00362471" w:rsidRPr="00C55295">
        <w:rPr>
          <w:rFonts w:ascii="Palatino Linotype" w:hAnsi="Palatino Linotype"/>
          <w:sz w:val="24"/>
          <w:szCs w:val="24"/>
          <w:lang w:bidi="en-US"/>
        </w:rPr>
        <w:t>ferrocyanide buffer showed the highest oxidative peak current</w:t>
      </w:r>
      <w:r w:rsidR="006F5D37" w:rsidRPr="00C55295">
        <w:rPr>
          <w:rFonts w:ascii="Palatino Linotype" w:hAnsi="Palatino Linotype"/>
          <w:sz w:val="24"/>
          <w:szCs w:val="24"/>
          <w:lang w:bidi="en-US"/>
        </w:rPr>
        <w:t xml:space="preserve">, the observed effects of pre-treatment from </w:t>
      </w:r>
      <w:r w:rsidR="00A25633" w:rsidRPr="00C55295">
        <w:rPr>
          <w:rFonts w:ascii="Palatino Linotype" w:hAnsi="Palatino Linotype"/>
          <w:sz w:val="24"/>
          <w:szCs w:val="24"/>
          <w:lang w:bidi="en-US"/>
        </w:rPr>
        <w:t>SEM F</w:t>
      </w:r>
      <w:r w:rsidR="006F5D37" w:rsidRPr="00C55295">
        <w:rPr>
          <w:rFonts w:ascii="Palatino Linotype" w:hAnsi="Palatino Linotype"/>
          <w:sz w:val="24"/>
          <w:szCs w:val="24"/>
          <w:lang w:bidi="en-US"/>
        </w:rPr>
        <w:t>igures</w:t>
      </w:r>
      <w:r w:rsidR="00D12BC1" w:rsidRPr="00C55295">
        <w:rPr>
          <w:rFonts w:ascii="Palatino Linotype" w:hAnsi="Palatino Linotype"/>
          <w:sz w:val="24"/>
          <w:szCs w:val="24"/>
          <w:lang w:bidi="en-US"/>
        </w:rPr>
        <w:t xml:space="preserve"> 2</w:t>
      </w:r>
      <w:r w:rsidR="00182BCE" w:rsidRPr="00C55295">
        <w:rPr>
          <w:rFonts w:ascii="Palatino Linotype" w:hAnsi="Palatino Linotype"/>
          <w:sz w:val="24"/>
          <w:szCs w:val="24"/>
          <w:lang w:bidi="en-US"/>
        </w:rPr>
        <w:t>6</w:t>
      </w:r>
      <w:r w:rsidR="00D12BC1" w:rsidRPr="00C55295">
        <w:rPr>
          <w:rFonts w:ascii="Palatino Linotype" w:hAnsi="Palatino Linotype"/>
          <w:sz w:val="24"/>
          <w:szCs w:val="24"/>
          <w:lang w:bidi="en-US"/>
        </w:rPr>
        <w:t>-2</w:t>
      </w:r>
      <w:r w:rsidR="00182BCE" w:rsidRPr="00C55295">
        <w:rPr>
          <w:rFonts w:ascii="Palatino Linotype" w:hAnsi="Palatino Linotype"/>
          <w:sz w:val="24"/>
          <w:szCs w:val="24"/>
          <w:lang w:bidi="en-US"/>
        </w:rPr>
        <w:t>8</w:t>
      </w:r>
      <w:r w:rsidR="006F5D37" w:rsidRPr="00C55295">
        <w:rPr>
          <w:rFonts w:ascii="Palatino Linotype" w:hAnsi="Palatino Linotype"/>
          <w:sz w:val="24"/>
          <w:szCs w:val="24"/>
          <w:lang w:bidi="en-US"/>
        </w:rPr>
        <w:t xml:space="preserve"> w</w:t>
      </w:r>
      <w:r w:rsidR="00D12BC1" w:rsidRPr="00C55295">
        <w:rPr>
          <w:rFonts w:ascii="Palatino Linotype" w:hAnsi="Palatino Linotype"/>
          <w:sz w:val="24"/>
          <w:szCs w:val="24"/>
          <w:lang w:bidi="en-US"/>
        </w:rPr>
        <w:t>ere</w:t>
      </w:r>
      <w:r w:rsidR="006F5D37" w:rsidRPr="00C55295">
        <w:rPr>
          <w:rFonts w:ascii="Palatino Linotype" w:hAnsi="Palatino Linotype"/>
          <w:sz w:val="24"/>
          <w:szCs w:val="24"/>
          <w:lang w:bidi="en-US"/>
        </w:rPr>
        <w:t xml:space="preserve"> taken into account.</w:t>
      </w:r>
      <w:r w:rsidR="006F5D37" w:rsidRPr="005B1CCB">
        <w:rPr>
          <w:rFonts w:ascii="Palatino Linotype" w:hAnsi="Palatino Linotype"/>
          <w:sz w:val="24"/>
          <w:szCs w:val="24"/>
          <w:lang w:bidi="en-US"/>
        </w:rPr>
        <w:t xml:space="preserve"> </w:t>
      </w:r>
    </w:p>
    <w:p w14:paraId="64FEEEA9" w14:textId="77777777" w:rsidR="0033105C" w:rsidRPr="005B1CCB" w:rsidRDefault="00275CF3" w:rsidP="00D425B1">
      <w:pPr>
        <w:pStyle w:val="Heading3"/>
      </w:pPr>
      <w:bookmarkStart w:id="139" w:name="_Toc84528111"/>
      <w:r w:rsidRPr="005B1CCB">
        <w:t>Characterisation of SPCE through the process of bio</w:t>
      </w:r>
      <w:r w:rsidR="001B4587" w:rsidRPr="005B1CCB">
        <w:t>-</w:t>
      </w:r>
      <w:r w:rsidRPr="005B1CCB">
        <w:t>functionalisation</w:t>
      </w:r>
      <w:bookmarkEnd w:id="139"/>
    </w:p>
    <w:p w14:paraId="2316B512" w14:textId="77777777" w:rsidR="001F4610" w:rsidRPr="005B1CCB" w:rsidRDefault="00517F06" w:rsidP="0033105C">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1F4610" w:rsidRPr="005B1CCB">
        <w:rPr>
          <w:rFonts w:ascii="Palatino Linotype" w:hAnsi="Palatino Linotype"/>
          <w:sz w:val="24"/>
          <w:szCs w:val="24"/>
          <w:lang w:bidi="en-US"/>
        </w:rPr>
        <w:t xml:space="preserve">Having characterised the electrode sensors without modification, it was </w:t>
      </w:r>
      <w:r w:rsidR="0054039C">
        <w:rPr>
          <w:rFonts w:ascii="Palatino Linotype" w:hAnsi="Palatino Linotype"/>
          <w:sz w:val="24"/>
          <w:szCs w:val="24"/>
          <w:lang w:bidi="en-US"/>
        </w:rPr>
        <w:t>then</w:t>
      </w:r>
      <w:r w:rsidR="001F4610" w:rsidRPr="005B1CCB">
        <w:rPr>
          <w:rFonts w:ascii="Palatino Linotype" w:hAnsi="Palatino Linotype"/>
          <w:sz w:val="24"/>
          <w:szCs w:val="24"/>
          <w:lang w:bidi="en-US"/>
        </w:rPr>
        <w:t xml:space="preserve"> necessary to move through the different functionalisation steps needed to produce a working sensor and </w:t>
      </w:r>
      <w:r w:rsidR="001F4610" w:rsidRPr="00C55295">
        <w:rPr>
          <w:rFonts w:ascii="Palatino Linotype" w:hAnsi="Palatino Linotype"/>
          <w:sz w:val="24"/>
          <w:szCs w:val="24"/>
          <w:lang w:bidi="en-US"/>
        </w:rPr>
        <w:t>see how each step impact upon the electrochemical response</w:t>
      </w:r>
      <w:r w:rsidR="001F4610" w:rsidRPr="005B1CCB">
        <w:rPr>
          <w:rFonts w:ascii="Palatino Linotype" w:hAnsi="Palatino Linotype"/>
          <w:sz w:val="24"/>
          <w:szCs w:val="24"/>
          <w:lang w:bidi="en-US"/>
        </w:rPr>
        <w:t xml:space="preserve">. </w:t>
      </w:r>
      <w:r w:rsidR="00D425B1" w:rsidRPr="005B1CCB">
        <w:rPr>
          <w:rFonts w:ascii="Palatino Linotype" w:hAnsi="Palatino Linotype"/>
          <w:sz w:val="24"/>
          <w:szCs w:val="24"/>
        </w:rPr>
        <w:t xml:space="preserve">The use of a SPCE with multiple working electrodes allows each electrode to be individually modified whilst rapidly carrying out simultaneous measurement of peak currents and charge transfer resistance. </w:t>
      </w:r>
      <w:r w:rsidR="001F4610" w:rsidRPr="005B1CCB">
        <w:rPr>
          <w:rFonts w:ascii="Palatino Linotype" w:hAnsi="Palatino Linotype"/>
          <w:sz w:val="24"/>
          <w:szCs w:val="24"/>
          <w:lang w:bidi="en-US"/>
        </w:rPr>
        <w:t xml:space="preserve">This work was necessary because it was important to understand how the various modification steps affected the electrochemistry of the system </w:t>
      </w:r>
      <w:r w:rsidR="00A64C7F" w:rsidRPr="005B1CCB">
        <w:rPr>
          <w:rFonts w:ascii="Palatino Linotype" w:hAnsi="Palatino Linotype"/>
          <w:sz w:val="24"/>
          <w:szCs w:val="24"/>
          <w:lang w:bidi="en-US"/>
        </w:rPr>
        <w:t xml:space="preserve">and confirm successful modification of the SPCE surface through the expected changes </w:t>
      </w:r>
      <w:r w:rsidR="001F4610" w:rsidRPr="005B1CCB">
        <w:rPr>
          <w:rFonts w:ascii="Palatino Linotype" w:hAnsi="Palatino Linotype"/>
          <w:sz w:val="24"/>
          <w:szCs w:val="24"/>
          <w:lang w:bidi="en-US"/>
        </w:rPr>
        <w:t>before it was possible to move onto measurements with ctDNA targets.</w:t>
      </w:r>
    </w:p>
    <w:p w14:paraId="392D27B1" w14:textId="77777777" w:rsidR="008D6A05" w:rsidRPr="005B1CCB" w:rsidRDefault="008D6A05" w:rsidP="008D6A05">
      <w:pPr>
        <w:keepNext/>
        <w:spacing w:line="360" w:lineRule="auto"/>
        <w:jc w:val="center"/>
      </w:pPr>
      <w:r w:rsidRPr="005B1CCB">
        <w:rPr>
          <w:noProof/>
          <w:lang w:eastAsia="en-GB"/>
        </w:rPr>
        <w:drawing>
          <wp:inline distT="0" distB="0" distL="0" distR="0" wp14:anchorId="102E748A" wp14:editId="61399B56">
            <wp:extent cx="5958700" cy="2832100"/>
            <wp:effectExtent l="0" t="0" r="444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t="2388"/>
                    <a:stretch/>
                  </pic:blipFill>
                  <pic:spPr bwMode="auto">
                    <a:xfrm>
                      <a:off x="0" y="0"/>
                      <a:ext cx="5971118" cy="2838002"/>
                    </a:xfrm>
                    <a:prstGeom prst="rect">
                      <a:avLst/>
                    </a:prstGeom>
                    <a:noFill/>
                    <a:ln>
                      <a:noFill/>
                    </a:ln>
                    <a:extLst>
                      <a:ext uri="{53640926-AAD7-44D8-BBD7-CCE9431645EC}">
                        <a14:shadowObscured xmlns:a14="http://schemas.microsoft.com/office/drawing/2010/main"/>
                      </a:ext>
                    </a:extLst>
                  </pic:spPr>
                </pic:pic>
              </a:graphicData>
            </a:graphic>
          </wp:inline>
        </w:drawing>
      </w:r>
    </w:p>
    <w:p w14:paraId="145874F7" w14:textId="77777777" w:rsidR="008D6A05" w:rsidRPr="005B1CCB" w:rsidRDefault="008D6A05" w:rsidP="008D6A05">
      <w:pPr>
        <w:pStyle w:val="Caption"/>
        <w:jc w:val="center"/>
        <w:rPr>
          <w:sz w:val="22"/>
          <w:szCs w:val="22"/>
        </w:rPr>
      </w:pPr>
      <w:bookmarkStart w:id="140" w:name="_Toc84519625"/>
      <w:r w:rsidRPr="005B1CCB">
        <w:rPr>
          <w:sz w:val="22"/>
          <w:szCs w:val="22"/>
        </w:rPr>
        <w:t xml:space="preserve">Figure </w:t>
      </w:r>
      <w:r w:rsidR="003B49ED" w:rsidRPr="005B1CCB">
        <w:rPr>
          <w:sz w:val="22"/>
          <w:szCs w:val="22"/>
        </w:rPr>
        <w:fldChar w:fldCharType="begin"/>
      </w:r>
      <w:r w:rsidR="003B49ED" w:rsidRPr="005B1CCB">
        <w:rPr>
          <w:sz w:val="22"/>
          <w:szCs w:val="22"/>
        </w:rPr>
        <w:instrText xml:space="preserve"> SEQ Figure \* ARABIC </w:instrText>
      </w:r>
      <w:r w:rsidR="003B49ED" w:rsidRPr="005B1CCB">
        <w:rPr>
          <w:sz w:val="22"/>
          <w:szCs w:val="22"/>
        </w:rPr>
        <w:fldChar w:fldCharType="separate"/>
      </w:r>
      <w:r w:rsidR="009007B4">
        <w:rPr>
          <w:noProof/>
          <w:sz w:val="22"/>
          <w:szCs w:val="22"/>
        </w:rPr>
        <w:t>30</w:t>
      </w:r>
      <w:r w:rsidR="003B49ED" w:rsidRPr="005B1CCB">
        <w:rPr>
          <w:noProof/>
          <w:sz w:val="22"/>
          <w:szCs w:val="22"/>
        </w:rPr>
        <w:fldChar w:fldCharType="end"/>
      </w:r>
      <w:r w:rsidRPr="005B1CCB">
        <w:rPr>
          <w:sz w:val="22"/>
          <w:szCs w:val="22"/>
        </w:rPr>
        <w:t>: Examines the effect of two different redox agents on the DPV peak current after each functionalisation step on SPCE sensor response characterised using (A) 1mM ferri-ferrocyanide buffer in 0.1 x PBS and (B) 1mM ruthenium hexaminechloride in 0.1 x PBS:</w:t>
      </w:r>
      <w:bookmarkEnd w:id="140"/>
    </w:p>
    <w:p w14:paraId="208BDC08" w14:textId="77777777" w:rsidR="008D6A05" w:rsidRPr="005B1CCB" w:rsidRDefault="008D6A05" w:rsidP="0091628F">
      <w:pPr>
        <w:spacing w:line="360" w:lineRule="auto"/>
      </w:pPr>
    </w:p>
    <w:p w14:paraId="3084F081" w14:textId="45B7E64A" w:rsidR="008D6A05" w:rsidRPr="005B1CCB" w:rsidRDefault="00994DA6" w:rsidP="008D6A05">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8D6A05" w:rsidRPr="005B1CCB">
        <w:rPr>
          <w:rFonts w:ascii="Palatino Linotype" w:hAnsi="Palatino Linotype"/>
          <w:sz w:val="24"/>
          <w:szCs w:val="24"/>
        </w:rPr>
        <w:t xml:space="preserve">Figure </w:t>
      </w:r>
      <w:r w:rsidR="00182BCE" w:rsidRPr="005B1CCB">
        <w:rPr>
          <w:rFonts w:ascii="Palatino Linotype" w:hAnsi="Palatino Linotype"/>
          <w:sz w:val="24"/>
          <w:szCs w:val="24"/>
        </w:rPr>
        <w:t>30</w:t>
      </w:r>
      <w:r w:rsidR="008D6A05" w:rsidRPr="005B1CCB">
        <w:rPr>
          <w:rFonts w:ascii="Palatino Linotype" w:hAnsi="Palatino Linotype"/>
          <w:sz w:val="24"/>
          <w:szCs w:val="24"/>
        </w:rPr>
        <w:t xml:space="preserve"> shows the effect of each modification step on DPV peak current using ferri-ferrocyanide. </w:t>
      </w:r>
      <w:r w:rsidR="008D6A05" w:rsidRPr="00C55295">
        <w:rPr>
          <w:rFonts w:ascii="Palatino Linotype" w:hAnsi="Palatino Linotype"/>
          <w:sz w:val="24"/>
          <w:szCs w:val="24"/>
        </w:rPr>
        <w:t>The low peak current observed after diazonium reduction can be attributed to the thickness of the film resulting from the covalent bonds created on the surface of the electrode</w:t>
      </w:r>
      <w:r w:rsidR="008D6A05" w:rsidRPr="005B1CCB">
        <w:rPr>
          <w:rFonts w:ascii="Palatino Linotype" w:hAnsi="Palatino Linotype"/>
          <w:sz w:val="24"/>
          <w:szCs w:val="24"/>
        </w:rPr>
        <w:t xml:space="preserve">. In </w:t>
      </w:r>
      <w:r w:rsidR="00A25633" w:rsidRPr="005B1CCB">
        <w:rPr>
          <w:rFonts w:ascii="Palatino Linotype" w:hAnsi="Palatino Linotype"/>
          <w:sz w:val="24"/>
          <w:szCs w:val="24"/>
        </w:rPr>
        <w:t>F</w:t>
      </w:r>
      <w:r w:rsidR="008D6A05" w:rsidRPr="005B1CCB">
        <w:rPr>
          <w:rFonts w:ascii="Palatino Linotype" w:hAnsi="Palatino Linotype"/>
          <w:sz w:val="24"/>
          <w:szCs w:val="24"/>
        </w:rPr>
        <w:t xml:space="preserve">igure </w:t>
      </w:r>
      <w:r w:rsidR="00182BCE" w:rsidRPr="005B1CCB">
        <w:rPr>
          <w:rFonts w:ascii="Palatino Linotype" w:hAnsi="Palatino Linotype"/>
          <w:sz w:val="24"/>
          <w:szCs w:val="24"/>
        </w:rPr>
        <w:t>30</w:t>
      </w:r>
      <w:r w:rsidR="008D6A05" w:rsidRPr="005B1CCB">
        <w:rPr>
          <w:rFonts w:ascii="Palatino Linotype" w:hAnsi="Palatino Linotype"/>
          <w:sz w:val="24"/>
          <w:szCs w:val="24"/>
        </w:rPr>
        <w:t xml:space="preserve"> (B), this effect is reversed and a higher peak current with two peaks are noted, suggesting a high sensitivity to the organic films. </w:t>
      </w:r>
      <w:r w:rsidR="008D6A05" w:rsidRPr="00C55295">
        <w:rPr>
          <w:rFonts w:ascii="Palatino Linotype" w:hAnsi="Palatino Linotype"/>
          <w:sz w:val="24"/>
          <w:szCs w:val="24"/>
        </w:rPr>
        <w:t>From the ferri-ferrocyanide characterisation, the NHS-EDC peak reflects both coupling initiation and activation on the surface of the electrode which results in an enhanced oxidation due to a neutrally charged NHS ester, leading to a negative potential shift and an increase in peak current.</w:t>
      </w:r>
      <w:r w:rsidR="008D6A05" w:rsidRPr="005B1CCB">
        <w:rPr>
          <w:rFonts w:ascii="Palatino Linotype" w:hAnsi="Palatino Linotype"/>
          <w:sz w:val="24"/>
          <w:szCs w:val="24"/>
        </w:rPr>
        <w:t xml:space="preserve"> </w:t>
      </w:r>
      <w:r w:rsidR="008D6A05" w:rsidRPr="00C55295">
        <w:rPr>
          <w:rFonts w:ascii="Palatino Linotype" w:hAnsi="Palatino Linotype"/>
          <w:sz w:val="24"/>
          <w:szCs w:val="24"/>
        </w:rPr>
        <w:t>DNA is negatively charged and thus resulted in a decrease in peak current when immobilised on the sensor surface</w:t>
      </w:r>
      <w:r w:rsidR="008D6A05" w:rsidRPr="005B1CCB">
        <w:rPr>
          <w:rFonts w:ascii="Palatino Linotype" w:hAnsi="Palatino Linotype"/>
          <w:sz w:val="24"/>
          <w:szCs w:val="24"/>
        </w:rPr>
        <w:t xml:space="preserve">. There is also an electrostatic repulsion between negative ferri-ferrocyanide ions and the negative phosphate group in the DNA structure. The double peaks from the ruthenium hexaminechloride characterisation make it more difficult to identify the correct peak current. In this case, </w:t>
      </w:r>
      <w:r w:rsidR="008D6A05" w:rsidRPr="00C55295">
        <w:rPr>
          <w:rFonts w:ascii="Palatino Linotype" w:hAnsi="Palatino Linotype"/>
          <w:sz w:val="24"/>
          <w:szCs w:val="24"/>
        </w:rPr>
        <w:t xml:space="preserve">the right hand peak </w:t>
      </w:r>
      <w:r w:rsidR="00CE49BE" w:rsidRPr="00C55295">
        <w:rPr>
          <w:rFonts w:ascii="Palatino Linotype" w:hAnsi="Palatino Linotype"/>
          <w:sz w:val="24"/>
          <w:szCs w:val="24"/>
        </w:rPr>
        <w:t xml:space="preserve">can be attributed </w:t>
      </w:r>
      <w:r w:rsidR="008D6A05" w:rsidRPr="00C55295">
        <w:rPr>
          <w:rFonts w:ascii="Palatino Linotype" w:hAnsi="Palatino Linotype"/>
          <w:sz w:val="24"/>
          <w:szCs w:val="24"/>
        </w:rPr>
        <w:t>to the ruthenium hexamine chloride redo</w:t>
      </w:r>
      <w:r w:rsidR="000E07CA" w:rsidRPr="00C55295">
        <w:rPr>
          <w:rFonts w:ascii="Palatino Linotype" w:hAnsi="Palatino Linotype"/>
          <w:sz w:val="24"/>
          <w:szCs w:val="24"/>
        </w:rPr>
        <w:t>x</w:t>
      </w:r>
      <w:r w:rsidR="008D6A05" w:rsidRPr="00C55295">
        <w:rPr>
          <w:rFonts w:ascii="Palatino Linotype" w:hAnsi="Palatino Linotype"/>
          <w:sz w:val="24"/>
          <w:szCs w:val="24"/>
        </w:rPr>
        <w:t xml:space="preserve"> reaction from free solution and the smaller smeared out left hand peak to the ruthenium redox reactions taking place at higher potentials because the redox reporter is trapped in organic layers and electrostatically associating with the DNA strands on the probe modified electrode surface.</w:t>
      </w:r>
      <w:r w:rsidR="008D6A05" w:rsidRPr="005B1CCB">
        <w:rPr>
          <w:rFonts w:ascii="Palatino Linotype" w:hAnsi="Palatino Linotype"/>
          <w:sz w:val="24"/>
          <w:szCs w:val="24"/>
        </w:rPr>
        <w:t xml:space="preserve"> The multiplexed analysis utilised greatly reduced the analysis time because of the high throughput of samples and minimised reagent consumption. After introducing the probe solution to the surface of the modified electrodes, the remaining active groups on the electrode were </w:t>
      </w:r>
      <w:r w:rsidR="008D6A05" w:rsidRPr="00C55295">
        <w:rPr>
          <w:rFonts w:ascii="Palatino Linotype" w:hAnsi="Palatino Linotype"/>
          <w:sz w:val="24"/>
          <w:szCs w:val="24"/>
        </w:rPr>
        <w:t>blocked using ethanolamine to produce a consistent sensing layer in order to facilitate DNA specificity and stability in terms of the DNA binding response</w:t>
      </w:r>
      <w:r w:rsidR="008D6A05" w:rsidRPr="005B1CCB">
        <w:rPr>
          <w:rFonts w:ascii="Palatino Linotype" w:hAnsi="Palatino Linotype"/>
          <w:sz w:val="24"/>
          <w:szCs w:val="24"/>
        </w:rPr>
        <w:t xml:space="preserve">. Blocking the free surface on the electrode resulted in an increase in peak current in ferri-ferrocyanide characterisation. A single but decreased current peak is shown in </w:t>
      </w:r>
      <w:r w:rsidR="00AF4A5B" w:rsidRPr="005B1CCB">
        <w:rPr>
          <w:rFonts w:ascii="Palatino Linotype" w:hAnsi="Palatino Linotype"/>
          <w:sz w:val="24"/>
          <w:szCs w:val="24"/>
        </w:rPr>
        <w:t>F</w:t>
      </w:r>
      <w:r w:rsidR="008D6A05" w:rsidRPr="005B1CCB">
        <w:rPr>
          <w:rFonts w:ascii="Palatino Linotype" w:hAnsi="Palatino Linotype"/>
          <w:sz w:val="24"/>
          <w:szCs w:val="24"/>
        </w:rPr>
        <w:t xml:space="preserve">igure </w:t>
      </w:r>
      <w:r w:rsidR="00182BCE" w:rsidRPr="005B1CCB">
        <w:rPr>
          <w:rFonts w:ascii="Palatino Linotype" w:hAnsi="Palatino Linotype"/>
          <w:sz w:val="24"/>
          <w:szCs w:val="24"/>
        </w:rPr>
        <w:t>30</w:t>
      </w:r>
      <w:r w:rsidR="008D6A05" w:rsidRPr="005B1CCB">
        <w:rPr>
          <w:rFonts w:ascii="Palatino Linotype" w:hAnsi="Palatino Linotype"/>
          <w:sz w:val="24"/>
          <w:szCs w:val="24"/>
        </w:rPr>
        <w:t xml:space="preserve"> (B) after blocking and this can be attributed to the sensitivity of ruthenium hexaminechloride to the consistent layer on the outer surface of the electrode. </w:t>
      </w:r>
      <w:r w:rsidR="003574F6" w:rsidRPr="005B1CCB">
        <w:rPr>
          <w:rFonts w:ascii="Palatino Linotype" w:hAnsi="Palatino Linotype"/>
          <w:sz w:val="24"/>
          <w:szCs w:val="24"/>
        </w:rPr>
        <w:t xml:space="preserve">Similar results observed from the ferri/ferrocyanide redox couple is shown in </w:t>
      </w:r>
      <w:r w:rsidR="00A25633" w:rsidRPr="005B1CCB">
        <w:rPr>
          <w:rFonts w:ascii="Palatino Linotype" w:hAnsi="Palatino Linotype"/>
          <w:sz w:val="24"/>
          <w:szCs w:val="24"/>
        </w:rPr>
        <w:t>F</w:t>
      </w:r>
      <w:r w:rsidR="003574F6" w:rsidRPr="005B1CCB">
        <w:rPr>
          <w:rFonts w:ascii="Palatino Linotype" w:hAnsi="Palatino Linotype"/>
          <w:sz w:val="24"/>
          <w:szCs w:val="24"/>
        </w:rPr>
        <w:t xml:space="preserve">igure </w:t>
      </w:r>
      <w:r w:rsidR="00182BCE" w:rsidRPr="005B1CCB">
        <w:rPr>
          <w:rFonts w:ascii="Palatino Linotype" w:hAnsi="Palatino Linotype"/>
          <w:sz w:val="24"/>
          <w:szCs w:val="24"/>
        </w:rPr>
        <w:t>31</w:t>
      </w:r>
      <w:r w:rsidR="003574F6" w:rsidRPr="005B1CCB">
        <w:rPr>
          <w:rFonts w:ascii="Palatino Linotype" w:hAnsi="Palatino Linotype"/>
          <w:sz w:val="24"/>
          <w:szCs w:val="24"/>
        </w:rPr>
        <w:t xml:space="preserve"> using cyclic voltammetry measurement technique</w:t>
      </w:r>
      <w:r w:rsidR="00740593">
        <w:rPr>
          <w:rFonts w:ascii="Palatino Linotype" w:hAnsi="Palatino Linotype"/>
          <w:sz w:val="24"/>
          <w:szCs w:val="24"/>
        </w:rPr>
        <w:t xml:space="preserve"> on the same sample</w:t>
      </w:r>
      <w:r w:rsidR="003574F6" w:rsidRPr="005B1CCB">
        <w:rPr>
          <w:rFonts w:ascii="Palatino Linotype" w:hAnsi="Palatino Linotype"/>
          <w:sz w:val="24"/>
          <w:szCs w:val="24"/>
        </w:rPr>
        <w:t xml:space="preserve">. </w:t>
      </w:r>
      <w:r w:rsidR="008D6A05" w:rsidRPr="005B1CCB">
        <w:rPr>
          <w:rFonts w:ascii="Palatino Linotype" w:hAnsi="Palatino Linotype"/>
          <w:sz w:val="24"/>
          <w:szCs w:val="24"/>
        </w:rPr>
        <w:t xml:space="preserve">The findings from these modification characterisations are in line with previous studies </w:t>
      </w:r>
      <w:r w:rsidR="008D6A05"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{"citationItems":[{"id":"ITEM-1","itemData":{"DOI":"10.1016/j.bioelechem.2015.05.009","ISSN":"1878562X","PMID":"26011131","abstract":"This work presents a comparison of two different aptamers (Apts) (COX and TRAN) for the detection of a ubiquitous protein Lysozyme (Lys) using Apt-based biosensors. The detection is based on the specific recognition by the Apt immobilized on screen printed carbon electrodes (SPCEs) via diazonium coupling reaction. The quantitative detection of Lys protein was achieved by electrochemical impedance spectroscopy (EIS). A very good linearity and detection limits for the quantitation of Lys were obtained from 0.1 to 0.8. μM and 100. nM using Apt COX and from 0.025 to 0.8. μM and 25. nM using Apt TRAN respectively. The obtained results showed that the developed aptasensors exhibit good specificity, stability and reproducibility for Lys detection. For real application, the aptasensors were tested in wine samples and good recovery rates were recorded in the range from 94.2 to 102% for Lys detection. The obtained recovery rates confirm the reliability and suitability of the developed method in wine matrix. The developed method could be a useful and promising platform for detection of Lys in different applications.","author":[{"dropping-particle":"","family":"Ocaña","given":"Cristina","non-dropping-particle":"","parse-names":false,"suffix":""},{"dropping-particle":"","family":"Hayat","given":"Akhtar","non-dropping-particle":"","parse-names":false,"suffix":""},{"dropping-particle":"","family":"Mishra","given":"Rupesh K.","non-dropping-particle":"","parse-names":false,"suffix":""},{"dropping-particle":"","family":"Vasilescu","given":"Alina","non-dropping-particle":"","parse-names":false,"suffix":""},{"dropping-particle":"","family":"Valle","given":"Manel","non-dropping-particle":"del","parse-names":false,"suffix":""},{"dropping-particle":"","family":"Marty","given":"Jean Louis","non-dropping-particle":"","parse-names":false,"suffix":""}],"container-title":"Bioelectrochemistry","id":"ITEM-1","issued":{"date-parts":[["2015"]]},"page":"72-77","publisher":"Elsevier B.V.","title":"Label free aptasensor for Lysozyme detection: A comparison of the analytical performance of two aptamers","type":"article-journal","volume":"105"},"uris":["http://www.mendeley.com/documents/?uuid=82a2fe5d-8fcc-40e0-a11a-32bcce826975"]}],"mendeley":{"formattedCitation":"[231]","manualFormatting":"[47","plainTextFormattedCitation":"[231]","previouslyFormattedCitation":"[231]"},"properties":{"noteIndex":0},"schema":"https://github.com/citation-style-language/schema/raw/master/csl-citation.json"}</w:instrText>
      </w:r>
      <w:r w:rsidR="008D6A05" w:rsidRPr="005B1CCB">
        <w:rPr>
          <w:rFonts w:ascii="Palatino Linotype" w:hAnsi="Palatino Linotype"/>
          <w:sz w:val="24"/>
          <w:szCs w:val="24"/>
        </w:rPr>
        <w:fldChar w:fldCharType="separate"/>
      </w:r>
      <w:r w:rsidR="008D6A05" w:rsidRPr="005B1CCB">
        <w:rPr>
          <w:rFonts w:ascii="Palatino Linotype" w:hAnsi="Palatino Linotype"/>
          <w:noProof/>
          <w:sz w:val="24"/>
          <w:szCs w:val="24"/>
        </w:rPr>
        <w:t>[47</w:t>
      </w:r>
      <w:r w:rsidR="008D6A05" w:rsidRPr="005B1CCB">
        <w:rPr>
          <w:rFonts w:ascii="Palatino Linotype" w:hAnsi="Palatino Linotype"/>
          <w:sz w:val="24"/>
          <w:szCs w:val="24"/>
        </w:rPr>
        <w:fldChar w:fldCharType="end"/>
      </w:r>
      <w:r w:rsidR="008D6A05" w:rsidRPr="005B1CCB">
        <w:rPr>
          <w:rFonts w:ascii="Palatino Linotype" w:hAnsi="Palatino Linotype"/>
          <w:sz w:val="24"/>
          <w:szCs w:val="24"/>
        </w:rPr>
        <w:t>-</w:t>
      </w:r>
      <w:r w:rsidR="008D6A05"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{"citationItems":[{"id":"ITEM-1","itemData":{"DOI":"10.1155/2018/1273768","ISSN":"2090-3529","abstract":"By cyclic voltammetry at high scan rates, the electrochemical properties of RuO&lt;sub&gt;2&lt;/sub&gt; in acidic and alkaline solutions were investigated in detail. Thirteen current peaks can be distinguished in sulfuric acid and sodium hydroxide. With respect to the pH sensitivity of RuO&lt;sub&gt;2&lt;/sub&gt; electrodes, we considered charge calculations, peak currents, and apparent diffusion coefficients. The nature of the Ru(II) oxidation was clarified by Ru(I)&amp;#x2212;Ru(III) species.","author":[{"dropping-particle":"","family":"Chalupczok","given":"Sebastian","non-dropping-particle":"","parse-names":false,"suffix":""},{"dropping-particle":"","family":"Kurzweil","given":"Peter","non-dropping-particle":"","parse-names":false,"suffix":""},{"dropping-particle":"","family":"Hartmann","given":"Helmut","non-dropping-particle":"","parse-names":false,"suffix":""},{"dropping-particle":"","family":"Schell","given":"Christian","non-dropping-particle":"","parse-names":false,"suffix":""}],"container-title":"International Journal of Electrochemistry","editor":[{"dropping-particle":"","family":"Flechsig","given":"Gerd-Uwe","non-dropping-particle":"","parse-names":false,"suffix":""}],"id":"ITEM-1","issued":{"date-parts":[["2018"]]},"page":"1273768","publisher":"Hindawi","title":"The Redox Chemistry of Ruthenium Dioxide: A Cyclic Voltammetry Study—Review and Revision","type":"article-journal","volume":"2018"},"uris":["http://www.mendeley.com/documents/?uuid=ae2b787f-da4a-4516-ad12-369be7749c55"]}],"mendeley":{"formattedCitation":"[232]","manualFormatting":"49]","plainTextFormattedCitation":"[232]","previouslyFormattedCitation":"[232]"},"properties":{"noteIndex":0},"schema":"https://github.com/citation-style-language/schema/raw/master/csl-citation.json"}</w:instrText>
      </w:r>
      <w:r w:rsidR="008D6A05" w:rsidRPr="005B1CCB">
        <w:rPr>
          <w:rFonts w:ascii="Palatino Linotype" w:hAnsi="Palatino Linotype"/>
          <w:sz w:val="24"/>
          <w:szCs w:val="24"/>
        </w:rPr>
        <w:fldChar w:fldCharType="separate"/>
      </w:r>
      <w:r w:rsidR="008D6A05" w:rsidRPr="005B1CCB">
        <w:rPr>
          <w:rFonts w:ascii="Palatino Linotype" w:hAnsi="Palatino Linotype"/>
          <w:noProof/>
          <w:sz w:val="24"/>
          <w:szCs w:val="24"/>
        </w:rPr>
        <w:t>49]</w:t>
      </w:r>
      <w:r w:rsidR="008D6A05" w:rsidRPr="005B1CCB">
        <w:rPr>
          <w:rFonts w:ascii="Palatino Linotype" w:hAnsi="Palatino Linotype"/>
          <w:sz w:val="24"/>
          <w:szCs w:val="24"/>
        </w:rPr>
        <w:fldChar w:fldCharType="end"/>
      </w:r>
      <w:r w:rsidR="008D6A05" w:rsidRPr="005B1CCB">
        <w:rPr>
          <w:rFonts w:ascii="Palatino Linotype" w:hAnsi="Palatino Linotype"/>
          <w:sz w:val="24"/>
          <w:szCs w:val="24"/>
        </w:rPr>
        <w:t xml:space="preserve"> and noting the observations on SPCEs, going</w:t>
      </w:r>
      <w:r w:rsidR="00085BEF">
        <w:rPr>
          <w:rFonts w:ascii="Palatino Linotype" w:hAnsi="Palatino Linotype"/>
          <w:sz w:val="24"/>
          <w:szCs w:val="24"/>
        </w:rPr>
        <w:t xml:space="preserve"> forward,</w:t>
      </w:r>
      <w:r w:rsidR="008D6A05" w:rsidRPr="005B1CCB">
        <w:rPr>
          <w:rFonts w:ascii="Palatino Linotype" w:hAnsi="Palatino Linotype"/>
          <w:sz w:val="24"/>
          <w:szCs w:val="24"/>
        </w:rPr>
        <w:t xml:space="preserve"> </w:t>
      </w:r>
      <w:r w:rsidR="009315BB" w:rsidRPr="005B1CCB">
        <w:rPr>
          <w:rFonts w:ascii="Palatino Linotype" w:hAnsi="Palatino Linotype"/>
          <w:sz w:val="24"/>
          <w:szCs w:val="24"/>
        </w:rPr>
        <w:t>the</w:t>
      </w:r>
      <w:r w:rsidR="008D6A05" w:rsidRPr="005B1CCB">
        <w:rPr>
          <w:rFonts w:ascii="Palatino Linotype" w:hAnsi="Palatino Linotype"/>
          <w:sz w:val="24"/>
          <w:szCs w:val="24"/>
        </w:rPr>
        <w:t xml:space="preserve"> optimal characterisation buffer for these studies is ferri</w:t>
      </w:r>
      <w:r w:rsidR="003574F6" w:rsidRPr="005B1CCB">
        <w:rPr>
          <w:rFonts w:ascii="Palatino Linotype" w:hAnsi="Palatino Linotype"/>
          <w:sz w:val="24"/>
          <w:szCs w:val="24"/>
        </w:rPr>
        <w:t>/</w:t>
      </w:r>
      <w:r w:rsidR="008D6A05" w:rsidRPr="005B1CCB">
        <w:rPr>
          <w:rFonts w:ascii="Palatino Linotype" w:hAnsi="Palatino Linotype"/>
          <w:sz w:val="24"/>
          <w:szCs w:val="24"/>
        </w:rPr>
        <w:t>ferrocyanide</w:t>
      </w:r>
      <w:r w:rsidR="003574F6" w:rsidRPr="005B1CCB">
        <w:rPr>
          <w:rFonts w:ascii="Palatino Linotype" w:hAnsi="Palatino Linotype"/>
          <w:sz w:val="24"/>
          <w:szCs w:val="24"/>
        </w:rPr>
        <w:t xml:space="preserve"> redox buffer</w:t>
      </w:r>
      <w:r w:rsidR="008D6A05" w:rsidRPr="005B1CCB">
        <w:rPr>
          <w:rFonts w:ascii="Palatino Linotype" w:hAnsi="Palatino Linotype"/>
          <w:sz w:val="24"/>
          <w:szCs w:val="24"/>
        </w:rPr>
        <w:t>.</w:t>
      </w:r>
    </w:p>
    <w:p w14:paraId="770B5748" w14:textId="77777777" w:rsidR="0091628F" w:rsidRPr="005B1CCB" w:rsidRDefault="008E7671" w:rsidP="0091628F">
      <w:pPr>
        <w:keepNext/>
        <w:spacing w:line="360" w:lineRule="auto"/>
        <w:jc w:val="center"/>
      </w:pPr>
      <w:r w:rsidRPr="005B1CCB">
        <w:rPr>
          <w:noProof/>
          <w:lang w:eastAsia="en-GB"/>
        </w:rPr>
        <w:drawing>
          <wp:inline distT="0" distB="0" distL="0" distR="0" wp14:anchorId="7A091DD6" wp14:editId="4ACA94A6">
            <wp:extent cx="4065104" cy="311225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l="5751" b="5464"/>
                    <a:stretch/>
                  </pic:blipFill>
                  <pic:spPr bwMode="auto">
                    <a:xfrm>
                      <a:off x="0" y="0"/>
                      <a:ext cx="4085515" cy="3127885"/>
                    </a:xfrm>
                    <a:prstGeom prst="rect">
                      <a:avLst/>
                    </a:prstGeom>
                    <a:noFill/>
                    <a:ln>
                      <a:noFill/>
                    </a:ln>
                    <a:extLst>
                      <a:ext uri="{53640926-AAD7-44D8-BBD7-CCE9431645EC}">
                        <a14:shadowObscured xmlns:a14="http://schemas.microsoft.com/office/drawing/2010/main"/>
                      </a:ext>
                    </a:extLst>
                  </pic:spPr>
                </pic:pic>
              </a:graphicData>
            </a:graphic>
          </wp:inline>
        </w:drawing>
      </w:r>
    </w:p>
    <w:p w14:paraId="09205DDF" w14:textId="623DB088" w:rsidR="008D6A05" w:rsidRPr="005B1CCB" w:rsidRDefault="0091628F" w:rsidP="0091628F">
      <w:pPr>
        <w:pStyle w:val="Caption"/>
        <w:jc w:val="center"/>
        <w:rPr>
          <w:sz w:val="22"/>
          <w:szCs w:val="22"/>
        </w:rPr>
      </w:pPr>
      <w:bookmarkStart w:id="141" w:name="_Toc84519626"/>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31</w:t>
      </w:r>
      <w:r w:rsidRPr="005B1CCB">
        <w:rPr>
          <w:sz w:val="22"/>
          <w:szCs w:val="22"/>
        </w:rPr>
        <w:fldChar w:fldCharType="end"/>
      </w:r>
      <w:r w:rsidRPr="005B1CCB">
        <w:rPr>
          <w:sz w:val="22"/>
          <w:szCs w:val="22"/>
        </w:rPr>
        <w:t>: CV results showing the effect of different modifications on the signal changes recorded from the surface of the SPCE</w:t>
      </w:r>
      <w:r w:rsidR="003574F6" w:rsidRPr="005B1CCB">
        <w:rPr>
          <w:sz w:val="22"/>
          <w:szCs w:val="22"/>
        </w:rPr>
        <w:t xml:space="preserve"> using ferri/ferrocyanide redo</w:t>
      </w:r>
      <w:r w:rsidR="00085BEF">
        <w:rPr>
          <w:sz w:val="22"/>
          <w:szCs w:val="22"/>
        </w:rPr>
        <w:t>x</w:t>
      </w:r>
      <w:r w:rsidR="003574F6" w:rsidRPr="005B1CCB">
        <w:rPr>
          <w:sz w:val="22"/>
          <w:szCs w:val="22"/>
        </w:rPr>
        <w:t xml:space="preserve"> buffer</w:t>
      </w:r>
      <w:bookmarkEnd w:id="141"/>
    </w:p>
    <w:p w14:paraId="39BDD91A" w14:textId="77777777" w:rsidR="00182BCE" w:rsidRPr="005B1CCB" w:rsidRDefault="00182BCE" w:rsidP="00182BCE"/>
    <w:p w14:paraId="433E90EA" w14:textId="77777777" w:rsidR="00DE712F" w:rsidRPr="005B1CCB" w:rsidRDefault="0023278D" w:rsidP="00D71969">
      <w:pPr>
        <w:pStyle w:val="Heading3"/>
      </w:pPr>
      <w:bookmarkStart w:id="142" w:name="_Toc84528112"/>
      <w:r w:rsidRPr="005B1CCB">
        <w:t xml:space="preserve">Assay </w:t>
      </w:r>
      <w:r w:rsidR="007B007C" w:rsidRPr="005B1CCB">
        <w:t>development</w:t>
      </w:r>
      <w:r w:rsidRPr="005B1CCB">
        <w:t xml:space="preserve"> and </w:t>
      </w:r>
      <w:r w:rsidR="00DE712F" w:rsidRPr="005B1CCB">
        <w:t>DNA Amplification</w:t>
      </w:r>
      <w:bookmarkEnd w:id="142"/>
      <w:r w:rsidR="00DE712F" w:rsidRPr="005B1CCB">
        <w:t xml:space="preserve"> </w:t>
      </w:r>
    </w:p>
    <w:p w14:paraId="524A2C03" w14:textId="63D9DA6A" w:rsidR="00184ED9" w:rsidRPr="005B1CCB" w:rsidRDefault="00800C73" w:rsidP="00182BCE">
      <w:pPr>
        <w:pStyle w:val="MDPI31text"/>
        <w:spacing w:line="360" w:lineRule="auto"/>
        <w:rPr>
          <w:sz w:val="24"/>
          <w:szCs w:val="24"/>
          <w:lang w:val="en-GB"/>
        </w:rPr>
      </w:pPr>
      <w:r w:rsidRPr="005B1CCB">
        <w:rPr>
          <w:sz w:val="24"/>
          <w:szCs w:val="24"/>
          <w:lang w:val="en-GB"/>
        </w:rPr>
        <w:t xml:space="preserve">Prior to carrying out any work on the electrochemical detection of the KRAS G12D mutation, it was necessary to first confirm the presence of mutated DNA in the representative </w:t>
      </w:r>
      <w:r w:rsidR="00B076FE">
        <w:rPr>
          <w:sz w:val="24"/>
          <w:szCs w:val="24"/>
          <w:lang w:val="en-GB"/>
        </w:rPr>
        <w:t xml:space="preserve">clininal </w:t>
      </w:r>
      <w:r w:rsidRPr="005B1CCB">
        <w:rPr>
          <w:sz w:val="24"/>
          <w:szCs w:val="24"/>
          <w:lang w:val="en-GB"/>
        </w:rPr>
        <w:t>sample.</w:t>
      </w:r>
      <w:r w:rsidRPr="005B1CCB">
        <w:rPr>
          <w:sz w:val="24"/>
          <w:szCs w:val="24"/>
        </w:rPr>
        <w:t xml:space="preserve"> </w:t>
      </w:r>
      <w:r w:rsidRPr="005B1CCB">
        <w:rPr>
          <w:color w:val="auto"/>
          <w:sz w:val="24"/>
          <w:szCs w:val="24"/>
          <w:lang w:val="en-GB"/>
        </w:rPr>
        <w:t xml:space="preserve">These samples were </w:t>
      </w:r>
      <w:r w:rsidR="00B076FE">
        <w:rPr>
          <w:color w:val="auto"/>
          <w:sz w:val="24"/>
          <w:szCs w:val="24"/>
          <w:lang w:val="en-GB"/>
        </w:rPr>
        <w:t>obtained</w:t>
      </w:r>
      <w:r w:rsidR="00B076FE" w:rsidRPr="005B1CCB">
        <w:rPr>
          <w:color w:val="auto"/>
          <w:sz w:val="24"/>
          <w:szCs w:val="24"/>
          <w:lang w:val="en-GB"/>
        </w:rPr>
        <w:t xml:space="preserve"> </w:t>
      </w:r>
      <w:r w:rsidRPr="005B1CCB">
        <w:rPr>
          <w:color w:val="auto"/>
          <w:sz w:val="24"/>
          <w:szCs w:val="24"/>
          <w:lang w:val="en-GB"/>
        </w:rPr>
        <w:t xml:space="preserve">from cancer patients and employed for assay development to give confidence that the sensor indeed could work with clinical samples.  </w:t>
      </w:r>
      <w:r w:rsidR="001D073A" w:rsidRPr="005B1CCB">
        <w:rPr>
          <w:sz w:val="24"/>
          <w:szCs w:val="24"/>
          <w:lang w:val="en-GB"/>
        </w:rPr>
        <w:t xml:space="preserve">Initial analysis </w:t>
      </w:r>
      <w:r w:rsidRPr="005B1CCB">
        <w:rPr>
          <w:sz w:val="24"/>
          <w:szCs w:val="24"/>
          <w:lang w:val="en-GB"/>
        </w:rPr>
        <w:t xml:space="preserve">was done using droplet digital PCR on DNA samples isolated from patients.  From Figure </w:t>
      </w:r>
      <w:r w:rsidR="006779D8" w:rsidRPr="005B1CCB">
        <w:rPr>
          <w:sz w:val="24"/>
          <w:szCs w:val="24"/>
          <w:lang w:val="en-GB"/>
        </w:rPr>
        <w:t>3</w:t>
      </w:r>
      <w:r w:rsidR="00182BCE" w:rsidRPr="005B1CCB">
        <w:rPr>
          <w:sz w:val="24"/>
          <w:szCs w:val="24"/>
          <w:lang w:val="en-GB"/>
        </w:rPr>
        <w:t>2</w:t>
      </w:r>
      <w:r w:rsidRPr="005B1CCB">
        <w:rPr>
          <w:sz w:val="24"/>
          <w:szCs w:val="24"/>
          <w:lang w:val="en-GB"/>
        </w:rPr>
        <w:t xml:space="preserve">, it can be seen that the levels of mutated KRAS G12D gDNA were low (~4 copies/ng of total DNA) compared to the wild type KRAS (~550 copies/ng of total DNA). </w:t>
      </w:r>
      <w:bookmarkStart w:id="143" w:name="_Hlk84158644"/>
      <w:r w:rsidR="00EC7157" w:rsidRPr="00EC7157">
        <w:rPr>
          <w:sz w:val="24"/>
          <w:szCs w:val="24"/>
          <w:lang w:val="en-GB"/>
        </w:rPr>
        <w:t xml:space="preserve">The standard deviation reflects the variation obtained from the experimental replicas. </w:t>
      </w:r>
      <w:r w:rsidRPr="005B1CCB">
        <w:rPr>
          <w:sz w:val="24"/>
          <w:szCs w:val="24"/>
          <w:lang w:val="en-GB"/>
        </w:rPr>
        <w:t xml:space="preserve"> </w:t>
      </w:r>
      <w:bookmarkEnd w:id="143"/>
      <w:r w:rsidRPr="005B1CCB">
        <w:rPr>
          <w:sz w:val="24"/>
          <w:szCs w:val="24"/>
          <w:lang w:val="en-GB"/>
        </w:rPr>
        <w:t>This finding was reassuring, i.e. that KRAS G12D mutations were present in the assay samples but underlined the analytical challenge of amplifying the mutation against a high background of wild</w:t>
      </w:r>
      <w:r w:rsidR="00523511" w:rsidRPr="005B1CCB">
        <w:rPr>
          <w:sz w:val="24"/>
          <w:szCs w:val="24"/>
          <w:lang w:val="en-GB"/>
        </w:rPr>
        <w:t>-</w:t>
      </w:r>
      <w:r w:rsidRPr="005B1CCB">
        <w:rPr>
          <w:sz w:val="24"/>
          <w:szCs w:val="24"/>
          <w:lang w:val="en-GB"/>
        </w:rPr>
        <w:t>type KRAS DNA sequences and also the high genomic</w:t>
      </w:r>
      <w:r w:rsidR="00A82A83" w:rsidRPr="005B1CCB">
        <w:rPr>
          <w:sz w:val="24"/>
          <w:szCs w:val="24"/>
          <w:lang w:val="en-GB"/>
        </w:rPr>
        <w:t xml:space="preserve"> DNA background more generally.</w:t>
      </w:r>
      <w:r w:rsidR="00182BCE" w:rsidRPr="005B1CCB">
        <w:rPr>
          <w:sz w:val="24"/>
          <w:szCs w:val="24"/>
        </w:rPr>
        <w:t xml:space="preserve"> Primers used for the PCR amplification were tailored to selectively amplify the mutant target by varying a single nucleotide.</w:t>
      </w:r>
    </w:p>
    <w:p w14:paraId="0287421D" w14:textId="77777777" w:rsidR="00825D48" w:rsidRPr="005B1CCB" w:rsidRDefault="006A3F16" w:rsidP="00825D48">
      <w:pPr>
        <w:keepNext/>
        <w:spacing w:line="360" w:lineRule="auto"/>
        <w:ind w:left="360"/>
        <w:jc w:val="center"/>
        <w:rPr>
          <w:rFonts w:ascii="Palatino Linotype" w:hAnsi="Palatino Linotype" w:cs="Times New Roman"/>
        </w:rPr>
      </w:pPr>
      <w:r w:rsidRPr="005B1CCB">
        <w:rPr>
          <w:rFonts w:ascii="Palatino Linotype" w:hAnsi="Palatino Linotype" w:cs="Times New Roman"/>
          <w:noProof/>
          <w:lang w:eastAsia="en-GB"/>
        </w:rPr>
        <w:drawing>
          <wp:inline distT="0" distB="0" distL="0" distR="0" wp14:anchorId="58B59286" wp14:editId="48C2FFF0">
            <wp:extent cx="3902120" cy="2613991"/>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7">
                      <a:extLst>
                        <a:ext uri="{28A0092B-C50C-407E-A947-70E740481C1C}">
                          <a14:useLocalDpi xmlns:a14="http://schemas.microsoft.com/office/drawing/2010/main" val="0"/>
                        </a:ext>
                      </a:extLst>
                    </a:blip>
                    <a:srcRect l="5222" t="5130" b="8565"/>
                    <a:stretch/>
                  </pic:blipFill>
                  <pic:spPr bwMode="auto">
                    <a:xfrm>
                      <a:off x="0" y="0"/>
                      <a:ext cx="3913550" cy="2621648"/>
                    </a:xfrm>
                    <a:prstGeom prst="rect">
                      <a:avLst/>
                    </a:prstGeom>
                    <a:noFill/>
                    <a:ln>
                      <a:noFill/>
                    </a:ln>
                    <a:extLst>
                      <a:ext uri="{53640926-AAD7-44D8-BBD7-CCE9431645EC}">
                        <a14:shadowObscured xmlns:a14="http://schemas.microsoft.com/office/drawing/2010/main"/>
                      </a:ext>
                    </a:extLst>
                  </pic:spPr>
                </pic:pic>
              </a:graphicData>
            </a:graphic>
          </wp:inline>
        </w:drawing>
      </w:r>
    </w:p>
    <w:p w14:paraId="1A000FE7" w14:textId="779FF358" w:rsidR="00182BCE" w:rsidRPr="005B1CCB" w:rsidRDefault="00184ED9" w:rsidP="00182BCE">
      <w:pPr>
        <w:pStyle w:val="Caption"/>
        <w:spacing w:line="360" w:lineRule="auto"/>
        <w:jc w:val="center"/>
        <w:rPr>
          <w:rFonts w:cstheme="minorHAnsi"/>
          <w:sz w:val="22"/>
          <w:szCs w:val="22"/>
        </w:rPr>
      </w:pPr>
      <w:bookmarkStart w:id="144" w:name="_Toc84519627"/>
      <w:r w:rsidRPr="005B1CCB">
        <w:rPr>
          <w:rFonts w:cstheme="minorHAnsi"/>
          <w:sz w:val="22"/>
          <w:szCs w:val="22"/>
        </w:rPr>
        <w:t xml:space="preserve">Figure </w:t>
      </w:r>
      <w:r w:rsidRPr="005B1CCB">
        <w:rPr>
          <w:rFonts w:cstheme="minorHAnsi"/>
          <w:sz w:val="22"/>
          <w:szCs w:val="22"/>
        </w:rPr>
        <w:fldChar w:fldCharType="begin"/>
      </w:r>
      <w:r w:rsidRPr="005B1CCB">
        <w:rPr>
          <w:rFonts w:cstheme="minorHAnsi"/>
          <w:sz w:val="22"/>
          <w:szCs w:val="22"/>
        </w:rPr>
        <w:instrText xml:space="preserve"> SEQ Figure \* ARABIC </w:instrText>
      </w:r>
      <w:r w:rsidRPr="005B1CCB">
        <w:rPr>
          <w:rFonts w:cstheme="minorHAnsi"/>
          <w:sz w:val="22"/>
          <w:szCs w:val="22"/>
        </w:rPr>
        <w:fldChar w:fldCharType="separate"/>
      </w:r>
      <w:r w:rsidR="009007B4">
        <w:rPr>
          <w:rFonts w:cstheme="minorHAnsi"/>
          <w:noProof/>
          <w:sz w:val="22"/>
          <w:szCs w:val="22"/>
        </w:rPr>
        <w:t>32</w:t>
      </w:r>
      <w:r w:rsidRPr="005B1CCB">
        <w:rPr>
          <w:rFonts w:cstheme="minorHAnsi"/>
          <w:sz w:val="22"/>
          <w:szCs w:val="22"/>
        </w:rPr>
        <w:fldChar w:fldCharType="end"/>
      </w:r>
      <w:r w:rsidRPr="005B1CCB">
        <w:rPr>
          <w:rFonts w:cstheme="minorHAnsi"/>
          <w:sz w:val="22"/>
          <w:szCs w:val="22"/>
        </w:rPr>
        <w:t xml:space="preserve">: Clinical sample </w:t>
      </w:r>
      <w:r w:rsidR="00E1459B" w:rsidRPr="005B1CCB">
        <w:rPr>
          <w:rFonts w:cstheme="minorHAnsi"/>
          <w:sz w:val="22"/>
          <w:szCs w:val="22"/>
        </w:rPr>
        <w:t>obtained contains</w:t>
      </w:r>
      <w:r w:rsidRPr="005B1CCB">
        <w:rPr>
          <w:rFonts w:cstheme="minorHAnsi"/>
          <w:sz w:val="22"/>
          <w:szCs w:val="22"/>
        </w:rPr>
        <w:t xml:space="preserve"> copies of KRAS pG12D mutant and wild</w:t>
      </w:r>
      <w:r w:rsidR="000A58E4" w:rsidRPr="005B1CCB">
        <w:rPr>
          <w:rFonts w:cstheme="minorHAnsi"/>
          <w:sz w:val="22"/>
          <w:szCs w:val="22"/>
        </w:rPr>
        <w:t>-</w:t>
      </w:r>
      <w:r w:rsidRPr="005B1CCB">
        <w:rPr>
          <w:rFonts w:cstheme="minorHAnsi"/>
          <w:sz w:val="22"/>
          <w:szCs w:val="22"/>
        </w:rPr>
        <w:t>type detected in total DNA isolated from SK-UT-1 human uterine cell line</w:t>
      </w:r>
      <w:bookmarkEnd w:id="144"/>
    </w:p>
    <w:p w14:paraId="0F6EE1B2" w14:textId="709DBA66" w:rsidR="005837E8" w:rsidRPr="005B1CCB" w:rsidRDefault="00182BCE" w:rsidP="00947478">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5841AE" w:rsidRPr="005B1CCB">
        <w:rPr>
          <w:rFonts w:ascii="Palatino Linotype" w:hAnsi="Palatino Linotype"/>
          <w:sz w:val="24"/>
          <w:szCs w:val="24"/>
        </w:rPr>
        <w:t xml:space="preserve">A mismatch primer that was fully complementary to the template DNA strand was vital in amplifying the mutant strands in the wild-type sample pool. </w:t>
      </w:r>
      <w:r w:rsidR="005837E8" w:rsidRPr="005B1CCB">
        <w:rPr>
          <w:rFonts w:ascii="Palatino Linotype" w:hAnsi="Palatino Linotype"/>
          <w:sz w:val="24"/>
          <w:szCs w:val="24"/>
        </w:rPr>
        <w:t xml:space="preserve">Successful </w:t>
      </w:r>
      <w:r w:rsidR="00947478" w:rsidRPr="005B1CCB">
        <w:rPr>
          <w:rFonts w:ascii="Palatino Linotype" w:hAnsi="Palatino Linotype"/>
          <w:sz w:val="24"/>
          <w:szCs w:val="24"/>
        </w:rPr>
        <w:t xml:space="preserve">KRAS </w:t>
      </w:r>
      <w:r w:rsidR="005837E8" w:rsidRPr="005B1CCB">
        <w:rPr>
          <w:rFonts w:ascii="Palatino Linotype" w:hAnsi="Palatino Linotype"/>
          <w:sz w:val="24"/>
          <w:szCs w:val="24"/>
        </w:rPr>
        <w:t xml:space="preserve">pG12D mutation amplification was confirmed by electrophoresis using agarose gel as shown in </w:t>
      </w:r>
      <w:r w:rsidR="00A25633" w:rsidRPr="005B1CCB">
        <w:rPr>
          <w:rFonts w:ascii="Palatino Linotype" w:hAnsi="Palatino Linotype"/>
          <w:sz w:val="24"/>
          <w:szCs w:val="24"/>
        </w:rPr>
        <w:t>F</w:t>
      </w:r>
      <w:r w:rsidR="005837E8" w:rsidRPr="005B1CCB">
        <w:rPr>
          <w:rFonts w:ascii="Palatino Linotype" w:hAnsi="Palatino Linotype"/>
          <w:sz w:val="24"/>
          <w:szCs w:val="24"/>
        </w:rPr>
        <w:t xml:space="preserve">igure </w:t>
      </w:r>
      <w:r w:rsidR="003D4F31" w:rsidRPr="005B1CCB">
        <w:rPr>
          <w:rFonts w:ascii="Palatino Linotype" w:hAnsi="Palatino Linotype"/>
          <w:sz w:val="24"/>
          <w:szCs w:val="24"/>
        </w:rPr>
        <w:t>3</w:t>
      </w:r>
      <w:r w:rsidRPr="005B1CCB">
        <w:rPr>
          <w:rFonts w:ascii="Palatino Linotype" w:hAnsi="Palatino Linotype"/>
          <w:sz w:val="24"/>
          <w:szCs w:val="24"/>
        </w:rPr>
        <w:t>3</w:t>
      </w:r>
      <w:r w:rsidR="005837E8" w:rsidRPr="005B1CCB">
        <w:rPr>
          <w:rFonts w:ascii="Palatino Linotype" w:hAnsi="Palatino Linotype"/>
          <w:sz w:val="24"/>
          <w:szCs w:val="24"/>
        </w:rPr>
        <w:t xml:space="preserve">. </w:t>
      </w:r>
      <w:r w:rsidR="00947478" w:rsidRPr="005B1CCB">
        <w:rPr>
          <w:rFonts w:ascii="Palatino Linotype" w:hAnsi="Palatino Linotype"/>
          <w:sz w:val="24"/>
          <w:szCs w:val="24"/>
        </w:rPr>
        <w:t xml:space="preserve">The </w:t>
      </w:r>
      <w:r w:rsidR="007F7149">
        <w:rPr>
          <w:rFonts w:ascii="Palatino Linotype" w:hAnsi="Palatino Linotype"/>
          <w:sz w:val="24"/>
          <w:szCs w:val="24"/>
        </w:rPr>
        <w:t xml:space="preserve">lower brightly coloured </w:t>
      </w:r>
      <w:r w:rsidR="00947478" w:rsidRPr="005B1CCB">
        <w:rPr>
          <w:rFonts w:ascii="Palatino Linotype" w:hAnsi="Palatino Linotype"/>
          <w:sz w:val="24"/>
          <w:szCs w:val="24"/>
        </w:rPr>
        <w:t>bands representing the target mutation are very visible with an amplicon size of a</w:t>
      </w:r>
      <w:r w:rsidR="00025A49" w:rsidRPr="005B1CCB">
        <w:rPr>
          <w:rFonts w:ascii="Palatino Linotype" w:hAnsi="Palatino Linotype"/>
          <w:sz w:val="24"/>
          <w:szCs w:val="24"/>
        </w:rPr>
        <w:t>round</w:t>
      </w:r>
      <w:r w:rsidR="00947478" w:rsidRPr="005B1CCB">
        <w:rPr>
          <w:rFonts w:ascii="Palatino Linotype" w:hAnsi="Palatino Linotype"/>
          <w:sz w:val="24"/>
          <w:szCs w:val="24"/>
        </w:rPr>
        <w:t xml:space="preserve"> 80 bp</w:t>
      </w:r>
      <w:r w:rsidR="007F7149">
        <w:rPr>
          <w:rFonts w:ascii="Palatino Linotype" w:hAnsi="Palatino Linotype"/>
          <w:sz w:val="24"/>
          <w:szCs w:val="24"/>
        </w:rPr>
        <w:t xml:space="preserve"> while the upper faintly coloured bands suggest non-specific amplification</w:t>
      </w:r>
      <w:r w:rsidR="00947478" w:rsidRPr="005B1CCB">
        <w:rPr>
          <w:rFonts w:ascii="Palatino Linotype" w:hAnsi="Palatino Linotype"/>
          <w:sz w:val="24"/>
          <w:szCs w:val="24"/>
        </w:rPr>
        <w:t>. The results from the gel electrophoresis demonstrates the excellent specificity of the primers employed for amplifying the corresponding mutant gDNA from the human uterine cell line.</w:t>
      </w:r>
    </w:p>
    <w:p w14:paraId="2BD52CCD" w14:textId="77777777" w:rsidR="00165511" w:rsidRPr="005B1CCB" w:rsidRDefault="00F46F0E" w:rsidP="00165511">
      <w:pPr>
        <w:keepNext/>
        <w:spacing w:line="360" w:lineRule="auto"/>
        <w:jc w:val="center"/>
      </w:pPr>
      <w:r w:rsidRPr="005B1CCB">
        <w:rPr>
          <w:noProof/>
          <w:lang w:eastAsia="en-GB"/>
        </w:rPr>
        <w:drawing>
          <wp:inline distT="0" distB="0" distL="0" distR="0" wp14:anchorId="7BE16B2F" wp14:editId="486786DC">
            <wp:extent cx="4062506" cy="2615979"/>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a:extLst>
                        <a:ext uri="{28A0092B-C50C-407E-A947-70E740481C1C}">
                          <a14:useLocalDpi xmlns:a14="http://schemas.microsoft.com/office/drawing/2010/main" val="0"/>
                        </a:ext>
                      </a:extLst>
                    </a:blip>
                    <a:srcRect b="9783"/>
                    <a:stretch/>
                  </pic:blipFill>
                  <pic:spPr bwMode="auto">
                    <a:xfrm>
                      <a:off x="0" y="0"/>
                      <a:ext cx="4174090" cy="2687831"/>
                    </a:xfrm>
                    <a:prstGeom prst="rect">
                      <a:avLst/>
                    </a:prstGeom>
                    <a:noFill/>
                    <a:ln>
                      <a:noFill/>
                    </a:ln>
                    <a:extLst>
                      <a:ext uri="{53640926-AAD7-44D8-BBD7-CCE9431645EC}">
                        <a14:shadowObscured xmlns:a14="http://schemas.microsoft.com/office/drawing/2010/main"/>
                      </a:ext>
                    </a:extLst>
                  </pic:spPr>
                </pic:pic>
              </a:graphicData>
            </a:graphic>
          </wp:inline>
        </w:drawing>
      </w:r>
    </w:p>
    <w:p w14:paraId="2C2484B9" w14:textId="77777777" w:rsidR="00A213FE" w:rsidRPr="00A213FE" w:rsidRDefault="00165511" w:rsidP="00A213FE">
      <w:pPr>
        <w:pStyle w:val="Caption"/>
        <w:jc w:val="center"/>
        <w:rPr>
          <w:sz w:val="22"/>
          <w:szCs w:val="22"/>
        </w:rPr>
      </w:pPr>
      <w:bookmarkStart w:id="145" w:name="_Toc84519628"/>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33</w:t>
      </w:r>
      <w:r w:rsidRPr="005B1CCB">
        <w:rPr>
          <w:sz w:val="22"/>
          <w:szCs w:val="22"/>
        </w:rPr>
        <w:fldChar w:fldCharType="end"/>
      </w:r>
      <w:r w:rsidRPr="005B1CCB">
        <w:rPr>
          <w:sz w:val="22"/>
          <w:szCs w:val="22"/>
        </w:rPr>
        <w:t>: Gel electrophoresis showing successful amplification of KRAS pG12D</w:t>
      </w:r>
      <w:bookmarkEnd w:id="145"/>
    </w:p>
    <w:p w14:paraId="1004754B" w14:textId="77777777" w:rsidR="001249CA" w:rsidRPr="005B1CCB" w:rsidRDefault="001249CA" w:rsidP="001249CA">
      <w:pPr>
        <w:pStyle w:val="Heading3"/>
      </w:pPr>
      <w:bookmarkStart w:id="146" w:name="_Toc84528113"/>
      <w:r w:rsidRPr="005B1CCB">
        <w:t>Assay stability</w:t>
      </w:r>
      <w:bookmarkEnd w:id="146"/>
    </w:p>
    <w:p w14:paraId="161467AF" w14:textId="77777777" w:rsidR="001249CA" w:rsidRPr="005B1CCB" w:rsidRDefault="001249CA" w:rsidP="001249CA">
      <w:pPr>
        <w:pStyle w:val="MDPI31text"/>
        <w:spacing w:line="360" w:lineRule="auto"/>
        <w:rPr>
          <w:iCs/>
          <w:color w:val="auto"/>
          <w:sz w:val="24"/>
          <w:szCs w:val="24"/>
          <w:lang w:val="en-GB"/>
        </w:rPr>
      </w:pPr>
      <w:r w:rsidRPr="005B1CCB">
        <w:rPr>
          <w:iCs/>
          <w:sz w:val="24"/>
          <w:szCs w:val="24"/>
          <w:lang w:val="en-GB"/>
        </w:rPr>
        <w:t>With a functionalised electrode surface, it became necessary to evaluate the stability of the multi-carbon electrode chip</w:t>
      </w:r>
      <w:r w:rsidR="0078027B" w:rsidRPr="005B1CCB">
        <w:rPr>
          <w:iCs/>
          <w:sz w:val="24"/>
          <w:szCs w:val="24"/>
          <w:lang w:val="en-GB"/>
        </w:rPr>
        <w:t xml:space="preserve"> after probe introduction</w:t>
      </w:r>
      <w:r w:rsidRPr="005B1CCB">
        <w:rPr>
          <w:iCs/>
          <w:sz w:val="24"/>
          <w:szCs w:val="24"/>
          <w:lang w:val="en-GB"/>
        </w:rPr>
        <w:t>. The repeatability of the proposed sensor was evaluated by performing 8 replicates using the same SPCE sensor and ferri</w:t>
      </w:r>
      <w:r w:rsidR="00563016">
        <w:rPr>
          <w:iCs/>
          <w:sz w:val="24"/>
          <w:szCs w:val="24"/>
          <w:lang w:val="en-GB"/>
        </w:rPr>
        <w:t>-ferro</w:t>
      </w:r>
      <w:r w:rsidRPr="005B1CCB">
        <w:rPr>
          <w:iCs/>
          <w:sz w:val="24"/>
          <w:szCs w:val="24"/>
          <w:lang w:val="en-GB"/>
        </w:rPr>
        <w:t xml:space="preserve">cyanide solution (Figure </w:t>
      </w:r>
      <w:r w:rsidR="0033760C" w:rsidRPr="005B1CCB">
        <w:rPr>
          <w:iCs/>
          <w:sz w:val="24"/>
          <w:szCs w:val="24"/>
          <w:lang w:val="en-GB"/>
        </w:rPr>
        <w:t>3</w:t>
      </w:r>
      <w:r w:rsidR="00182BCE" w:rsidRPr="005B1CCB">
        <w:rPr>
          <w:iCs/>
          <w:sz w:val="24"/>
          <w:szCs w:val="24"/>
          <w:lang w:val="en-GB"/>
        </w:rPr>
        <w:t>4</w:t>
      </w:r>
      <w:r w:rsidRPr="005B1CCB">
        <w:rPr>
          <w:iCs/>
          <w:sz w:val="24"/>
          <w:szCs w:val="24"/>
          <w:lang w:val="en-GB"/>
        </w:rPr>
        <w:t>). The data (n=8) shows less variation and more consistency in the signal change.  This shows good reproducibility of the SPCE sensor when functionalised with DNA and means that the measurements are easier to interpret</w:t>
      </w:r>
      <w:r w:rsidRPr="005B1CCB">
        <w:rPr>
          <w:iCs/>
          <w:color w:val="auto"/>
          <w:sz w:val="24"/>
          <w:szCs w:val="24"/>
          <w:lang w:val="en-GB"/>
        </w:rPr>
        <w:t>. All ferri-ferrocyanide solutions were cycled on the 8-chip multi-electrodes (un and DNA functionalised) × 3 times using CV scans from +0.4 to -0.6</w:t>
      </w:r>
      <w:r w:rsidR="005B3A9E" w:rsidRPr="005B1CCB">
        <w:rPr>
          <w:iCs/>
          <w:color w:val="auto"/>
          <w:sz w:val="24"/>
          <w:szCs w:val="24"/>
          <w:lang w:val="en-GB"/>
        </w:rPr>
        <w:t xml:space="preserve"> </w:t>
      </w:r>
      <w:r w:rsidRPr="005B1CCB">
        <w:rPr>
          <w:iCs/>
          <w:color w:val="auto"/>
          <w:sz w:val="24"/>
          <w:szCs w:val="24"/>
          <w:lang w:val="en-GB"/>
        </w:rPr>
        <w:t>V at a scan rate of 100mV/s with current ranges between 10</w:t>
      </w:r>
      <w:r w:rsidR="005B3A9E" w:rsidRPr="005B1CCB">
        <w:rPr>
          <w:iCs/>
          <w:color w:val="auto"/>
          <w:sz w:val="24"/>
          <w:szCs w:val="24"/>
          <w:lang w:val="en-GB"/>
        </w:rPr>
        <w:t xml:space="preserve"> </w:t>
      </w:r>
      <w:r w:rsidRPr="005B1CCB">
        <w:rPr>
          <w:iCs/>
          <w:color w:val="auto"/>
          <w:sz w:val="24"/>
          <w:szCs w:val="24"/>
          <w:lang w:val="en-GB"/>
        </w:rPr>
        <w:t>nA and 10</w:t>
      </w:r>
      <w:r w:rsidR="005B3A9E" w:rsidRPr="005B1CCB">
        <w:rPr>
          <w:iCs/>
          <w:color w:val="auto"/>
          <w:sz w:val="24"/>
          <w:szCs w:val="24"/>
          <w:lang w:val="en-GB"/>
        </w:rPr>
        <w:t xml:space="preserve"> </w:t>
      </w:r>
      <w:r w:rsidRPr="005B1CCB">
        <w:rPr>
          <w:iCs/>
          <w:color w:val="auto"/>
          <w:sz w:val="24"/>
          <w:szCs w:val="24"/>
          <w:lang w:val="en-GB"/>
        </w:rPr>
        <w:t>mA.</w:t>
      </w:r>
    </w:p>
    <w:p w14:paraId="27DA6936" w14:textId="77777777" w:rsidR="001307EF" w:rsidRPr="005B1CCB" w:rsidRDefault="001307EF" w:rsidP="001249CA">
      <w:pPr>
        <w:pStyle w:val="MDPI31text"/>
        <w:spacing w:line="360" w:lineRule="auto"/>
        <w:rPr>
          <w:iCs/>
          <w:color w:val="auto"/>
          <w:sz w:val="24"/>
          <w:szCs w:val="24"/>
          <w:lang w:val="en-GB"/>
        </w:rPr>
      </w:pPr>
    </w:p>
    <w:p w14:paraId="0102FEC8" w14:textId="77777777" w:rsidR="001249CA" w:rsidRPr="005B1CCB" w:rsidRDefault="001249CA" w:rsidP="001249CA">
      <w:pPr>
        <w:pStyle w:val="MDPI31text"/>
        <w:rPr>
          <w:iCs/>
          <w:lang w:val="en-GB"/>
        </w:rPr>
      </w:pPr>
    </w:p>
    <w:p w14:paraId="6AF5010A" w14:textId="77777777" w:rsidR="001249CA" w:rsidRPr="005B1CCB" w:rsidRDefault="001249CA" w:rsidP="001249CA">
      <w:pPr>
        <w:pStyle w:val="MDPI31text"/>
        <w:keepNext/>
      </w:pPr>
      <w:r w:rsidRPr="005B1CCB">
        <w:rPr>
          <w:iCs/>
          <w:noProof/>
          <w:lang w:val="en-GB" w:eastAsia="en-GB" w:bidi="ar-SA"/>
        </w:rPr>
        <w:drawing>
          <wp:inline distT="0" distB="0" distL="0" distR="0" wp14:anchorId="6C460245" wp14:editId="54D1FFCF">
            <wp:extent cx="5605670" cy="295016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r="6961"/>
                    <a:stretch/>
                  </pic:blipFill>
                  <pic:spPr bwMode="auto">
                    <a:xfrm>
                      <a:off x="0" y="0"/>
                      <a:ext cx="5614732" cy="2954934"/>
                    </a:xfrm>
                    <a:prstGeom prst="rect">
                      <a:avLst/>
                    </a:prstGeom>
                    <a:ln>
                      <a:noFill/>
                    </a:ln>
                    <a:extLst>
                      <a:ext uri="{53640926-AAD7-44D8-BBD7-CCE9431645EC}">
                        <a14:shadowObscured xmlns:a14="http://schemas.microsoft.com/office/drawing/2010/main"/>
                      </a:ext>
                    </a:extLst>
                  </pic:spPr>
                </pic:pic>
              </a:graphicData>
            </a:graphic>
          </wp:inline>
        </w:drawing>
      </w:r>
    </w:p>
    <w:p w14:paraId="5435DA4A" w14:textId="77777777" w:rsidR="001249CA" w:rsidRPr="005B1CCB" w:rsidRDefault="001249CA" w:rsidP="001249CA">
      <w:pPr>
        <w:pStyle w:val="Caption"/>
        <w:jc w:val="center"/>
        <w:rPr>
          <w:sz w:val="22"/>
          <w:szCs w:val="22"/>
        </w:rPr>
      </w:pPr>
      <w:bookmarkStart w:id="147" w:name="_Toc84519629"/>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34</w:t>
      </w:r>
      <w:r w:rsidRPr="005B1CCB">
        <w:rPr>
          <w:sz w:val="22"/>
          <w:szCs w:val="22"/>
        </w:rPr>
        <w:fldChar w:fldCharType="end"/>
      </w:r>
      <w:r w:rsidRPr="005B1CCB">
        <w:rPr>
          <w:sz w:val="22"/>
          <w:szCs w:val="22"/>
        </w:rPr>
        <w:t>: CV results showing repeated cycling of (a) KRAS G12D probe functionalised electrodes (b) KRAS G12D amplicons over 8-chip multi-electrodes using the same current and voltage inputs.</w:t>
      </w:r>
      <w:bookmarkEnd w:id="147"/>
    </w:p>
    <w:p w14:paraId="31041F6D" w14:textId="77777777" w:rsidR="001249CA" w:rsidRPr="005B1CCB" w:rsidRDefault="001249CA" w:rsidP="001249CA"/>
    <w:p w14:paraId="06366A93" w14:textId="77777777" w:rsidR="003244FF" w:rsidRPr="005B1CCB" w:rsidRDefault="005C5394" w:rsidP="00D71969">
      <w:pPr>
        <w:pStyle w:val="Heading3"/>
      </w:pPr>
      <w:bookmarkStart w:id="148" w:name="_Toc84528114"/>
      <w:r w:rsidRPr="005B1CCB">
        <w:t xml:space="preserve">KRAS pG12D </w:t>
      </w:r>
      <w:r w:rsidR="00DE712F" w:rsidRPr="005B1CCB">
        <w:t>DNA hybridisation</w:t>
      </w:r>
      <w:bookmarkEnd w:id="148"/>
    </w:p>
    <w:p w14:paraId="70A331F0" w14:textId="77777777" w:rsidR="003D3918" w:rsidRPr="005B1CCB" w:rsidRDefault="00B82E8A" w:rsidP="007E076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AA1ACC" w:rsidRPr="005B1CCB">
        <w:rPr>
          <w:rFonts w:ascii="Palatino Linotype" w:hAnsi="Palatino Linotype" w:cs="Times New Roman"/>
          <w:sz w:val="24"/>
          <w:szCs w:val="24"/>
        </w:rPr>
        <w:t xml:space="preserve">Having established both the presence of low copy numbers of KRAS </w:t>
      </w:r>
      <w:r w:rsidR="00E2655A" w:rsidRPr="005B1CCB">
        <w:rPr>
          <w:rFonts w:ascii="Palatino Linotype" w:hAnsi="Palatino Linotype" w:cs="Times New Roman"/>
          <w:sz w:val="24"/>
          <w:szCs w:val="24"/>
        </w:rPr>
        <w:t>p</w:t>
      </w:r>
      <w:r w:rsidR="00AA1ACC" w:rsidRPr="005B1CCB">
        <w:rPr>
          <w:rFonts w:ascii="Palatino Linotype" w:hAnsi="Palatino Linotype" w:cs="Times New Roman"/>
          <w:sz w:val="24"/>
          <w:szCs w:val="24"/>
        </w:rPr>
        <w:t>G12D mutations in the sample and an amplification reaction which could produce either mutated or wild</w:t>
      </w:r>
      <w:r w:rsidR="000E7E91" w:rsidRPr="005B1CCB">
        <w:rPr>
          <w:rFonts w:ascii="Palatino Linotype" w:hAnsi="Palatino Linotype" w:cs="Times New Roman"/>
          <w:sz w:val="24"/>
          <w:szCs w:val="24"/>
        </w:rPr>
        <w:t>-</w:t>
      </w:r>
      <w:r w:rsidR="00AA1ACC" w:rsidRPr="005B1CCB">
        <w:rPr>
          <w:rFonts w:ascii="Palatino Linotype" w:hAnsi="Palatino Linotype" w:cs="Times New Roman"/>
          <w:sz w:val="24"/>
          <w:szCs w:val="24"/>
        </w:rPr>
        <w:t>type amplicon</w:t>
      </w:r>
      <w:r w:rsidR="00616C52" w:rsidRPr="005B1CCB">
        <w:rPr>
          <w:rFonts w:ascii="Palatino Linotype" w:hAnsi="Palatino Linotype" w:cs="Times New Roman"/>
          <w:sz w:val="24"/>
          <w:szCs w:val="24"/>
        </w:rPr>
        <w:t>s</w:t>
      </w:r>
      <w:r w:rsidR="00AA1ACC" w:rsidRPr="005B1CCB">
        <w:rPr>
          <w:rFonts w:ascii="Palatino Linotype" w:hAnsi="Palatino Linotype" w:cs="Times New Roman"/>
          <w:sz w:val="24"/>
          <w:szCs w:val="24"/>
        </w:rPr>
        <w:t xml:space="preserve"> depending on primer choice, the next stage involved successfully establishing an electrochemical measurement to verify the presence of either wild</w:t>
      </w:r>
      <w:r w:rsidR="000E7E91" w:rsidRPr="005B1CCB">
        <w:rPr>
          <w:rFonts w:ascii="Palatino Linotype" w:hAnsi="Palatino Linotype" w:cs="Times New Roman"/>
          <w:sz w:val="24"/>
          <w:szCs w:val="24"/>
        </w:rPr>
        <w:t>-</w:t>
      </w:r>
      <w:r w:rsidR="00AA1ACC" w:rsidRPr="005B1CCB">
        <w:rPr>
          <w:rFonts w:ascii="Palatino Linotype" w:hAnsi="Palatino Linotype" w:cs="Times New Roman"/>
          <w:sz w:val="24"/>
          <w:szCs w:val="24"/>
        </w:rPr>
        <w:t xml:space="preserve">type or mutant DNA. </w:t>
      </w:r>
      <w:r w:rsidR="00635839" w:rsidRPr="005B1CCB">
        <w:rPr>
          <w:rFonts w:ascii="Palatino Linotype" w:hAnsi="Palatino Linotype"/>
          <w:sz w:val="24"/>
          <w:szCs w:val="24"/>
          <w:lang w:bidi="en-US"/>
        </w:rPr>
        <w:t xml:space="preserve">Both wild-type and mutated KRAS </w:t>
      </w:r>
      <w:r w:rsidR="00E2655A" w:rsidRPr="005B1CCB">
        <w:rPr>
          <w:rFonts w:ascii="Palatino Linotype" w:hAnsi="Palatino Linotype"/>
          <w:sz w:val="24"/>
          <w:szCs w:val="24"/>
          <w:lang w:bidi="en-US"/>
        </w:rPr>
        <w:t>p</w:t>
      </w:r>
      <w:r w:rsidR="00635839" w:rsidRPr="005B1CCB">
        <w:rPr>
          <w:rFonts w:ascii="Palatino Linotype" w:hAnsi="Palatino Linotype"/>
          <w:sz w:val="24"/>
          <w:szCs w:val="24"/>
          <w:lang w:bidi="en-US"/>
        </w:rPr>
        <w:t>G12D DNA oligonucleotide probes w</w:t>
      </w:r>
      <w:r w:rsidRPr="005B1CCB">
        <w:rPr>
          <w:rFonts w:ascii="Palatino Linotype" w:hAnsi="Palatino Linotype"/>
          <w:sz w:val="24"/>
          <w:szCs w:val="24"/>
          <w:lang w:bidi="en-US"/>
        </w:rPr>
        <w:t>ere</w:t>
      </w:r>
      <w:r w:rsidR="00635839" w:rsidRPr="005B1CCB">
        <w:rPr>
          <w:rFonts w:ascii="Palatino Linotype" w:hAnsi="Palatino Linotype"/>
          <w:sz w:val="24"/>
          <w:szCs w:val="24"/>
          <w:lang w:bidi="en-US"/>
        </w:rPr>
        <w:t xml:space="preserve"> used to determine the selectivity of the hybridisation technique.  </w:t>
      </w:r>
    </w:p>
    <w:p w14:paraId="3FBFA84B" w14:textId="77777777" w:rsidR="003D3918" w:rsidRPr="005B1CCB" w:rsidRDefault="003D3918" w:rsidP="003D3918">
      <w:pPr>
        <w:keepNext/>
        <w:spacing w:line="360" w:lineRule="auto"/>
        <w:jc w:val="both"/>
      </w:pPr>
      <w:r w:rsidRPr="005B1CCB">
        <w:rPr>
          <w:rFonts w:ascii="Palatino Linotype" w:hAnsi="Palatino Linotype" w:cs="Times New Roman"/>
          <w:noProof/>
          <w:sz w:val="24"/>
          <w:szCs w:val="24"/>
          <w:lang w:eastAsia="en-GB"/>
        </w:rPr>
        <w:drawing>
          <wp:inline distT="0" distB="0" distL="0" distR="0" wp14:anchorId="174F9406" wp14:editId="62EE6C44">
            <wp:extent cx="5724525" cy="253447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28674" cy="2536315"/>
                    </a:xfrm>
                    <a:prstGeom prst="rect">
                      <a:avLst/>
                    </a:prstGeom>
                  </pic:spPr>
                </pic:pic>
              </a:graphicData>
            </a:graphic>
          </wp:inline>
        </w:drawing>
      </w:r>
    </w:p>
    <w:p w14:paraId="36A81280" w14:textId="77777777" w:rsidR="003D3918" w:rsidRPr="005B1CCB" w:rsidRDefault="003D3918" w:rsidP="003D3918">
      <w:pPr>
        <w:pStyle w:val="Caption"/>
        <w:jc w:val="center"/>
        <w:rPr>
          <w:sz w:val="22"/>
          <w:szCs w:val="22"/>
        </w:rPr>
      </w:pPr>
      <w:bookmarkStart w:id="149" w:name="_Toc84519630"/>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35</w:t>
      </w:r>
      <w:r w:rsidRPr="005B1CCB">
        <w:rPr>
          <w:sz w:val="22"/>
          <w:szCs w:val="22"/>
        </w:rPr>
        <w:fldChar w:fldCharType="end"/>
      </w:r>
      <w:r w:rsidRPr="005B1CCB">
        <w:rPr>
          <w:sz w:val="22"/>
          <w:szCs w:val="22"/>
        </w:rPr>
        <w:t>: CV results showing hybridization selectivity between a (a) wild-type probe (b) mutant probe and a representative clinical sample containing PCR amplified KRAS G12D mutant allele with a total KRAS</w:t>
      </w:r>
      <w:r w:rsidR="002D2D43">
        <w:rPr>
          <w:sz w:val="22"/>
          <w:szCs w:val="22"/>
        </w:rPr>
        <w:t xml:space="preserve"> </w:t>
      </w:r>
      <w:r w:rsidRPr="005B1CCB">
        <w:rPr>
          <w:sz w:val="22"/>
          <w:szCs w:val="22"/>
        </w:rPr>
        <w:t xml:space="preserve">G12D ssDNA concentration of </w:t>
      </w:r>
      <w:r w:rsidRPr="00FF63AB">
        <w:rPr>
          <w:sz w:val="22"/>
          <w:szCs w:val="22"/>
        </w:rPr>
        <w:t>0.854 ng/µl</w:t>
      </w:r>
      <w:bookmarkEnd w:id="149"/>
    </w:p>
    <w:p w14:paraId="68DA7663" w14:textId="77777777" w:rsidR="00E2655A" w:rsidRDefault="00A73008" w:rsidP="00E2655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FE0E1B" w:rsidRPr="005B1CCB">
        <w:rPr>
          <w:rFonts w:ascii="Palatino Linotype" w:hAnsi="Palatino Linotype" w:cs="Times New Roman"/>
          <w:sz w:val="24"/>
          <w:szCs w:val="24"/>
        </w:rPr>
        <w:t xml:space="preserve">One aim of these experiments was to monitor whether the wild-type and mutant probe </w:t>
      </w:r>
      <w:r w:rsidR="005F71BD" w:rsidRPr="005B1CCB">
        <w:rPr>
          <w:rFonts w:ascii="Palatino Linotype" w:hAnsi="Palatino Linotype" w:cs="Times New Roman"/>
          <w:sz w:val="24"/>
          <w:szCs w:val="24"/>
        </w:rPr>
        <w:t>would give</w:t>
      </w:r>
      <w:r w:rsidR="00FE0E1B" w:rsidRPr="005B1CCB">
        <w:rPr>
          <w:rFonts w:ascii="Palatino Linotype" w:hAnsi="Palatino Linotype" w:cs="Times New Roman"/>
          <w:sz w:val="24"/>
          <w:szCs w:val="24"/>
        </w:rPr>
        <w:t xml:space="preserve"> rise to differential levels of signal following exposure to mutant-amplified KRAS samples. </w:t>
      </w:r>
      <w:r w:rsidR="009B6B25" w:rsidRPr="005B1CCB">
        <w:rPr>
          <w:rFonts w:ascii="Palatino Linotype" w:hAnsi="Palatino Linotype" w:cs="Times New Roman"/>
          <w:sz w:val="24"/>
          <w:szCs w:val="24"/>
        </w:rPr>
        <w:t xml:space="preserve">The </w:t>
      </w:r>
      <w:r w:rsidR="009B6B25" w:rsidRPr="002F1BA1">
        <w:rPr>
          <w:rFonts w:ascii="Palatino Linotype" w:hAnsi="Palatino Linotype" w:cs="Times New Roman"/>
          <w:sz w:val="24"/>
          <w:szCs w:val="24"/>
        </w:rPr>
        <w:t>pre-hybridisation peak currents for the sets of electrodes used for the immobilization of the mutant and wild</w:t>
      </w:r>
      <w:r w:rsidR="000E07CA" w:rsidRPr="002F1BA1">
        <w:rPr>
          <w:rFonts w:ascii="Palatino Linotype" w:hAnsi="Palatino Linotype" w:cs="Times New Roman"/>
          <w:sz w:val="24"/>
          <w:szCs w:val="24"/>
        </w:rPr>
        <w:t>-</w:t>
      </w:r>
      <w:r w:rsidR="009B6B25" w:rsidRPr="002F1BA1">
        <w:rPr>
          <w:rFonts w:ascii="Palatino Linotype" w:hAnsi="Palatino Linotype" w:cs="Times New Roman"/>
          <w:sz w:val="24"/>
          <w:szCs w:val="24"/>
        </w:rPr>
        <w:t>type probes should ideally be similar</w:t>
      </w:r>
      <w:r w:rsidR="009B6B25" w:rsidRPr="005B1CCB">
        <w:rPr>
          <w:rFonts w:ascii="Palatino Linotype" w:hAnsi="Palatino Linotype" w:cs="Times New Roman"/>
          <w:sz w:val="24"/>
          <w:szCs w:val="24"/>
        </w:rPr>
        <w:t xml:space="preserve">. </w:t>
      </w:r>
      <w:r w:rsidR="009B6B25" w:rsidRPr="002F1BA1">
        <w:rPr>
          <w:rFonts w:ascii="Palatino Linotype" w:hAnsi="Palatino Linotype" w:cs="Times New Roman"/>
          <w:sz w:val="24"/>
          <w:szCs w:val="24"/>
        </w:rPr>
        <w:t>The differences</w:t>
      </w:r>
      <w:r w:rsidR="009B6B25" w:rsidRPr="005B1CCB">
        <w:rPr>
          <w:rFonts w:ascii="Palatino Linotype" w:hAnsi="Palatino Linotype" w:cs="Times New Roman"/>
          <w:sz w:val="24"/>
          <w:szCs w:val="24"/>
        </w:rPr>
        <w:t xml:space="preserve"> observed between sensor</w:t>
      </w:r>
      <w:r w:rsidR="00917D13">
        <w:rPr>
          <w:rFonts w:ascii="Palatino Linotype" w:hAnsi="Palatino Linotype" w:cs="Times New Roman"/>
          <w:sz w:val="24"/>
          <w:szCs w:val="24"/>
        </w:rPr>
        <w:t>s</w:t>
      </w:r>
      <w:r w:rsidR="009B6B25" w:rsidRPr="005B1CCB">
        <w:rPr>
          <w:rFonts w:ascii="Palatino Linotype" w:hAnsi="Palatino Linotype" w:cs="Times New Roman"/>
          <w:sz w:val="24"/>
          <w:szCs w:val="24"/>
        </w:rPr>
        <w:t xml:space="preserve"> in terms of absolute current </w:t>
      </w:r>
      <w:r w:rsidR="009B6B25" w:rsidRPr="002F1BA1">
        <w:rPr>
          <w:rFonts w:ascii="Palatino Linotype" w:hAnsi="Palatino Linotype" w:cs="Times New Roman"/>
          <w:sz w:val="24"/>
          <w:szCs w:val="24"/>
        </w:rPr>
        <w:t>can be explained by variations in the surface roughness of the electrodes which could have occurred during the ink deposition process giving rise to different active areas and differential coverages of the electrodes during electro</w:t>
      </w:r>
      <w:r w:rsidR="000E07CA" w:rsidRPr="002F1BA1">
        <w:rPr>
          <w:rFonts w:ascii="Palatino Linotype" w:hAnsi="Palatino Linotype" w:cs="Times New Roman"/>
          <w:sz w:val="24"/>
          <w:szCs w:val="24"/>
        </w:rPr>
        <w:t>-</w:t>
      </w:r>
      <w:r w:rsidR="009B6B25" w:rsidRPr="002F1BA1">
        <w:rPr>
          <w:rFonts w:ascii="Palatino Linotype" w:hAnsi="Palatino Linotype" w:cs="Times New Roman"/>
          <w:sz w:val="24"/>
          <w:szCs w:val="24"/>
        </w:rPr>
        <w:t>grafting and DNA attachment</w:t>
      </w:r>
      <w:r w:rsidR="009B6B25" w:rsidRPr="005B1CCB">
        <w:rPr>
          <w:rFonts w:ascii="Palatino Linotype" w:hAnsi="Palatino Linotype" w:cs="Times New Roman"/>
          <w:sz w:val="24"/>
          <w:szCs w:val="24"/>
        </w:rPr>
        <w:t xml:space="preserve">. </w:t>
      </w:r>
      <w:r w:rsidR="00D46A34" w:rsidRPr="005B1CCB">
        <w:rPr>
          <w:rFonts w:ascii="Palatino Linotype" w:hAnsi="Palatino Linotype" w:cs="Times New Roman"/>
          <w:sz w:val="24"/>
          <w:szCs w:val="24"/>
        </w:rPr>
        <w:t xml:space="preserve">A </w:t>
      </w:r>
      <w:r w:rsidR="00FE0E1B" w:rsidRPr="005B1CCB">
        <w:rPr>
          <w:rFonts w:ascii="Palatino Linotype" w:hAnsi="Palatino Linotype" w:cs="Times New Roman"/>
          <w:sz w:val="24"/>
          <w:szCs w:val="24"/>
        </w:rPr>
        <w:t>lower</w:t>
      </w:r>
      <w:r w:rsidR="00D46A34" w:rsidRPr="005B1CCB">
        <w:rPr>
          <w:rFonts w:ascii="Palatino Linotype" w:hAnsi="Palatino Linotype" w:cs="Times New Roman"/>
          <w:sz w:val="24"/>
          <w:szCs w:val="24"/>
        </w:rPr>
        <w:t xml:space="preserve"> signal change is noted between the pG12D </w:t>
      </w:r>
      <w:r w:rsidR="00FE0E1B" w:rsidRPr="005B1CCB">
        <w:rPr>
          <w:rFonts w:ascii="Palatino Linotype" w:hAnsi="Palatino Linotype" w:cs="Times New Roman"/>
          <w:sz w:val="24"/>
          <w:szCs w:val="24"/>
        </w:rPr>
        <w:t>wild-type</w:t>
      </w:r>
      <w:r w:rsidR="00D46A34" w:rsidRPr="005B1CCB">
        <w:rPr>
          <w:rFonts w:ascii="Palatino Linotype" w:hAnsi="Palatino Linotype" w:cs="Times New Roman"/>
          <w:sz w:val="24"/>
          <w:szCs w:val="24"/>
        </w:rPr>
        <w:t xml:space="preserve"> probe and the mutant-amplified KRAS pG12D sample (Figure </w:t>
      </w:r>
      <w:r w:rsidR="00BC5EEF" w:rsidRPr="005B1CCB">
        <w:rPr>
          <w:rFonts w:ascii="Palatino Linotype" w:hAnsi="Palatino Linotype" w:cs="Times New Roman"/>
          <w:sz w:val="24"/>
          <w:szCs w:val="24"/>
        </w:rPr>
        <w:t>3</w:t>
      </w:r>
      <w:r w:rsidR="006E04D7" w:rsidRPr="005B1CCB">
        <w:rPr>
          <w:rFonts w:ascii="Palatino Linotype" w:hAnsi="Palatino Linotype" w:cs="Times New Roman"/>
          <w:sz w:val="24"/>
          <w:szCs w:val="24"/>
        </w:rPr>
        <w:t>5</w:t>
      </w:r>
      <w:r w:rsidR="00D46A34" w:rsidRPr="005B1CCB">
        <w:rPr>
          <w:rFonts w:ascii="Palatino Linotype" w:hAnsi="Palatino Linotype" w:cs="Times New Roman"/>
          <w:sz w:val="24"/>
          <w:szCs w:val="24"/>
        </w:rPr>
        <w:t xml:space="preserve"> </w:t>
      </w:r>
      <w:r w:rsidR="00FE0E1B" w:rsidRPr="005B1CCB">
        <w:rPr>
          <w:rFonts w:ascii="Palatino Linotype" w:hAnsi="Palatino Linotype" w:cs="Times New Roman"/>
          <w:sz w:val="24"/>
          <w:szCs w:val="24"/>
        </w:rPr>
        <w:t>a</w:t>
      </w:r>
      <w:r w:rsidR="00E2655A" w:rsidRPr="005B1CCB">
        <w:rPr>
          <w:rFonts w:ascii="Palatino Linotype" w:hAnsi="Palatino Linotype" w:cs="Times New Roman"/>
          <w:sz w:val="24"/>
          <w:szCs w:val="24"/>
        </w:rPr>
        <w:t xml:space="preserve">) indicating no significant hybridisation.  </w:t>
      </w:r>
      <w:r w:rsidR="007272B9" w:rsidRPr="005B1CCB">
        <w:rPr>
          <w:rFonts w:ascii="Palatino Linotype" w:hAnsi="Palatino Linotype" w:cs="Times New Roman"/>
          <w:sz w:val="24"/>
          <w:szCs w:val="24"/>
        </w:rPr>
        <w:t>It was highly satisfying that the largest decrease in both the oxidative and reductive peak currents were observed between the mutant probe and the amplified KRAS mutants as shown in Figure 3</w:t>
      </w:r>
      <w:r w:rsidR="006E04D7" w:rsidRPr="005B1CCB">
        <w:rPr>
          <w:rFonts w:ascii="Palatino Linotype" w:hAnsi="Palatino Linotype" w:cs="Times New Roman"/>
          <w:sz w:val="24"/>
          <w:szCs w:val="24"/>
        </w:rPr>
        <w:t>5</w:t>
      </w:r>
      <w:r w:rsidR="007272B9" w:rsidRPr="005B1CCB">
        <w:rPr>
          <w:rFonts w:ascii="Palatino Linotype" w:hAnsi="Palatino Linotype" w:cs="Times New Roman"/>
          <w:sz w:val="24"/>
          <w:szCs w:val="24"/>
        </w:rPr>
        <w:t xml:space="preserve"> b. </w:t>
      </w:r>
      <w:r w:rsidR="00E2655A" w:rsidRPr="005B1CCB">
        <w:rPr>
          <w:rFonts w:ascii="Palatino Linotype" w:hAnsi="Palatino Linotype" w:cs="Times New Roman"/>
          <w:sz w:val="24"/>
          <w:szCs w:val="24"/>
        </w:rPr>
        <w:t xml:space="preserve">These findings were </w:t>
      </w:r>
      <w:r w:rsidR="00725B09" w:rsidRPr="005B1CCB">
        <w:rPr>
          <w:rFonts w:ascii="Palatino Linotype" w:hAnsi="Palatino Linotype" w:cs="Times New Roman"/>
          <w:sz w:val="24"/>
          <w:szCs w:val="24"/>
        </w:rPr>
        <w:t>very</w:t>
      </w:r>
      <w:r w:rsidR="00E2655A" w:rsidRPr="005B1CCB">
        <w:rPr>
          <w:rFonts w:ascii="Palatino Linotype" w:hAnsi="Palatino Linotype" w:cs="Times New Roman"/>
          <w:sz w:val="24"/>
          <w:szCs w:val="24"/>
        </w:rPr>
        <w:t xml:space="preserve"> </w:t>
      </w:r>
      <w:r w:rsidR="00725B09" w:rsidRPr="005B1CCB">
        <w:rPr>
          <w:rFonts w:ascii="Palatino Linotype" w:hAnsi="Palatino Linotype" w:cs="Times New Roman"/>
          <w:sz w:val="24"/>
          <w:szCs w:val="24"/>
        </w:rPr>
        <w:t>encouraging</w:t>
      </w:r>
      <w:r w:rsidR="00E2655A" w:rsidRPr="005B1CCB">
        <w:rPr>
          <w:rFonts w:ascii="Palatino Linotype" w:hAnsi="Palatino Linotype" w:cs="Times New Roman"/>
          <w:sz w:val="24"/>
          <w:szCs w:val="24"/>
        </w:rPr>
        <w:t>, i.e.</w:t>
      </w:r>
      <w:r w:rsidR="0054039C">
        <w:rPr>
          <w:rFonts w:ascii="Palatino Linotype" w:hAnsi="Palatino Linotype" w:cs="Times New Roman"/>
          <w:sz w:val="24"/>
          <w:szCs w:val="24"/>
        </w:rPr>
        <w:t>,</w:t>
      </w:r>
      <w:r w:rsidR="00E2655A" w:rsidRPr="005B1CCB">
        <w:rPr>
          <w:rFonts w:ascii="Palatino Linotype" w:hAnsi="Palatino Linotype" w:cs="Times New Roman"/>
          <w:sz w:val="24"/>
          <w:szCs w:val="24"/>
        </w:rPr>
        <w:t xml:space="preserve"> that the surface tethered KRAS </w:t>
      </w:r>
      <w:r w:rsidR="007272B9" w:rsidRPr="005B1CCB">
        <w:rPr>
          <w:rFonts w:ascii="Palatino Linotype" w:hAnsi="Palatino Linotype" w:cs="Times New Roman"/>
          <w:sz w:val="24"/>
          <w:szCs w:val="24"/>
        </w:rPr>
        <w:t>p</w:t>
      </w:r>
      <w:r w:rsidR="00E2655A" w:rsidRPr="005B1CCB">
        <w:rPr>
          <w:rFonts w:ascii="Palatino Linotype" w:hAnsi="Palatino Linotype" w:cs="Times New Roman"/>
          <w:sz w:val="24"/>
          <w:szCs w:val="24"/>
        </w:rPr>
        <w:t>G12D wild-type and mutant probe sequences could in fact discriminate between the amplified sample containing the PCR amplicons.</w:t>
      </w:r>
    </w:p>
    <w:p w14:paraId="1FFCB585" w14:textId="77777777" w:rsidR="00563016" w:rsidRPr="00563016" w:rsidRDefault="00563016" w:rsidP="00E2655A">
      <w:pPr>
        <w:spacing w:line="360" w:lineRule="auto"/>
        <w:jc w:val="both"/>
        <w:rPr>
          <w:rFonts w:ascii="Palatino Linotype" w:hAnsi="Palatino Linotype" w:cs="Times New Roman"/>
          <w:sz w:val="10"/>
          <w:szCs w:val="10"/>
        </w:rPr>
      </w:pPr>
    </w:p>
    <w:p w14:paraId="3CCC64F7" w14:textId="77777777" w:rsidR="0088738D" w:rsidRPr="005B1CCB" w:rsidRDefault="00DB0371" w:rsidP="00D71969">
      <w:pPr>
        <w:pStyle w:val="Heading3"/>
      </w:pPr>
      <w:bookmarkStart w:id="150" w:name="_Toc84528115"/>
      <w:r w:rsidRPr="005B1CCB">
        <w:t xml:space="preserve">KRAS pG12D </w:t>
      </w:r>
      <w:r w:rsidR="00860963" w:rsidRPr="005B1CCB">
        <w:t>Assay specificity</w:t>
      </w:r>
      <w:bookmarkEnd w:id="150"/>
      <w:r w:rsidR="00860963" w:rsidRPr="005B1CCB">
        <w:t xml:space="preserve"> </w:t>
      </w:r>
    </w:p>
    <w:p w14:paraId="084A33AC" w14:textId="7DE555CC" w:rsidR="00BD1072" w:rsidRPr="005B1CCB" w:rsidRDefault="009B6B25" w:rsidP="00482568">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5841AE" w:rsidRPr="005B1CCB">
        <w:rPr>
          <w:rFonts w:ascii="Palatino Linotype" w:hAnsi="Palatino Linotype" w:cs="Times New Roman"/>
          <w:sz w:val="24"/>
          <w:szCs w:val="24"/>
        </w:rPr>
        <w:t xml:space="preserve">    </w:t>
      </w:r>
      <w:r w:rsidR="00B5507D" w:rsidRPr="005B1CCB">
        <w:rPr>
          <w:rFonts w:ascii="Palatino Linotype" w:hAnsi="Palatino Linotype" w:cs="Times New Roman"/>
          <w:sz w:val="24"/>
          <w:szCs w:val="24"/>
        </w:rPr>
        <w:t xml:space="preserve">In order to evaluate the specificity of the assay, the ability of the probe modified electrodes to discriminate between </w:t>
      </w:r>
      <w:r w:rsidR="00755473" w:rsidRPr="005B1CCB">
        <w:rPr>
          <w:rFonts w:ascii="Palatino Linotype" w:hAnsi="Palatino Linotype" w:cs="Times New Roman"/>
          <w:sz w:val="24"/>
          <w:szCs w:val="24"/>
        </w:rPr>
        <w:t>KRAS p</w:t>
      </w:r>
      <w:r w:rsidR="00B5507D" w:rsidRPr="005B1CCB">
        <w:rPr>
          <w:rFonts w:ascii="Palatino Linotype" w:hAnsi="Palatino Linotype" w:cs="Times New Roman"/>
          <w:sz w:val="24"/>
          <w:szCs w:val="24"/>
        </w:rPr>
        <w:t xml:space="preserve">G12D mutant </w:t>
      </w:r>
      <w:r w:rsidR="00BD1072" w:rsidRPr="005B1CCB">
        <w:rPr>
          <w:rFonts w:ascii="Palatino Linotype" w:hAnsi="Palatino Linotype" w:cs="Times New Roman"/>
          <w:sz w:val="24"/>
          <w:szCs w:val="24"/>
        </w:rPr>
        <w:t xml:space="preserve">amplicons </w:t>
      </w:r>
      <w:r w:rsidR="00B5507D" w:rsidRPr="005B1CCB">
        <w:rPr>
          <w:rFonts w:ascii="Palatino Linotype" w:hAnsi="Palatino Linotype" w:cs="Times New Roman"/>
          <w:sz w:val="24"/>
          <w:szCs w:val="24"/>
        </w:rPr>
        <w:t>and wild</w:t>
      </w:r>
      <w:r w:rsidR="0047304D" w:rsidRPr="005B1CCB">
        <w:rPr>
          <w:rFonts w:ascii="Palatino Linotype" w:hAnsi="Palatino Linotype" w:cs="Times New Roman"/>
          <w:sz w:val="24"/>
          <w:szCs w:val="24"/>
        </w:rPr>
        <w:t>-</w:t>
      </w:r>
      <w:r w:rsidR="00B5507D" w:rsidRPr="005B1CCB">
        <w:rPr>
          <w:rFonts w:ascii="Palatino Linotype" w:hAnsi="Palatino Linotype" w:cs="Times New Roman"/>
          <w:sz w:val="24"/>
          <w:szCs w:val="24"/>
        </w:rPr>
        <w:t>type KRAS sequences</w:t>
      </w:r>
      <w:r w:rsidR="00FE3FA0" w:rsidRPr="005B1CCB">
        <w:rPr>
          <w:rFonts w:ascii="Palatino Linotype" w:hAnsi="Palatino Linotype" w:cs="Times New Roman"/>
          <w:sz w:val="24"/>
          <w:szCs w:val="24"/>
        </w:rPr>
        <w:t xml:space="preserve"> was explored</w:t>
      </w:r>
      <w:r w:rsidR="00B5507D" w:rsidRPr="005B1CCB">
        <w:rPr>
          <w:rFonts w:ascii="Palatino Linotype" w:hAnsi="Palatino Linotype" w:cs="Times New Roman"/>
          <w:sz w:val="24"/>
          <w:szCs w:val="24"/>
        </w:rPr>
        <w:t xml:space="preserve">.  To investigate specificity levels and gain an initial impression of assay sensitivity, a series of electrodes were functionalised with KRAS </w:t>
      </w:r>
      <w:r w:rsidR="00FF5F39">
        <w:rPr>
          <w:rFonts w:ascii="Palatino Linotype" w:hAnsi="Palatino Linotype" w:cs="Times New Roman"/>
          <w:sz w:val="24"/>
          <w:szCs w:val="24"/>
        </w:rPr>
        <w:t>p</w:t>
      </w:r>
      <w:r w:rsidR="00B5507D" w:rsidRPr="005B1CCB">
        <w:rPr>
          <w:rFonts w:ascii="Palatino Linotype" w:hAnsi="Palatino Linotype" w:cs="Times New Roman"/>
          <w:sz w:val="24"/>
          <w:szCs w:val="24"/>
        </w:rPr>
        <w:t>G12D mutant probe.</w:t>
      </w:r>
    </w:p>
    <w:p w14:paraId="21ACFC18" w14:textId="77777777" w:rsidR="00BD1072" w:rsidRPr="005B1CCB" w:rsidRDefault="006829BE" w:rsidP="006829BE">
      <w:pPr>
        <w:spacing w:line="360" w:lineRule="auto"/>
        <w:jc w:val="both"/>
        <w:rPr>
          <w:rFonts w:ascii="Palatino Linotype" w:hAnsi="Palatino Linotype" w:cs="Times New Roman"/>
          <w:sz w:val="24"/>
          <w:szCs w:val="24"/>
        </w:rPr>
      </w:pPr>
      <w:r w:rsidRPr="005B1CCB">
        <w:rPr>
          <w:noProof/>
          <w:lang w:eastAsia="en-GB"/>
        </w:rPr>
        <w:drawing>
          <wp:inline distT="0" distB="0" distL="0" distR="0" wp14:anchorId="6FBC4E7B" wp14:editId="261BC676">
            <wp:extent cx="5980872" cy="3914775"/>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sharpenSoften amount="24000"/>
                              </a14:imgEffect>
                              <a14:imgEffect>
                                <a14:brightnessContrast bright="21000"/>
                              </a14:imgEffect>
                            </a14:imgLayer>
                          </a14:imgProps>
                        </a:ext>
                      </a:extLst>
                    </a:blip>
                    <a:stretch>
                      <a:fillRect/>
                    </a:stretch>
                  </pic:blipFill>
                  <pic:spPr>
                    <a:xfrm>
                      <a:off x="0" y="0"/>
                      <a:ext cx="5981916" cy="3915458"/>
                    </a:xfrm>
                    <a:prstGeom prst="rect">
                      <a:avLst/>
                    </a:prstGeom>
                  </pic:spPr>
                </pic:pic>
              </a:graphicData>
            </a:graphic>
          </wp:inline>
        </w:drawing>
      </w:r>
    </w:p>
    <w:p w14:paraId="044FD773" w14:textId="77777777" w:rsidR="00BD1072" w:rsidRPr="005B1CCB" w:rsidRDefault="00BD1072" w:rsidP="00BD1072">
      <w:pPr>
        <w:pStyle w:val="Caption"/>
        <w:jc w:val="center"/>
        <w:rPr>
          <w:rFonts w:ascii="Palatino Linotype" w:hAnsi="Palatino Linotype"/>
          <w:sz w:val="22"/>
          <w:szCs w:val="22"/>
          <w:lang w:bidi="en-US"/>
        </w:rPr>
      </w:pPr>
      <w:bookmarkStart w:id="151" w:name="_Toc84519631"/>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36</w:t>
      </w:r>
      <w:r w:rsidRPr="005B1CCB">
        <w:rPr>
          <w:sz w:val="22"/>
          <w:szCs w:val="22"/>
        </w:rPr>
        <w:fldChar w:fldCharType="end"/>
      </w:r>
      <w:r w:rsidRPr="005B1CCB">
        <w:rPr>
          <w:sz w:val="22"/>
          <w:szCs w:val="22"/>
        </w:rPr>
        <w:t>:</w:t>
      </w:r>
      <w:r w:rsidR="006829BE" w:rsidRPr="005B1CCB">
        <w:rPr>
          <w:sz w:val="22"/>
          <w:szCs w:val="22"/>
        </w:rPr>
        <w:t xml:space="preserve"> (A) KRAS pG12D</w:t>
      </w:r>
      <w:r w:rsidR="00D36628" w:rsidRPr="005B1CCB">
        <w:rPr>
          <w:sz w:val="22"/>
          <w:szCs w:val="22"/>
        </w:rPr>
        <w:t xml:space="preserve"> complementary</w:t>
      </w:r>
      <w:r w:rsidR="006829BE" w:rsidRPr="005B1CCB">
        <w:rPr>
          <w:sz w:val="22"/>
          <w:szCs w:val="22"/>
        </w:rPr>
        <w:t xml:space="preserve"> oligonucleotide hybridisation (B) KRAS pG12D non-amplified gDNA</w:t>
      </w:r>
      <w:r w:rsidRPr="005B1CCB">
        <w:rPr>
          <w:sz w:val="22"/>
          <w:szCs w:val="22"/>
        </w:rPr>
        <w:t xml:space="preserve"> </w:t>
      </w:r>
      <w:r w:rsidR="006829BE" w:rsidRPr="005B1CCB">
        <w:rPr>
          <w:sz w:val="22"/>
          <w:szCs w:val="22"/>
        </w:rPr>
        <w:t xml:space="preserve">hybridisation (C) </w:t>
      </w:r>
      <w:r w:rsidRPr="005B1CCB">
        <w:rPr>
          <w:sz w:val="22"/>
          <w:szCs w:val="22"/>
        </w:rPr>
        <w:t xml:space="preserve">Successful amplification of KRAS G12D mutants further confirmed by a large </w:t>
      </w:r>
      <w:r w:rsidR="006829BE" w:rsidRPr="005B1CCB">
        <w:rPr>
          <w:sz w:val="22"/>
          <w:szCs w:val="22"/>
        </w:rPr>
        <w:t xml:space="preserve">reduction in both oxidative and reductive peak currents </w:t>
      </w:r>
      <w:r w:rsidRPr="005B1CCB">
        <w:rPr>
          <w:sz w:val="22"/>
          <w:szCs w:val="22"/>
        </w:rPr>
        <w:t>between mutant probe and G12D mutant amplicons</w:t>
      </w:r>
      <w:bookmarkEnd w:id="151"/>
    </w:p>
    <w:p w14:paraId="06090922" w14:textId="77777777" w:rsidR="00482568" w:rsidRPr="005B1CCB" w:rsidRDefault="00563016" w:rsidP="00563016">
      <w:pPr>
        <w:pStyle w:val="MDPI31text"/>
        <w:spacing w:line="360" w:lineRule="auto"/>
        <w:ind w:firstLine="0"/>
        <w:rPr>
          <w:sz w:val="24"/>
          <w:szCs w:val="24"/>
        </w:rPr>
      </w:pPr>
      <w:r>
        <w:rPr>
          <w:sz w:val="24"/>
          <w:szCs w:val="24"/>
        </w:rPr>
        <w:t xml:space="preserve">   </w:t>
      </w:r>
      <w:r w:rsidR="00B5507D" w:rsidRPr="005B1CCB">
        <w:rPr>
          <w:sz w:val="24"/>
          <w:szCs w:val="24"/>
        </w:rPr>
        <w:t>For this study, the electrodes employed were comfortably on the macr</w:t>
      </w:r>
      <w:r w:rsidR="004654DC" w:rsidRPr="005B1CCB">
        <w:rPr>
          <w:sz w:val="24"/>
          <w:szCs w:val="24"/>
        </w:rPr>
        <w:t>o scale (diameter = 2.95 mm), t</w:t>
      </w:r>
      <w:r w:rsidR="009C3DA9" w:rsidRPr="005B1CCB">
        <w:rPr>
          <w:sz w:val="24"/>
          <w:szCs w:val="24"/>
        </w:rPr>
        <w:t xml:space="preserve">herefore, </w:t>
      </w:r>
      <w:r w:rsidR="00B5507D" w:rsidRPr="005B1CCB">
        <w:rPr>
          <w:sz w:val="24"/>
          <w:szCs w:val="24"/>
        </w:rPr>
        <w:t xml:space="preserve">a reduction in peak current </w:t>
      </w:r>
      <w:r w:rsidR="009C3DA9" w:rsidRPr="005B1CCB">
        <w:rPr>
          <w:sz w:val="24"/>
          <w:szCs w:val="24"/>
        </w:rPr>
        <w:t xml:space="preserve">was expected </w:t>
      </w:r>
      <w:r w:rsidR="00B5507D" w:rsidRPr="005B1CCB">
        <w:rPr>
          <w:sz w:val="24"/>
          <w:szCs w:val="24"/>
        </w:rPr>
        <w:t xml:space="preserve">when specific DNA hybridisation took place and this was found to be the case.  </w:t>
      </w:r>
      <w:r w:rsidR="00482568" w:rsidRPr="005B1CCB">
        <w:rPr>
          <w:sz w:val="24"/>
          <w:szCs w:val="24"/>
          <w:lang w:val="en-GB"/>
        </w:rPr>
        <w:t xml:space="preserve">The probe modified electrodes were tested with:  synthetic </w:t>
      </w:r>
      <w:r w:rsidR="005F6F0D" w:rsidRPr="005B1CCB">
        <w:rPr>
          <w:sz w:val="24"/>
          <w:szCs w:val="24"/>
          <w:lang w:val="en-GB"/>
        </w:rPr>
        <w:t xml:space="preserve">mutant KRAS </w:t>
      </w:r>
      <w:r w:rsidR="00482568" w:rsidRPr="005B1CCB">
        <w:rPr>
          <w:sz w:val="24"/>
          <w:szCs w:val="24"/>
          <w:lang w:val="en-GB"/>
        </w:rPr>
        <w:t>oligonucleotides (</w:t>
      </w:r>
      <w:r w:rsidR="005F6F0D" w:rsidRPr="005B1CCB">
        <w:rPr>
          <w:sz w:val="24"/>
          <w:szCs w:val="24"/>
          <w:lang w:val="en-GB"/>
        </w:rPr>
        <w:t>Figure 3</w:t>
      </w:r>
      <w:r w:rsidR="006E04D7" w:rsidRPr="005B1CCB">
        <w:rPr>
          <w:sz w:val="24"/>
          <w:szCs w:val="24"/>
          <w:lang w:val="en-GB"/>
        </w:rPr>
        <w:t>6</w:t>
      </w:r>
      <w:r w:rsidR="005F6F0D" w:rsidRPr="005B1CCB">
        <w:rPr>
          <w:sz w:val="24"/>
          <w:szCs w:val="24"/>
          <w:lang w:val="en-GB"/>
        </w:rPr>
        <w:t xml:space="preserve"> (A)</w:t>
      </w:r>
      <w:r w:rsidR="00482568" w:rsidRPr="005B1CCB">
        <w:rPr>
          <w:sz w:val="24"/>
          <w:szCs w:val="24"/>
          <w:lang w:val="en-GB"/>
        </w:rPr>
        <w:t>), non-amplified samples containing wild-type KRAS and the pG12D KRAS mutation</w:t>
      </w:r>
      <w:r w:rsidR="005F6F0D" w:rsidRPr="005B1CCB">
        <w:rPr>
          <w:sz w:val="24"/>
          <w:szCs w:val="24"/>
          <w:lang w:val="en-GB"/>
        </w:rPr>
        <w:t xml:space="preserve"> (Figure 3</w:t>
      </w:r>
      <w:r w:rsidR="006E04D7" w:rsidRPr="005B1CCB">
        <w:rPr>
          <w:sz w:val="24"/>
          <w:szCs w:val="24"/>
          <w:lang w:val="en-GB"/>
        </w:rPr>
        <w:t>6</w:t>
      </w:r>
      <w:r w:rsidR="005F6F0D" w:rsidRPr="005B1CCB">
        <w:rPr>
          <w:sz w:val="24"/>
          <w:szCs w:val="24"/>
          <w:lang w:val="en-GB"/>
        </w:rPr>
        <w:t xml:space="preserve"> (B))</w:t>
      </w:r>
      <w:r w:rsidR="00482568" w:rsidRPr="005B1CCB">
        <w:rPr>
          <w:sz w:val="24"/>
          <w:szCs w:val="24"/>
          <w:lang w:val="en-GB"/>
        </w:rPr>
        <w:t>, and amplicons from the PCR reaction, which contained amplified KRAS pG12D mutations</w:t>
      </w:r>
      <w:r w:rsidR="005F6F0D" w:rsidRPr="005B1CCB">
        <w:rPr>
          <w:sz w:val="24"/>
          <w:szCs w:val="24"/>
          <w:lang w:val="en-GB"/>
        </w:rPr>
        <w:t xml:space="preserve"> (Figure 3</w:t>
      </w:r>
      <w:r w:rsidR="006E04D7" w:rsidRPr="005B1CCB">
        <w:rPr>
          <w:sz w:val="24"/>
          <w:szCs w:val="24"/>
          <w:lang w:val="en-GB"/>
        </w:rPr>
        <w:t>6</w:t>
      </w:r>
      <w:r w:rsidR="005F6F0D" w:rsidRPr="005B1CCB">
        <w:rPr>
          <w:sz w:val="24"/>
          <w:szCs w:val="24"/>
          <w:lang w:val="en-GB"/>
        </w:rPr>
        <w:t xml:space="preserve"> (C))</w:t>
      </w:r>
      <w:r w:rsidR="00482568" w:rsidRPr="005B1CCB">
        <w:rPr>
          <w:sz w:val="24"/>
          <w:szCs w:val="24"/>
          <w:lang w:val="en-GB"/>
        </w:rPr>
        <w:t xml:space="preserve">. Measurement upon hybridisation with these targets showed different results. </w:t>
      </w:r>
    </w:p>
    <w:p w14:paraId="23B0133A" w14:textId="77777777" w:rsidR="0017596C" w:rsidRPr="005B1CCB" w:rsidRDefault="0017596C" w:rsidP="0015280F">
      <w:pPr>
        <w:pStyle w:val="MDPI31text"/>
        <w:spacing w:line="360" w:lineRule="auto"/>
        <w:rPr>
          <w:sz w:val="24"/>
          <w:szCs w:val="24"/>
          <w:lang w:val="en-GB"/>
        </w:rPr>
      </w:pPr>
      <w:r w:rsidRPr="005B1CCB">
        <w:rPr>
          <w:sz w:val="24"/>
          <w:szCs w:val="24"/>
          <w:lang w:val="en-GB"/>
        </w:rPr>
        <w:t xml:space="preserve">Confirmation of sensor specificity was carried out by using a synthetic oligonucleotide as a target and demonstrating that a single base pair difference could be measured. </w:t>
      </w:r>
      <w:r w:rsidR="00C16553" w:rsidRPr="005B1CCB">
        <w:rPr>
          <w:sz w:val="24"/>
          <w:szCs w:val="24"/>
          <w:lang w:val="en-GB"/>
        </w:rPr>
        <w:t xml:space="preserve">Small reductions in the peak current were </w:t>
      </w:r>
      <w:r w:rsidRPr="005B1CCB">
        <w:rPr>
          <w:sz w:val="24"/>
          <w:szCs w:val="24"/>
          <w:lang w:val="en-GB"/>
        </w:rPr>
        <w:t>observed</w:t>
      </w:r>
      <w:r w:rsidR="002B0DA3" w:rsidRPr="005B1CCB">
        <w:rPr>
          <w:sz w:val="24"/>
          <w:szCs w:val="24"/>
          <w:lang w:val="en-GB"/>
        </w:rPr>
        <w:t xml:space="preserve"> (16.67 % signal change) as shown in F</w:t>
      </w:r>
      <w:r w:rsidRPr="005B1CCB">
        <w:rPr>
          <w:sz w:val="24"/>
          <w:szCs w:val="24"/>
          <w:lang w:val="en-GB"/>
        </w:rPr>
        <w:t>igure 3</w:t>
      </w:r>
      <w:r w:rsidR="006E04D7" w:rsidRPr="005B1CCB">
        <w:rPr>
          <w:sz w:val="24"/>
          <w:szCs w:val="24"/>
          <w:lang w:val="en-GB"/>
        </w:rPr>
        <w:t>6</w:t>
      </w:r>
      <w:r w:rsidRPr="005B1CCB">
        <w:rPr>
          <w:sz w:val="24"/>
          <w:szCs w:val="24"/>
          <w:lang w:val="en-GB"/>
        </w:rPr>
        <w:t xml:space="preserve"> (A)</w:t>
      </w:r>
      <w:r w:rsidR="002B0DA3" w:rsidRPr="005B1CCB">
        <w:rPr>
          <w:sz w:val="24"/>
          <w:szCs w:val="24"/>
          <w:lang w:val="en-GB"/>
        </w:rPr>
        <w:t>. T</w:t>
      </w:r>
      <w:r w:rsidRPr="005B1CCB">
        <w:rPr>
          <w:sz w:val="24"/>
          <w:szCs w:val="24"/>
          <w:lang w:val="en-GB"/>
        </w:rPr>
        <w:t>he test involving hybridised unamplified samples containing a very low concentration of the pG12D KRAS mutation against a wild-type background (Figure 3</w:t>
      </w:r>
      <w:r w:rsidR="006E04D7" w:rsidRPr="005B1CCB">
        <w:rPr>
          <w:sz w:val="24"/>
          <w:szCs w:val="24"/>
          <w:lang w:val="en-GB"/>
        </w:rPr>
        <w:t>6</w:t>
      </w:r>
      <w:r w:rsidRPr="005B1CCB">
        <w:rPr>
          <w:sz w:val="24"/>
          <w:szCs w:val="24"/>
          <w:lang w:val="en-GB"/>
        </w:rPr>
        <w:t xml:space="preserve"> (B)) also showed </w:t>
      </w:r>
      <w:r w:rsidR="00C16553" w:rsidRPr="005B1CCB">
        <w:rPr>
          <w:sz w:val="24"/>
          <w:szCs w:val="24"/>
          <w:lang w:val="en-GB"/>
        </w:rPr>
        <w:t xml:space="preserve">reductions in </w:t>
      </w:r>
      <w:r w:rsidR="002B0DA3" w:rsidRPr="005B1CCB">
        <w:rPr>
          <w:sz w:val="24"/>
          <w:szCs w:val="24"/>
          <w:lang w:val="en-GB"/>
        </w:rPr>
        <w:t xml:space="preserve">oxidative </w:t>
      </w:r>
      <w:r w:rsidR="00C16553" w:rsidRPr="005B1CCB">
        <w:rPr>
          <w:sz w:val="24"/>
          <w:szCs w:val="24"/>
          <w:lang w:val="en-GB"/>
        </w:rPr>
        <w:t>peak current</w:t>
      </w:r>
      <w:r w:rsidR="002B0DA3" w:rsidRPr="005B1CCB">
        <w:rPr>
          <w:sz w:val="24"/>
          <w:szCs w:val="24"/>
          <w:lang w:val="en-GB"/>
        </w:rPr>
        <w:t xml:space="preserve"> (25 % signal change)</w:t>
      </w:r>
      <w:r w:rsidR="00C16553" w:rsidRPr="005B1CCB">
        <w:rPr>
          <w:sz w:val="24"/>
          <w:szCs w:val="24"/>
          <w:lang w:val="en-GB"/>
        </w:rPr>
        <w:t>, suggesting a partial hybridisation</w:t>
      </w:r>
      <w:r w:rsidRPr="005B1CCB">
        <w:rPr>
          <w:sz w:val="24"/>
          <w:szCs w:val="24"/>
          <w:lang w:val="en-GB"/>
        </w:rPr>
        <w:t>.</w:t>
      </w:r>
    </w:p>
    <w:p w14:paraId="34DE628D" w14:textId="77777777" w:rsidR="00E2655A" w:rsidRPr="005B1CCB" w:rsidRDefault="0017596C" w:rsidP="008206C5">
      <w:pPr>
        <w:pStyle w:val="MDPI31text"/>
        <w:spacing w:line="360" w:lineRule="auto"/>
        <w:rPr>
          <w:sz w:val="24"/>
          <w:szCs w:val="24"/>
          <w:lang w:val="en-GB"/>
        </w:rPr>
      </w:pPr>
      <w:r w:rsidRPr="005B1CCB">
        <w:rPr>
          <w:sz w:val="24"/>
          <w:szCs w:val="24"/>
          <w:lang w:val="en-GB"/>
        </w:rPr>
        <w:t xml:space="preserve"> Next, </w:t>
      </w:r>
      <w:r w:rsidR="0015280F" w:rsidRPr="005B1CCB">
        <w:rPr>
          <w:sz w:val="24"/>
          <w:szCs w:val="24"/>
          <w:lang w:val="en-GB"/>
        </w:rPr>
        <w:t>in order</w:t>
      </w:r>
      <w:r w:rsidRPr="005B1CCB">
        <w:rPr>
          <w:sz w:val="24"/>
          <w:szCs w:val="24"/>
          <w:lang w:val="en-GB"/>
        </w:rPr>
        <w:t xml:space="preserve"> to confirm that the primer design was successful and only the mutant alleles in the sample were amplified</w:t>
      </w:r>
      <w:r w:rsidR="0015280F" w:rsidRPr="005B1CCB">
        <w:rPr>
          <w:sz w:val="24"/>
          <w:szCs w:val="24"/>
          <w:lang w:val="en-GB"/>
        </w:rPr>
        <w:t>,</w:t>
      </w:r>
      <w:r w:rsidRPr="005B1CCB">
        <w:rPr>
          <w:sz w:val="24"/>
          <w:szCs w:val="24"/>
          <w:lang w:val="en-GB"/>
        </w:rPr>
        <w:t xml:space="preserve"> the PCR products</w:t>
      </w:r>
      <w:r w:rsidR="0015280F" w:rsidRPr="005B1CCB">
        <w:rPr>
          <w:sz w:val="24"/>
          <w:szCs w:val="24"/>
          <w:lang w:val="en-GB"/>
        </w:rPr>
        <w:t xml:space="preserve"> were used as targets</w:t>
      </w:r>
      <w:r w:rsidRPr="005B1CCB">
        <w:rPr>
          <w:sz w:val="24"/>
          <w:szCs w:val="24"/>
          <w:lang w:val="en-GB"/>
        </w:rPr>
        <w:t>. The amplified mutant alleles were detectable and the difference in Figure 3</w:t>
      </w:r>
      <w:r w:rsidR="006E04D7" w:rsidRPr="005B1CCB">
        <w:rPr>
          <w:sz w:val="24"/>
          <w:szCs w:val="24"/>
          <w:lang w:val="en-GB"/>
        </w:rPr>
        <w:t>6</w:t>
      </w:r>
      <w:r w:rsidR="0015280F" w:rsidRPr="005B1CCB">
        <w:rPr>
          <w:sz w:val="24"/>
          <w:szCs w:val="24"/>
          <w:lang w:val="en-GB"/>
        </w:rPr>
        <w:t xml:space="preserve"> </w:t>
      </w:r>
      <w:r w:rsidRPr="005B1CCB">
        <w:rPr>
          <w:sz w:val="24"/>
          <w:szCs w:val="24"/>
          <w:lang w:val="en-GB"/>
        </w:rPr>
        <w:t>(</w:t>
      </w:r>
      <w:r w:rsidR="0015280F" w:rsidRPr="005B1CCB">
        <w:rPr>
          <w:sz w:val="24"/>
          <w:szCs w:val="24"/>
          <w:lang w:val="en-GB"/>
        </w:rPr>
        <w:t xml:space="preserve">C) </w:t>
      </w:r>
      <w:r w:rsidRPr="005B1CCB">
        <w:rPr>
          <w:sz w:val="24"/>
          <w:szCs w:val="24"/>
          <w:lang w:val="en-GB"/>
        </w:rPr>
        <w:t xml:space="preserve">is clearly selective as the peak current of the amplified sample using a mutant probe show </w:t>
      </w:r>
      <w:r w:rsidR="0015280F" w:rsidRPr="005B1CCB">
        <w:rPr>
          <w:sz w:val="24"/>
          <w:szCs w:val="24"/>
          <w:lang w:val="en-GB"/>
        </w:rPr>
        <w:t>a decreased</w:t>
      </w:r>
      <w:r w:rsidRPr="005B1CCB">
        <w:rPr>
          <w:sz w:val="24"/>
          <w:szCs w:val="24"/>
          <w:lang w:val="en-GB"/>
        </w:rPr>
        <w:t xml:space="preserve"> oxidative </w:t>
      </w:r>
      <w:r w:rsidR="00E8369A" w:rsidRPr="005B1CCB">
        <w:rPr>
          <w:sz w:val="24"/>
          <w:szCs w:val="24"/>
          <w:lang w:val="en-GB"/>
        </w:rPr>
        <w:t xml:space="preserve">(60 % signal change) </w:t>
      </w:r>
      <w:r w:rsidR="0015280F" w:rsidRPr="005B1CCB">
        <w:rPr>
          <w:sz w:val="24"/>
          <w:szCs w:val="24"/>
          <w:lang w:val="en-GB"/>
        </w:rPr>
        <w:t xml:space="preserve">and reductive </w:t>
      </w:r>
      <w:r w:rsidRPr="005B1CCB">
        <w:rPr>
          <w:sz w:val="24"/>
          <w:szCs w:val="24"/>
          <w:lang w:val="en-GB"/>
        </w:rPr>
        <w:t>peak current</w:t>
      </w:r>
      <w:r w:rsidR="0015280F" w:rsidRPr="005B1CCB">
        <w:rPr>
          <w:sz w:val="24"/>
          <w:szCs w:val="24"/>
          <w:lang w:val="en-GB"/>
        </w:rPr>
        <w:t>s</w:t>
      </w:r>
      <w:r w:rsidRPr="005B1CCB">
        <w:rPr>
          <w:sz w:val="24"/>
          <w:szCs w:val="24"/>
          <w:lang w:val="en-GB"/>
        </w:rPr>
        <w:t xml:space="preserve"> compared</w:t>
      </w:r>
      <w:r w:rsidR="0015280F" w:rsidRPr="005B1CCB">
        <w:rPr>
          <w:sz w:val="24"/>
          <w:szCs w:val="24"/>
          <w:lang w:val="en-GB"/>
        </w:rPr>
        <w:t xml:space="preserve"> to the oligonucleotide and non-amplified samples</w:t>
      </w:r>
      <w:r w:rsidRPr="005B1CCB">
        <w:rPr>
          <w:sz w:val="24"/>
          <w:szCs w:val="24"/>
          <w:lang w:val="en-GB"/>
        </w:rPr>
        <w:t>.</w:t>
      </w:r>
      <w:r w:rsidR="0015280F" w:rsidRPr="005B1CCB">
        <w:rPr>
          <w:sz w:val="24"/>
          <w:szCs w:val="24"/>
          <w:lang w:val="en-GB"/>
        </w:rPr>
        <w:t xml:space="preserve"> It was </w:t>
      </w:r>
      <w:r w:rsidR="005255D5" w:rsidRPr="005B1CCB">
        <w:rPr>
          <w:sz w:val="24"/>
          <w:szCs w:val="24"/>
          <w:lang w:val="en-GB"/>
        </w:rPr>
        <w:t>encoura</w:t>
      </w:r>
      <w:r w:rsidR="00F6183D" w:rsidRPr="005B1CCB">
        <w:rPr>
          <w:sz w:val="24"/>
          <w:szCs w:val="24"/>
          <w:lang w:val="en-GB"/>
        </w:rPr>
        <w:t>g</w:t>
      </w:r>
      <w:r w:rsidR="005255D5" w:rsidRPr="005B1CCB">
        <w:rPr>
          <w:sz w:val="24"/>
          <w:szCs w:val="24"/>
          <w:lang w:val="en-GB"/>
        </w:rPr>
        <w:t>ing</w:t>
      </w:r>
      <w:r w:rsidR="0015280F" w:rsidRPr="005B1CCB">
        <w:rPr>
          <w:sz w:val="24"/>
          <w:szCs w:val="24"/>
          <w:lang w:val="en-GB"/>
        </w:rPr>
        <w:t xml:space="preserve"> that the largest decrease in both the oxidative and reductive peak currents were observed between the mutant probe and the amplified KRAS mutants.</w:t>
      </w:r>
    </w:p>
    <w:p w14:paraId="527783D4" w14:textId="77777777" w:rsidR="007636FC" w:rsidRDefault="007636FC" w:rsidP="007636FC"/>
    <w:p w14:paraId="4E09363B" w14:textId="77777777" w:rsidR="00563016" w:rsidRDefault="00563016" w:rsidP="007636FC"/>
    <w:p w14:paraId="52724395" w14:textId="77777777" w:rsidR="00563016" w:rsidRPr="005B1CCB" w:rsidRDefault="00563016" w:rsidP="007636FC"/>
    <w:p w14:paraId="04979648" w14:textId="77777777" w:rsidR="00115E9E" w:rsidRPr="005B1CCB" w:rsidRDefault="00115E9E" w:rsidP="00D71969">
      <w:pPr>
        <w:pStyle w:val="Heading3"/>
      </w:pPr>
      <w:bookmarkStart w:id="152" w:name="_Toc84528116"/>
      <w:r w:rsidRPr="005B1CCB">
        <w:t>Assay optimisation</w:t>
      </w:r>
      <w:bookmarkEnd w:id="152"/>
    </w:p>
    <w:p w14:paraId="466CF1E4" w14:textId="77777777" w:rsidR="006A6F12" w:rsidRPr="005B1CCB" w:rsidRDefault="00282649" w:rsidP="00115E9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115E9E" w:rsidRPr="005B1CCB">
        <w:rPr>
          <w:rFonts w:ascii="Palatino Linotype" w:hAnsi="Palatino Linotype" w:cs="Times New Roman"/>
          <w:sz w:val="24"/>
          <w:szCs w:val="24"/>
        </w:rPr>
        <w:t xml:space="preserve">With the basis of the assay established, i.e. PCR primer specificity, ssDNA probe specificity, and electrochemical signal changes of the correct direction and magnitude, it was important to investigate whether dose-response effects could be established and whether an optimal number of PCR cycles could be identified to reduce sample to result time.  First of all, it was decided to investigate the effect of the number of PCR cycles employed for amplification on the electrochemical signal change post hybridisation.  For this work, both cyclic voltammetry (CV) and electrochemical impedance (EIS) measurements were performed in order to determine whether consistent behaviour was observed using the two techniques.  </w:t>
      </w:r>
    </w:p>
    <w:p w14:paraId="5C889856" w14:textId="77777777" w:rsidR="00BC60CF" w:rsidRPr="005B1CCB" w:rsidRDefault="00BC60CF" w:rsidP="00115E9E">
      <w:pPr>
        <w:spacing w:line="360" w:lineRule="auto"/>
        <w:jc w:val="both"/>
        <w:rPr>
          <w:rFonts w:ascii="Palatino Linotype" w:hAnsi="Palatino Linotype" w:cs="Times New Roman"/>
          <w:sz w:val="24"/>
          <w:szCs w:val="24"/>
        </w:rPr>
      </w:pPr>
    </w:p>
    <w:p w14:paraId="7F48F348" w14:textId="77777777" w:rsidR="006A6F12" w:rsidRPr="005B1CCB" w:rsidRDefault="006A6F12" w:rsidP="006A6F12">
      <w:pPr>
        <w:pStyle w:val="Heading4"/>
      </w:pPr>
      <w:r w:rsidRPr="005B1CCB">
        <w:t>PCR Thermal cycling optimisation</w:t>
      </w:r>
    </w:p>
    <w:p w14:paraId="2CA9FB68" w14:textId="7239A7A9" w:rsidR="00BC60CF" w:rsidRPr="005B1CCB" w:rsidRDefault="006A6F12" w:rsidP="00115E9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1B626F" w:rsidRPr="005B1CCB">
        <w:rPr>
          <w:rFonts w:ascii="Palatino Linotype" w:hAnsi="Palatino Linotype" w:cs="Times New Roman"/>
          <w:sz w:val="24"/>
          <w:szCs w:val="24"/>
        </w:rPr>
        <w:t xml:space="preserve"> </w:t>
      </w:r>
      <w:r w:rsidR="00115E9E" w:rsidRPr="005B1CCB">
        <w:rPr>
          <w:rFonts w:ascii="Palatino Linotype" w:hAnsi="Palatino Linotype" w:cs="Times New Roman"/>
          <w:sz w:val="24"/>
          <w:szCs w:val="24"/>
        </w:rPr>
        <w:t xml:space="preserve">Figure </w:t>
      </w:r>
      <w:r w:rsidR="001B626F" w:rsidRPr="005B1CCB">
        <w:rPr>
          <w:rFonts w:ascii="Palatino Linotype" w:hAnsi="Palatino Linotype" w:cs="Times New Roman"/>
          <w:sz w:val="24"/>
          <w:szCs w:val="24"/>
        </w:rPr>
        <w:t>3</w:t>
      </w:r>
      <w:r w:rsidR="006E04D7" w:rsidRPr="005B1CCB">
        <w:rPr>
          <w:rFonts w:ascii="Palatino Linotype" w:hAnsi="Palatino Linotype" w:cs="Times New Roman"/>
          <w:sz w:val="24"/>
          <w:szCs w:val="24"/>
        </w:rPr>
        <w:t>7</w:t>
      </w:r>
      <w:r w:rsidR="00115E9E" w:rsidRPr="005B1CCB">
        <w:rPr>
          <w:rFonts w:ascii="Palatino Linotype" w:hAnsi="Palatino Linotype" w:cs="Times New Roman"/>
          <w:sz w:val="24"/>
          <w:szCs w:val="24"/>
        </w:rPr>
        <w:t xml:space="preserve"> shows two example of impedance results showing the changing signal levels for electrodes incubated with PCR product generated from 25 and 30 cycle reactions.  It can be seen that the increase in the charge transfer resistance (R</w:t>
      </w:r>
      <w:r w:rsidR="00115E9E" w:rsidRPr="005B1CCB">
        <w:rPr>
          <w:rFonts w:ascii="Palatino Linotype" w:hAnsi="Palatino Linotype" w:cs="Times New Roman"/>
          <w:sz w:val="24"/>
          <w:szCs w:val="24"/>
          <w:vertAlign w:val="subscript"/>
        </w:rPr>
        <w:t>CT</w:t>
      </w:r>
      <w:r w:rsidR="00115E9E" w:rsidRPr="005B1CCB">
        <w:rPr>
          <w:rFonts w:ascii="Palatino Linotype" w:hAnsi="Palatino Linotype" w:cs="Times New Roman"/>
          <w:sz w:val="24"/>
          <w:szCs w:val="24"/>
        </w:rPr>
        <w:t xml:space="preserve">) semi-circle was as expected and equivalent circuit fitting using the well-established Randles’ equivalent circuit.  </w:t>
      </w:r>
    </w:p>
    <w:p w14:paraId="101E8E24" w14:textId="77777777" w:rsidR="005A7190" w:rsidRPr="005B1CCB" w:rsidRDefault="00115E9E" w:rsidP="00BC60CF">
      <w:pPr>
        <w:keepNext/>
        <w:spacing w:line="360" w:lineRule="auto"/>
      </w:pPr>
      <w:r w:rsidRPr="005B1CCB">
        <w:rPr>
          <w:rFonts w:ascii="Palatino Linotype" w:hAnsi="Palatino Linotype" w:cs="Times New Roman"/>
          <w:noProof/>
          <w:sz w:val="24"/>
          <w:szCs w:val="24"/>
          <w:lang w:eastAsia="en-GB"/>
        </w:rPr>
        <w:drawing>
          <wp:inline distT="0" distB="0" distL="0" distR="0" wp14:anchorId="1299676D" wp14:editId="222169CF">
            <wp:extent cx="6081292" cy="2117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BEBA8EAE-BF5A-486C-A8C5-ECC9F3942E4B}">
                          <a14:imgProps xmlns:a14="http://schemas.microsoft.com/office/drawing/2010/main">
                            <a14:imgLayer r:embed="rId54">
                              <a14:imgEffect>
                                <a14:sharpenSoften amount="15000"/>
                              </a14:imgEffect>
                            </a14:imgLayer>
                          </a14:imgProps>
                        </a:ext>
                      </a:extLst>
                    </a:blip>
                    <a:srcRect t="4762" r="3918" b="2991"/>
                    <a:stretch/>
                  </pic:blipFill>
                  <pic:spPr bwMode="auto">
                    <a:xfrm>
                      <a:off x="0" y="0"/>
                      <a:ext cx="6187950" cy="2154165"/>
                    </a:xfrm>
                    <a:prstGeom prst="rect">
                      <a:avLst/>
                    </a:prstGeom>
                    <a:ln>
                      <a:noFill/>
                    </a:ln>
                    <a:extLst>
                      <a:ext uri="{53640926-AAD7-44D8-BBD7-CCE9431645EC}">
                        <a14:shadowObscured xmlns:a14="http://schemas.microsoft.com/office/drawing/2010/main"/>
                      </a:ext>
                    </a:extLst>
                  </pic:spPr>
                </pic:pic>
              </a:graphicData>
            </a:graphic>
          </wp:inline>
        </w:drawing>
      </w:r>
    </w:p>
    <w:p w14:paraId="7F3FA7E2" w14:textId="32E597F4" w:rsidR="00115E9E" w:rsidRPr="005B1CCB" w:rsidRDefault="005A7190" w:rsidP="005A7190">
      <w:pPr>
        <w:pStyle w:val="Caption"/>
        <w:jc w:val="center"/>
        <w:rPr>
          <w:sz w:val="22"/>
          <w:szCs w:val="22"/>
        </w:rPr>
      </w:pPr>
      <w:bookmarkStart w:id="153" w:name="_Toc84519632"/>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37</w:t>
      </w:r>
      <w:r w:rsidRPr="005B1CCB">
        <w:rPr>
          <w:sz w:val="22"/>
          <w:szCs w:val="22"/>
        </w:rPr>
        <w:fldChar w:fldCharType="end"/>
      </w:r>
      <w:r w:rsidRPr="005B1CCB">
        <w:rPr>
          <w:sz w:val="22"/>
          <w:szCs w:val="22"/>
        </w:rPr>
        <w:t>: EIS responses for clean, probe modified and target bound electrodes following 25 PCR cycles (a) and 30 PCR cycles (b) and (c) CV results showing the correlation between oxidative and reductive peak currents and PCR cycle number</w:t>
      </w:r>
      <w:r w:rsidR="00740593">
        <w:rPr>
          <w:sz w:val="22"/>
          <w:szCs w:val="22"/>
        </w:rPr>
        <w:t xml:space="preserve"> (n=3)</w:t>
      </w:r>
      <w:r w:rsidRPr="005B1CCB">
        <w:rPr>
          <w:sz w:val="22"/>
          <w:szCs w:val="22"/>
        </w:rPr>
        <w:t>.</w:t>
      </w:r>
      <w:bookmarkEnd w:id="153"/>
    </w:p>
    <w:p w14:paraId="48187AC5" w14:textId="3DD03D70" w:rsidR="00935C6E" w:rsidRPr="005B1CCB" w:rsidRDefault="00BC60CF" w:rsidP="00935C6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For clarity, the expected trend was observed in that R</w:t>
      </w:r>
      <w:r w:rsidRPr="005B1CCB">
        <w:rPr>
          <w:rFonts w:ascii="Palatino Linotype" w:hAnsi="Palatino Linotype" w:cs="Times New Roman"/>
          <w:sz w:val="24"/>
          <w:szCs w:val="24"/>
          <w:vertAlign w:val="subscript"/>
        </w:rPr>
        <w:t>CT</w:t>
      </w:r>
      <w:r w:rsidRPr="005B1CCB">
        <w:rPr>
          <w:rFonts w:ascii="Palatino Linotype" w:hAnsi="Palatino Linotype" w:cs="Times New Roman"/>
          <w:sz w:val="24"/>
          <w:szCs w:val="24"/>
        </w:rPr>
        <w:t xml:space="preserve"> increased from clean electrode, to ssDNA mutant probe modified surface, to target hybridisation with all steps providing clear indication of increased blocking of the electrode surface.  Furthermore, the increase in R</w:t>
      </w:r>
      <w:r w:rsidRPr="005B1CCB">
        <w:rPr>
          <w:rFonts w:ascii="Palatino Linotype" w:hAnsi="Palatino Linotype" w:cs="Times New Roman"/>
          <w:sz w:val="24"/>
          <w:szCs w:val="24"/>
          <w:vertAlign w:val="subscript"/>
        </w:rPr>
        <w:t>CT</w:t>
      </w:r>
      <w:r w:rsidRPr="005B1CCB">
        <w:rPr>
          <w:rFonts w:ascii="Palatino Linotype" w:hAnsi="Palatino Linotype" w:cs="Times New Roman"/>
          <w:sz w:val="24"/>
          <w:szCs w:val="24"/>
        </w:rPr>
        <w:t xml:space="preserve"> from the probe modification to the target hybridisation step was greater for the 30 cycle PCR reaction when compared to the 25 cycle reaction hinting at a dose response effect, since the 30 cycle reaction would have produced significantly more PCR product (see Figure 38 for R</w:t>
      </w:r>
      <w:r w:rsidRPr="005B1CCB">
        <w:rPr>
          <w:rFonts w:ascii="Palatino Linotype" w:hAnsi="Palatino Linotype" w:cs="Times New Roman"/>
          <w:sz w:val="24"/>
          <w:szCs w:val="24"/>
          <w:vertAlign w:val="subscript"/>
        </w:rPr>
        <w:t>CT</w:t>
      </w:r>
      <w:r w:rsidRPr="005B1CCB">
        <w:rPr>
          <w:rFonts w:ascii="Palatino Linotype" w:hAnsi="Palatino Linotype" w:cs="Times New Roman"/>
          <w:sz w:val="24"/>
          <w:szCs w:val="24"/>
        </w:rPr>
        <w:t xml:space="preserve"> values).  This was an encouraging finding but repeated functionalisation with ssDNA probe and target hybridisation across multiple sensor chips led to a wide range of impedance responses, </w:t>
      </w:r>
      <w:r w:rsidR="00740593">
        <w:rPr>
          <w:rFonts w:ascii="Palatino Linotype" w:hAnsi="Palatino Linotype" w:cs="Times New Roman"/>
          <w:sz w:val="24"/>
          <w:szCs w:val="24"/>
        </w:rPr>
        <w:t>including a shift in the solution resistance which might have been due to ionic concen</w:t>
      </w:r>
      <w:r w:rsidR="009A69E6">
        <w:rPr>
          <w:rFonts w:ascii="Palatino Linotype" w:hAnsi="Palatino Linotype" w:cs="Times New Roman"/>
          <w:sz w:val="24"/>
          <w:szCs w:val="24"/>
        </w:rPr>
        <w:t>tration or temperature,  and</w:t>
      </w:r>
      <w:r w:rsidRPr="005B1CCB">
        <w:rPr>
          <w:rFonts w:ascii="Palatino Linotype" w:hAnsi="Palatino Linotype" w:cs="Times New Roman"/>
          <w:sz w:val="24"/>
          <w:szCs w:val="24"/>
        </w:rPr>
        <w:t xml:space="preserve"> </w:t>
      </w:r>
      <w:r w:rsidR="009A69E6">
        <w:rPr>
          <w:rFonts w:ascii="Palatino Linotype" w:hAnsi="Palatino Linotype" w:cs="Times New Roman"/>
          <w:sz w:val="24"/>
          <w:szCs w:val="24"/>
        </w:rPr>
        <w:t xml:space="preserve">subsequently, </w:t>
      </w:r>
      <w:r w:rsidRPr="005B1CCB">
        <w:rPr>
          <w:rFonts w:ascii="Palatino Linotype" w:hAnsi="Palatino Linotype" w:cs="Times New Roman"/>
          <w:sz w:val="24"/>
          <w:szCs w:val="24"/>
        </w:rPr>
        <w:t xml:space="preserve">a profile that was difficult to fit to any established equivalent circuit.  </w:t>
      </w:r>
    </w:p>
    <w:p w14:paraId="6E2AA02B" w14:textId="77777777" w:rsidR="00935C6E" w:rsidRPr="005B1CCB" w:rsidRDefault="00935C6E" w:rsidP="00F066DD">
      <w:pPr>
        <w:keepNext/>
        <w:jc w:val="center"/>
      </w:pPr>
      <w:r w:rsidRPr="005B1CCB">
        <w:rPr>
          <w:rFonts w:ascii="Palatino Linotype" w:hAnsi="Palatino Linotype"/>
          <w:noProof/>
          <w:sz w:val="24"/>
          <w:szCs w:val="24"/>
          <w:lang w:eastAsia="en-GB"/>
        </w:rPr>
        <w:drawing>
          <wp:inline distT="0" distB="0" distL="0" distR="0" wp14:anchorId="76E5004A" wp14:editId="4A490BC5">
            <wp:extent cx="5952608" cy="31426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30000"/>
                              </a14:imgEffect>
                            </a14:imgLayer>
                          </a14:imgProps>
                        </a:ext>
                        <a:ext uri="{28A0092B-C50C-407E-A947-70E740481C1C}">
                          <a14:useLocalDpi xmlns:a14="http://schemas.microsoft.com/office/drawing/2010/main" val="0"/>
                        </a:ext>
                      </a:extLst>
                    </a:blip>
                    <a:srcRect/>
                    <a:stretch>
                      <a:fillRect/>
                    </a:stretch>
                  </pic:blipFill>
                  <pic:spPr bwMode="auto">
                    <a:xfrm>
                      <a:off x="0" y="0"/>
                      <a:ext cx="5978010" cy="3156025"/>
                    </a:xfrm>
                    <a:prstGeom prst="rect">
                      <a:avLst/>
                    </a:prstGeom>
                    <a:noFill/>
                  </pic:spPr>
                </pic:pic>
              </a:graphicData>
            </a:graphic>
          </wp:inline>
        </w:drawing>
      </w:r>
    </w:p>
    <w:p w14:paraId="744F9232" w14:textId="77777777" w:rsidR="00935C6E" w:rsidRPr="005B1CCB" w:rsidRDefault="00935C6E" w:rsidP="00935C6E">
      <w:pPr>
        <w:pStyle w:val="Caption"/>
        <w:jc w:val="center"/>
        <w:rPr>
          <w:rFonts w:ascii="Palatino Linotype" w:hAnsi="Palatino Linotype"/>
          <w:sz w:val="22"/>
          <w:szCs w:val="22"/>
        </w:rPr>
      </w:pPr>
      <w:bookmarkStart w:id="154" w:name="_Toc84519633"/>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38</w:t>
      </w:r>
      <w:r w:rsidRPr="005B1CCB">
        <w:rPr>
          <w:sz w:val="22"/>
          <w:szCs w:val="22"/>
        </w:rPr>
        <w:fldChar w:fldCharType="end"/>
      </w:r>
      <w:r w:rsidRPr="005B1CCB">
        <w:rPr>
          <w:sz w:val="22"/>
          <w:szCs w:val="22"/>
        </w:rPr>
        <w:t>: Equivalent circuit models of the impedance spectra recorded for SPCE (a) 25 PCR thermal cycles pre-hybridisation (b) 25 PCR thermal cycles post-hybridisation (c) 30 PCR thermal cycles pre-hybridisation (d) 30 PCR thermal cycles post-hybridisation</w:t>
      </w:r>
      <w:bookmarkEnd w:id="154"/>
    </w:p>
    <w:p w14:paraId="2BA87CAE" w14:textId="77777777" w:rsidR="00BC60CF" w:rsidRPr="00563016" w:rsidRDefault="00BC60CF" w:rsidP="00BC60CF">
      <w:pPr>
        <w:spacing w:line="360" w:lineRule="auto"/>
        <w:jc w:val="both"/>
        <w:rPr>
          <w:rFonts w:ascii="Palatino Linotype" w:hAnsi="Palatino Linotype" w:cs="Times New Roman"/>
          <w:sz w:val="10"/>
          <w:szCs w:val="10"/>
        </w:rPr>
      </w:pPr>
      <w:r w:rsidRPr="005B1CCB">
        <w:rPr>
          <w:rFonts w:ascii="Palatino Linotype" w:hAnsi="Palatino Linotype" w:cs="Times New Roman"/>
          <w:sz w:val="24"/>
          <w:szCs w:val="24"/>
        </w:rPr>
        <w:t xml:space="preserve">   </w:t>
      </w:r>
    </w:p>
    <w:p w14:paraId="79C3E411" w14:textId="77777777" w:rsidR="00BC60CF" w:rsidRPr="005B1CCB" w:rsidRDefault="00BC60CF" w:rsidP="00BC60CF">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Due to this high variation in the impedance response it was decided to focus on voltammetry measurements because these showed high consistency across sensor chips with variation in signal profile significantly reduced.   Figure 37 C shows an example response and how both the reductive and oxidative currents reduced in a systematic fashion as PCR cycle number increased.  This finding was encouraging because it demonstrated clear discrimination between the baseline response and the response following incubation with a 20 PCR cycle KRAS G12D amplicon meaning detection was possible in as few as 20 PCR cycles. Although the DNA products amplified at 30 cycles in Figure 37 </w:t>
      </w:r>
      <w:r w:rsidR="00E831F2" w:rsidRPr="00E831F2">
        <w:rPr>
          <w:rFonts w:ascii="Palatino Linotype" w:hAnsi="Palatino Linotype" w:cs="Times New Roman"/>
          <w:sz w:val="24"/>
          <w:szCs w:val="24"/>
          <w:vertAlign w:val="superscript"/>
        </w:rPr>
        <w:t>O</w:t>
      </w:r>
      <w:r w:rsidRPr="005B1CCB">
        <w:rPr>
          <w:rFonts w:ascii="Palatino Linotype" w:hAnsi="Palatino Linotype" w:cs="Times New Roman"/>
          <w:sz w:val="24"/>
          <w:szCs w:val="24"/>
        </w:rPr>
        <w:t>C showed the highest difference in both the peak and oxidative currents, the optimal thermal cycle time for a very sensitive assay proposed for the sensor development is 25 cycles as this takes 110 minutes as opposed to 140 minutes for 30 cycles and 90 minutes for 20 cycles. In total, the DNA isolation from blood, clean up and PCR amplification at 25 cycles takes approximately 150 minutes. The ctDNA target incubation takes approximately 60 minutes while the voltammetric and EIS pre and post hybridisation measurements for each electrode takes less than 10 minutes. This gives a total of 3.5 hours.</w:t>
      </w:r>
    </w:p>
    <w:p w14:paraId="6B115D9A" w14:textId="77777777" w:rsidR="009C63F6" w:rsidRPr="005B1CCB" w:rsidRDefault="009C63F6" w:rsidP="00935C6E">
      <w:pPr>
        <w:rPr>
          <w:rFonts w:ascii="Palatino Linotype" w:hAnsi="Palatino Linotype"/>
          <w:sz w:val="24"/>
          <w:szCs w:val="24"/>
        </w:rPr>
      </w:pPr>
    </w:p>
    <w:p w14:paraId="1440DFD9" w14:textId="77777777" w:rsidR="005F07F0" w:rsidRPr="005B1CCB" w:rsidRDefault="008A0AA6" w:rsidP="00D71969">
      <w:pPr>
        <w:pStyle w:val="Heading3"/>
      </w:pPr>
      <w:bookmarkStart w:id="155" w:name="_Toc84528117"/>
      <w:r w:rsidRPr="005B1CCB">
        <w:t>KRAS G12D</w:t>
      </w:r>
      <w:r w:rsidR="005F07F0" w:rsidRPr="005B1CCB">
        <w:t xml:space="preserve"> concentration response</w:t>
      </w:r>
      <w:bookmarkEnd w:id="155"/>
    </w:p>
    <w:p w14:paraId="17D847E6" w14:textId="4774A228" w:rsidR="005F07F0" w:rsidRPr="005B1CCB" w:rsidRDefault="00392CD9" w:rsidP="005F07F0">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5F07F0" w:rsidRPr="005B1CCB">
        <w:rPr>
          <w:rFonts w:ascii="Palatino Linotype" w:hAnsi="Palatino Linotype" w:cs="Times New Roman"/>
          <w:sz w:val="24"/>
          <w:szCs w:val="24"/>
        </w:rPr>
        <w:t xml:space="preserve">Determining the optimal immobilised probe concentrations to enable enhanced CV and EIS detection was paramount. After looking at PCR reaction length, it was necessary to investigate concentration response effects to confirm potential for quantitation. In Figure </w:t>
      </w:r>
      <w:r w:rsidR="007E08DA" w:rsidRPr="005B1CCB">
        <w:rPr>
          <w:rFonts w:ascii="Palatino Linotype" w:hAnsi="Palatino Linotype" w:cs="Times New Roman"/>
          <w:sz w:val="24"/>
          <w:szCs w:val="24"/>
        </w:rPr>
        <w:t>3</w:t>
      </w:r>
      <w:r w:rsidR="0057158A" w:rsidRPr="005B1CCB">
        <w:rPr>
          <w:rFonts w:ascii="Palatino Linotype" w:hAnsi="Palatino Linotype" w:cs="Times New Roman"/>
          <w:sz w:val="24"/>
          <w:szCs w:val="24"/>
        </w:rPr>
        <w:t>9</w:t>
      </w:r>
      <w:r w:rsidR="007E08DA" w:rsidRPr="005B1CCB">
        <w:rPr>
          <w:rFonts w:ascii="Palatino Linotype" w:hAnsi="Palatino Linotype" w:cs="Times New Roman"/>
          <w:sz w:val="24"/>
          <w:szCs w:val="24"/>
        </w:rPr>
        <w:t xml:space="preserve"> </w:t>
      </w:r>
      <w:r w:rsidR="005F07F0" w:rsidRPr="005B1CCB">
        <w:rPr>
          <w:rFonts w:ascii="Palatino Linotype" w:hAnsi="Palatino Linotype" w:cs="Times New Roman"/>
          <w:sz w:val="24"/>
          <w:szCs w:val="24"/>
        </w:rPr>
        <w:t>(a), the concentration response for a 25 cycle PCR product diluted to different concentrations was explored in order to gain an impression of potential detection limits. The sample with the lowest concentration (1.4875</w:t>
      </w:r>
      <w:r w:rsidR="0069019E" w:rsidRPr="005B1CCB">
        <w:rPr>
          <w:rFonts w:ascii="Palatino Linotype" w:hAnsi="Palatino Linotype" w:cs="Times New Roman"/>
          <w:sz w:val="24"/>
          <w:szCs w:val="24"/>
        </w:rPr>
        <w:t xml:space="preserve"> </w:t>
      </w:r>
      <w:r w:rsidR="005F07F0" w:rsidRPr="005B1CCB">
        <w:rPr>
          <w:rFonts w:ascii="Palatino Linotype" w:hAnsi="Palatino Linotype" w:cs="Times New Roman"/>
          <w:sz w:val="24"/>
          <w:szCs w:val="24"/>
        </w:rPr>
        <w:t xml:space="preserve">ng/µl) showed the lowest reduction in oxidative peak current post hybridisation. This is very important as the concentration of circulating free DNA released by tumour cells is usually in proportion to the stage of cancer </w:t>
      </w:r>
      <w:r w:rsidR="005F07F0"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10.1002/cam4.1586","author":[{"dropping-particle":"","family":"Wang","given":"Xisi","non-dropping-particle":"","parse-names":false,"suffix":""},{"dropping-particle":"","family":"Wang","given":"Lijun","non-dropping-particle":"","parse-names":false,"suffix":""},{"dropping-particle":"","family":"Su","given":"Yan","non-dropping-particle":"","parse-names":false,"suffix":""},{"dropping-particle":"","family":"Yue","given":"Zhixia","non-dropping-particle":"","parse-names":false,"suffix":""},{"dropping-particle":"","family":"Xing","given":"Tianyu","non-dropping-particle":"","parse-names":false,"suffix":""}],"id":"ITEM-1","issue":"May","issued":{"date-parts":[["2018"]]},"page":"3022-3030","title":"Plasma cell- ­ free DNA quantification is highly correlated to tumor burden in children with neuroblastoma","type":"article-journal"},"uris":["http://www.mendeley.com/documents/?uuid=586f6c52-3c13-4897-9f21-4b950939a1cf"]}],"mendeley":{"formattedCitation":"[233]","plainTextFormattedCitation":"[233]","previouslyFormattedCitation":"[233]"},"properties":{"noteIndex":0},"schema":"https://github.com/citation-style-language/schema/raw/master/csl-citation.json"}</w:instrText>
      </w:r>
      <w:r w:rsidR="005F07F0"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[233]</w:t>
      </w:r>
      <w:r w:rsidR="005F07F0" w:rsidRPr="005B1CCB">
        <w:rPr>
          <w:rFonts w:ascii="Palatino Linotype" w:hAnsi="Palatino Linotype" w:cs="Times New Roman"/>
          <w:sz w:val="24"/>
          <w:szCs w:val="24"/>
        </w:rPr>
        <w:fldChar w:fldCharType="end"/>
      </w:r>
      <w:r w:rsidR="005F07F0" w:rsidRPr="005B1CCB">
        <w:rPr>
          <w:rFonts w:ascii="Palatino Linotype" w:hAnsi="Palatino Linotype" w:cs="Times New Roman"/>
          <w:sz w:val="24"/>
          <w:szCs w:val="24"/>
        </w:rPr>
        <w:t xml:space="preserve">. The ctDNA concentration response shown in </w:t>
      </w:r>
      <w:r w:rsidR="007E08DA" w:rsidRPr="005B1CCB">
        <w:rPr>
          <w:rFonts w:ascii="Palatino Linotype" w:hAnsi="Palatino Linotype" w:cs="Times New Roman"/>
          <w:sz w:val="24"/>
          <w:szCs w:val="24"/>
        </w:rPr>
        <w:t>F</w:t>
      </w:r>
      <w:r w:rsidR="005F07F0" w:rsidRPr="005B1CCB">
        <w:rPr>
          <w:rFonts w:ascii="Palatino Linotype" w:hAnsi="Palatino Linotype" w:cs="Times New Roman"/>
          <w:sz w:val="24"/>
          <w:szCs w:val="24"/>
        </w:rPr>
        <w:t xml:space="preserve">igure </w:t>
      </w:r>
      <w:r w:rsidR="007E08DA" w:rsidRPr="005B1CCB">
        <w:rPr>
          <w:rFonts w:ascii="Palatino Linotype" w:hAnsi="Palatino Linotype" w:cs="Times New Roman"/>
          <w:sz w:val="24"/>
          <w:szCs w:val="24"/>
        </w:rPr>
        <w:t>3</w:t>
      </w:r>
      <w:r w:rsidR="000C259C" w:rsidRPr="005B1CCB">
        <w:rPr>
          <w:rFonts w:ascii="Palatino Linotype" w:hAnsi="Palatino Linotype" w:cs="Times New Roman"/>
          <w:sz w:val="24"/>
          <w:szCs w:val="24"/>
        </w:rPr>
        <w:t>9</w:t>
      </w:r>
      <w:r w:rsidR="007E08DA" w:rsidRPr="005B1CCB">
        <w:rPr>
          <w:rFonts w:ascii="Palatino Linotype" w:hAnsi="Palatino Linotype" w:cs="Times New Roman"/>
          <w:sz w:val="24"/>
          <w:szCs w:val="24"/>
        </w:rPr>
        <w:t xml:space="preserve"> </w:t>
      </w:r>
      <w:r w:rsidR="005F07F0" w:rsidRPr="005B1CCB">
        <w:rPr>
          <w:rFonts w:ascii="Palatino Linotype" w:hAnsi="Palatino Linotype" w:cs="Times New Roman"/>
          <w:sz w:val="24"/>
          <w:szCs w:val="24"/>
        </w:rPr>
        <w:t>(b) show a clear dose response effect which predicts that an increase in ctDNA, per unit concentration, will result in a larger electrochemical signal response.</w:t>
      </w:r>
    </w:p>
    <w:p w14:paraId="5F4B01A5" w14:textId="77777777" w:rsidR="004F6FBB" w:rsidRPr="005B1CCB" w:rsidRDefault="005F07F0" w:rsidP="004F6FBB">
      <w:pPr>
        <w:keepNext/>
        <w:spacing w:line="360" w:lineRule="auto"/>
        <w:jc w:val="both"/>
      </w:pPr>
      <w:r w:rsidRPr="005B1CCB">
        <w:rPr>
          <w:rFonts w:ascii="Palatino Linotype" w:hAnsi="Palatino Linotype" w:cs="Times New Roman"/>
          <w:b/>
          <w:noProof/>
          <w:sz w:val="24"/>
          <w:szCs w:val="24"/>
          <w:lang w:eastAsia="en-GB"/>
        </w:rPr>
        <mc:AlternateContent>
          <mc:Choice Requires="wps">
            <w:drawing>
              <wp:anchor distT="0" distB="0" distL="114300" distR="114300" simplePos="0" relativeHeight="251659264" behindDoc="0" locked="0" layoutInCell="1" allowOverlap="1" wp14:anchorId="6F556C31" wp14:editId="3B2475A8">
                <wp:simplePos x="0" y="0"/>
                <wp:positionH relativeFrom="column">
                  <wp:posOffset>1282148</wp:posOffset>
                </wp:positionH>
                <wp:positionV relativeFrom="paragraph">
                  <wp:posOffset>-149087</wp:posOffset>
                </wp:positionV>
                <wp:extent cx="168551" cy="357450"/>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168551" cy="357450"/>
                        </a:xfrm>
                        <a:prstGeom prst="rect">
                          <a:avLst/>
                        </a:prstGeom>
                        <a:noFill/>
                        <a:ln>
                          <a:noFill/>
                        </a:ln>
                      </wps:spPr>
                      <wps:txbx>
                        <w:txbxContent>
                          <w:p w14:paraId="3E4458E0" w14:textId="77777777" w:rsidR="00612A45" w:rsidRPr="00AB461A" w:rsidRDefault="00612A45" w:rsidP="005F07F0">
                            <w:pPr>
                              <w:keepNext/>
                              <w:spacing w:line="480" w:lineRule="auto"/>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61A">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56C31" id="Text Box 5" o:spid="_x0000_s1027" type="#_x0000_t202" style="position:absolute;left:0;text-align:left;margin-left:100.95pt;margin-top:-11.75pt;width:13.25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" filled="f" stroked="f">
                <v:textbox>
                  <w:txbxContent>
                    <w:p w14:paraId="3E4458E0" w14:textId="77777777" w:rsidR="00612A45" w:rsidRPr="00AB461A" w:rsidRDefault="00612A45" w:rsidP="005F07F0">
                      <w:pPr>
                        <w:keepNext/>
                        <w:spacing w:line="480" w:lineRule="auto"/>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61A">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5B1CCB">
        <w:rPr>
          <w:rFonts w:ascii="Palatino Linotype" w:hAnsi="Palatino Linotype" w:cs="Times New Roman"/>
          <w:b/>
          <w:noProof/>
          <w:sz w:val="24"/>
          <w:szCs w:val="24"/>
          <w:lang w:eastAsia="en-GB"/>
        </w:rPr>
        <mc:AlternateContent>
          <mc:Choice Requires="wps">
            <w:drawing>
              <wp:anchor distT="0" distB="0" distL="114300" distR="114300" simplePos="0" relativeHeight="251660288" behindDoc="0" locked="0" layoutInCell="1" allowOverlap="1" wp14:anchorId="00C29091" wp14:editId="4330B8AF">
                <wp:simplePos x="0" y="0"/>
                <wp:positionH relativeFrom="column">
                  <wp:posOffset>4572000</wp:posOffset>
                </wp:positionH>
                <wp:positionV relativeFrom="paragraph">
                  <wp:posOffset>-89452</wp:posOffset>
                </wp:positionV>
                <wp:extent cx="168551" cy="298174"/>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168551" cy="298174"/>
                        </a:xfrm>
                        <a:prstGeom prst="rect">
                          <a:avLst/>
                        </a:prstGeom>
                        <a:noFill/>
                        <a:ln>
                          <a:noFill/>
                        </a:ln>
                      </wps:spPr>
                      <wps:txbx>
                        <w:txbxContent>
                          <w:p w14:paraId="5E8C3120" w14:textId="77777777" w:rsidR="00612A45" w:rsidRPr="00AB461A" w:rsidRDefault="00612A45" w:rsidP="005F07F0">
                            <w:pPr>
                              <w:keepNext/>
                              <w:spacing w:line="480" w:lineRule="auto"/>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29091" id="Text Box 6" o:spid="_x0000_s1028" type="#_x0000_t202" style="position:absolute;left:0;text-align:left;margin-left:5in;margin-top:-7.05pt;width:13.2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" filled="f" stroked="f">
                <v:textbox>
                  <w:txbxContent>
                    <w:p w14:paraId="5E8C3120" w14:textId="77777777" w:rsidR="00612A45" w:rsidRPr="00AB461A" w:rsidRDefault="00612A45" w:rsidP="005F07F0">
                      <w:pPr>
                        <w:keepNext/>
                        <w:spacing w:line="480" w:lineRule="auto"/>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Pr="005B1CCB">
        <w:rPr>
          <w:rFonts w:ascii="Palatino Linotype" w:hAnsi="Palatino Linotype" w:cs="Times New Roman"/>
          <w:b/>
          <w:noProof/>
          <w:sz w:val="24"/>
          <w:szCs w:val="24"/>
          <w:lang w:eastAsia="en-GB"/>
        </w:rPr>
        <w:drawing>
          <wp:inline distT="0" distB="0" distL="0" distR="0" wp14:anchorId="3F29D948" wp14:editId="43817DF1">
            <wp:extent cx="5943600" cy="24841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50802" cy="2487130"/>
                    </a:xfrm>
                    <a:prstGeom prst="rect">
                      <a:avLst/>
                    </a:prstGeom>
                  </pic:spPr>
                </pic:pic>
              </a:graphicData>
            </a:graphic>
          </wp:inline>
        </w:drawing>
      </w:r>
    </w:p>
    <w:p w14:paraId="5B8AEE88" w14:textId="510AED55" w:rsidR="005F07F0" w:rsidRPr="005B1CCB" w:rsidRDefault="004F6FBB" w:rsidP="004F6FBB">
      <w:pPr>
        <w:pStyle w:val="Caption"/>
        <w:jc w:val="center"/>
        <w:rPr>
          <w:rFonts w:ascii="Palatino Linotype" w:hAnsi="Palatino Linotype" w:cs="Times New Roman"/>
          <w:b/>
          <w:sz w:val="22"/>
          <w:szCs w:val="22"/>
        </w:rPr>
      </w:pPr>
      <w:bookmarkStart w:id="156" w:name="_Toc84519634"/>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39</w:t>
      </w:r>
      <w:r w:rsidRPr="005B1CCB">
        <w:rPr>
          <w:sz w:val="22"/>
          <w:szCs w:val="22"/>
        </w:rPr>
        <w:fldChar w:fldCharType="end"/>
      </w:r>
      <w:r w:rsidRPr="005B1CCB">
        <w:rPr>
          <w:sz w:val="22"/>
          <w:szCs w:val="22"/>
        </w:rPr>
        <w:t xml:space="preserve">: (a) ctDNA response at different concentrations using 25 thermal cycle PCR products (b) Concentration response relationship using </w:t>
      </w:r>
      <w:r w:rsidR="00852D31" w:rsidRPr="00492F11">
        <w:rPr>
          <w:sz w:val="22"/>
          <w:szCs w:val="22"/>
        </w:rPr>
        <w:t>CV</w:t>
      </w:r>
      <w:r w:rsidR="00852D31">
        <w:rPr>
          <w:sz w:val="22"/>
          <w:szCs w:val="22"/>
        </w:rPr>
        <w:t xml:space="preserve"> </w:t>
      </w:r>
      <w:r w:rsidRPr="005B1CCB">
        <w:rPr>
          <w:sz w:val="22"/>
          <w:szCs w:val="22"/>
        </w:rPr>
        <w:t>reductive peak current values</w:t>
      </w:r>
      <w:r w:rsidR="001B1324">
        <w:rPr>
          <w:sz w:val="22"/>
          <w:szCs w:val="22"/>
        </w:rPr>
        <w:t xml:space="preserve"> (n=1)</w:t>
      </w:r>
      <w:r w:rsidRPr="005B1CCB">
        <w:rPr>
          <w:sz w:val="22"/>
          <w:szCs w:val="22"/>
        </w:rPr>
        <w:t>.</w:t>
      </w:r>
      <w:bookmarkEnd w:id="156"/>
    </w:p>
    <w:p w14:paraId="7BEDBE34" w14:textId="77777777" w:rsidR="005F07F0" w:rsidRPr="00563016" w:rsidRDefault="005F07F0" w:rsidP="005F07F0">
      <w:pPr>
        <w:spacing w:line="360" w:lineRule="auto"/>
        <w:jc w:val="both"/>
        <w:rPr>
          <w:rFonts w:ascii="Palatino Linotype" w:hAnsi="Palatino Linotype" w:cs="Times New Roman"/>
          <w:b/>
          <w:sz w:val="10"/>
          <w:szCs w:val="10"/>
        </w:rPr>
      </w:pPr>
    </w:p>
    <w:p w14:paraId="39CCFCC8" w14:textId="0BAF2DC5" w:rsidR="000C259C" w:rsidRDefault="005F07F0" w:rsidP="00115E9E">
      <w:pPr>
        <w:spacing w:line="360" w:lineRule="auto"/>
        <w:jc w:val="both"/>
        <w:rPr>
          <w:rFonts w:ascii="Palatino Linotype" w:hAnsi="Palatino Linotype" w:cs="Times New Roman"/>
          <w:sz w:val="24"/>
          <w:szCs w:val="24"/>
        </w:rPr>
      </w:pPr>
      <w:r w:rsidRPr="005B1CCB">
        <w:rPr>
          <w:rFonts w:ascii="Palatino Linotype" w:hAnsi="Palatino Linotype" w:cs="Times New Roman"/>
          <w:b/>
          <w:sz w:val="24"/>
          <w:szCs w:val="24"/>
        </w:rPr>
        <w:t xml:space="preserve">   </w:t>
      </w:r>
      <w:r w:rsidRPr="005B1CCB">
        <w:rPr>
          <w:rFonts w:ascii="Palatino Linotype" w:hAnsi="Palatino Linotype" w:cs="Times New Roman"/>
          <w:sz w:val="24"/>
          <w:szCs w:val="24"/>
        </w:rPr>
        <w:t xml:space="preserve">ctDNA analysis is a potentially </w:t>
      </w:r>
      <w:r w:rsidR="00D47F02">
        <w:rPr>
          <w:rFonts w:ascii="Palatino Linotype" w:hAnsi="Palatino Linotype" w:cs="Times New Roman"/>
          <w:sz w:val="24"/>
          <w:szCs w:val="24"/>
        </w:rPr>
        <w:t xml:space="preserve">less                                                                                                                                                                                                                                                                                                                                                                                                                                                                                                                                                                                                                                                                                                                                                                                                                                                                                                                                                                                                                                                                                                                     </w:t>
      </w:r>
      <w:r w:rsidRPr="005B1CCB">
        <w:rPr>
          <w:rFonts w:ascii="Palatino Linotype" w:hAnsi="Palatino Linotype" w:cs="Times New Roman"/>
          <w:sz w:val="24"/>
          <w:szCs w:val="24"/>
        </w:rPr>
        <w:t xml:space="preserve">-invasive alternative to tissue biopsy analysis for tumour genotyping across all solid tumour types as it offers a quicker analysis time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{"citationItems":[{"id":"ITEM-1","itemData":{"DOI":"10.1016/j.tranon.2018.07.013","ISSN":"19365233","PMID":"30086420","abstract":"Measuring total cell-free DNA (cfDNA) or cancer-specific mutations herein has presented as new tools in aiding the treatment of cancer patients. Studies show that total cfDNA bears prognostic value in metastatic colorectal cancer (mCRC) and that measuring cancer-specific mutations could supplement biopsies. However, limited information is available on the performance of different methods. Blood samples from 28 patients with mCRC and known KRAS mutation status were included. cfDNA was extracted and quantified with droplet digital polymerase chain reaction (ddPCR) measuring Beta-2 Microglobulin. KRAS mutation detection was performed using ddPCR (Bio-Rad) and next-generation sequencing (NGS, Ion Torrent PGM). Comparing KRAS mutation status in plasma and tissue revealed concordance rates of 79% and 89% for NGS and ddPCR. Strong correlation between the methods was observed. Most KRAS mutations were also detectable in 10-fold diluted samples using the ddPCR. We find that for detection of KRAS mutations in ctDNA ddPCR was superior to NGS both in analysis success rate and concordance to tissue. We further present results indicating that lower amount of plasma may be used for detection of KRAS mutations in mCRC.","author":[{"dropping-particle":"","family":"Demuth","given":"Christina","non-dropping-particle":"","parse-names":false,"suffix":""},{"dropping-particle":"","family":"Spindler","given":"Karen Lise Garm","non-dropping-particle":"","parse-names":false,"suffix":""},{"dropping-particle":"","family":"Johansen","given":"Julia S.","non-dropping-particle":"","parse-names":false,"suffix":""},{"dropping-particle":"","family":"Pallisgaard","given":"Niels","non-dropping-particle":"","parse-names":false,"suffix":""},{"dropping-particle":"","family":"Nielsen","given":"Dorte","non-dropping-particle":"","parse-names":false,"suffix":""},{"dropping-particle":"","family":"Hogdall","given":"Estrid","non-dropping-particle":"","parse-names":false,"suffix":""},{"dropping-particle":"","family":"Vittrup","given":"Benny","non-dropping-particle":"","parse-names":false,"suffix":""},{"dropping-particle":"","family":"Sorensen","given":"Boe Sandahl","non-dropping-particle":"","parse-names":false,"suffix":""}],"container-title":"Translational Oncology","id":"ITEM-1","issue":"5","issued":{"date-parts":[["2018"]]},"page":"1220-1224","publisher":"The Authors","title":"Measuring KRAS Mutations in Circulating Tumor DNA by Droplet Digital PCR and Next-Generation Sequencing","type":"article-journal","volume":"11"},"uris":["http://www.mendeley.com/documents/?uuid=44b3004d-f15d-464f-8a1a-200ee57d1fa3"]},{"id":"ITEM-2","itemData":{"DOI":"10.1158/1535-7163.MCT-18-0174","author":[{"dropping-particle":"","family":"Namløs","given":"Heidi M","non-dropping-particle":"","parse-names":false,"suffix":""},{"dropping-particle":"","family":"Boye","given":"Kjetil","non-dropping-particle":"","parse-names":false,"suffix":""},{"dropping-particle":"","family":"Mishkin","given":"Skyler J","non-dropping-particle":"","parse-names":false,"suffix":""},{"dropping-particle":"","family":"Barøy","given":"Tale","non-dropping-particle":"","parse-names":false,"suffix":""},{"dropping-particle":"","family":"Lorenz","given":"Susanne","non-dropping-particle":"","parse-names":false,"suffix":""},{"dropping-particle":"","family":"Bjerkehagen","given":"Bodil","non-dropping-particle":"","parse-names":false,"suffix":""},{"dropping-particle":"","family":"Stratford","given":"Eva W","non-dropping-particle":"","parse-names":false,"suffix":""},{"dropping-particle":"","family":"Munthe","given":"Else","non-dropping-particle":"","parse-names":false,"suffix":""},{"dropping-particle":"","family":"Kudlow","given":"Brian A","non-dropping-particle":"","parse-names":false,"suffix":""},{"dropping-particle":"","family":"Myklebost","given":"Ola","non-dropping-particle":"","parse-names":false,"suffix":""},{"dropping-particle":"","family":"Meza-zepeda","given":"Leonardo A","non-dropping-particle":"","parse-names":false,"suffix":""}],"id":"ITEM-2","issued":{"date-parts":[["2018"]]},"page":"2473-2481","title":"Noninvasive Detection of ctDNA Reveals Intratumor Heterogeneity and Is Associated with Tumor Burden in Gastrointestinal Stromal Tumor","type":"article-journal"},"uris":["http://www.mendeley.com/documents/?uuid=a75ed6a6-0710-494c-8eba-1005feadf0ec"]}],"mendeley":{"formattedCitation":"[234], [235]","plainTextFormattedCitation":"[234], [235]","previouslyFormattedCitation":"[234], [235]"},"properties":{"noteIndex":0},"schema":"https://github.com/citation-style-language/schema/raw/master/csl-citation.json"}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[234], [235]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Once the ctDNA biomarker is released, it appears in the blood throughout the early stages of a tumour thus presenting a very practical method for early diagnosis for capturing heterogeneity between tumours of the same type and in different patients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{"citationItems":[{"id":"ITEM-1","itemData":{"DOI":"10.1158/1535-7163.MCT-18-0174","author":[{"dropping-particle":"","family":"Namløs","given":"Heidi M","non-dropping-particle":"","parse-names":false,"suffix":""},{"dropping-particle":"","family":"Boye","given":"Kjetil","non-dropping-particle":"","parse-names":false,"suffix":""},{"dropping-particle":"","family":"Mishkin","given":"Skyler J","non-dropping-particle":"","parse-names":false,"suffix":""},{"dropping-particle":"","family":"Barøy","given":"Tale","non-dropping-particle":"","parse-names":false,"suffix":""},{"dropping-particle":"","family":"Lorenz","given":"Susanne","non-dropping-particle":"","parse-names":false,"suffix":""},{"dropping-particle":"","family":"Bjerkehagen","given":"Bodil","non-dropping-particle":"","parse-names":false,"suffix":""},{"dropping-particle":"","family":"Stratford","given":"Eva W","non-dropping-particle":"","parse-names":false,"suffix":""},{"dropping-particle":"","family":"Munthe","given":"Else","non-dropping-particle":"","parse-names":false,"suffix":""},{"dropping-particle":"","family":"Kudlow","given":"Brian A","non-dropping-particle":"","parse-names":false,"suffix":""},{"dropping-particle":"","family":"Myklebost","given":"Ola","non-dropping-particle":"","parse-names":false,"suffix":""},{"dropping-particle":"","family":"Meza-zepeda","given":"Leonardo A","non-dropping-particle":"","parse-names":false,"suffix":""}],"id":"ITEM-1","issued":{"date-parts":[["2018"]]},"page":"2473-2481","title":"Noninvasive Detection of ctDNA Reveals Intratumor Heterogeneity and Is Associated with Tumor Burden in Gastrointestinal Stromal Tumor","type":"article-journal"},"uris":["http://www.mendeley.com/documents/?uuid=a75ed6a6-0710-494c-8eba-1005feadf0ec"]}],"mendeley":{"formattedCitation":"[235]","plainTextFormattedCitation":"[235]","previouslyFormattedCitation":"[235]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The </w:t>
      </w:r>
      <w:r w:rsidR="0071616F" w:rsidRPr="005B1CCB">
        <w:rPr>
          <w:rFonts w:ascii="Palatino Linotype" w:hAnsi="Palatino Linotype" w:cs="Times New Roman"/>
          <w:sz w:val="24"/>
          <w:szCs w:val="24"/>
        </w:rPr>
        <w:t>ability to successfully detect ctDNA KRAS mutations from patient samples in</w:t>
      </w:r>
      <w:r w:rsidRPr="005B1CCB">
        <w:rPr>
          <w:rFonts w:ascii="Palatino Linotype" w:hAnsi="Palatino Linotype" w:cs="Times New Roman"/>
          <w:sz w:val="24"/>
          <w:szCs w:val="24"/>
        </w:rPr>
        <w:t xml:space="preserve"> this study are in agreement with several previous studies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{"citationItems":[{"id":"ITEM-1","itemData":{"DOI":"10.1016/j.tranon.2018.07.013","ISSN":"19365233","PMID":"30086420","abstract":"Measuring total cell-free DNA (cfDNA) or cancer-specific mutations herein has presented as new tools in aiding the treatment of cancer patients. Studies show that total cfDNA bears prognostic value in metastatic colorectal cancer (mCRC) and that measuring cancer-specific mutations could supplement biopsies. However, limited information is available on the performance of different methods. Blood samples from 28 patients with mCRC and known KRAS mutation status were included. cfDNA was extracted and quantified with droplet digital polymerase chain reaction (ddPCR) measuring Beta-2 Microglobulin. KRAS mutation detection was performed using ddPCR (Bio-Rad) and next-generation sequencing (NGS, Ion Torrent PGM). Comparing KRAS mutation status in plasma and tissue revealed concordance rates of 79% and 89% for NGS and ddPCR. Strong correlation between the methods was observed. Most KRAS mutations were also detectable in 10-fold diluted samples using the ddPCR. We find that for detection of KRAS mutations in ctDNA ddPCR was superior to NGS both in analysis success rate and concordance to tissue. We further present results indicating that lower amount of plasma may be used for detection of KRAS mutations in mCRC.","author":[{"dropping-particle":"","family":"Demuth","given":"Christina","non-dropping-particle":"","parse-names":false,"suffix":""},{"dropping-particle":"","family":"Spindler","given":"Karen Lise Garm","non-dropping-particle":"","parse-names":false,"suffix":""},{"dropping-particle":"","family":"Johansen","given":"Julia S.","non-dropping-particle":"","parse-names":false,"suffix":""},{"dropping-particle":"","family":"Pallisgaard","given":"Niels","non-dropping-particle":"","parse-names":false,"suffix":""},{"dropping-particle":"","family":"Nielsen","given":"Dorte","non-dropping-particle":"","parse-names":false,"suffix":""},{"dropping-particle":"","family":"Hogdall","given":"Estrid","non-dropping-particle":"","parse-names":false,"suffix":""},{"dropping-particle":"","family":"Vittrup","given":"Benny","non-dropping-particle":"","parse-names":false,"suffix":""},{"dropping-particle":"","family":"Sorensen","given":"Boe Sandahl","non-dropping-particle":"","parse-names":false,"suffix":""}],"container-title":"Translational Oncology","id":"ITEM-1","issue":"5","issued":{"date-parts":[["2018"]]},"page":"1220-1224","publisher":"The Authors","title":"Measuring KRAS Mutations in Circulating Tumor DNA by Droplet Digital PCR and Next-Generation Sequencing","type":"article-journal","volume":"11"},"uris":["http://www.mendeley.com/documents/?uuid=44b3004d-f15d-464f-8a1a-200ee57d1fa3"]}],"mendeley":{"formattedCitation":"[234]","plainTextFormattedCitation":"[234]","previouslyFormattedCitation":"[234]"},"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[234]</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clcc.2017.10.017","ISSN":"1533-0028","author":[{"dropping-particle":"","family":"Germano","given":"Giovanni","non-dropping-particle":"","parse-names":false,"suffix":""},{"dropping-particle":"","family":"Mauri","given":"Gianluca","non-dropping-particle":"","parse-names":false,"suffix":""},{"dropping-particle":"","family":"Siravegna","given":"Giulia","non-dropping-particle":"","parse-names":false,"suffix":""},{"dropping-particle":"","family":"Dive","given":"Caroline","non-dropping-particle":"","parse-names":false,"suffix":""},{"dropping-particle":"","family":"Pierce","given":"Jackie","non-dropping-particle":"","parse-names":false,"suffix":""},{"dropping-particle":"Di","family":"Nicolantonio","given":"Federica","non-dropping-particle":"","parse-names":false,"suffix":""},{"dropping-particle":"","family":"Incalci","given":"Maurizio D","non-dropping-particle":"","parse-names":false,"suffix":""},{"dropping-particle":"","family":"Bardelli","given":"Alberto","non-dropping-particle":"","parse-names":false,"suffix":""},{"dropping-particle":"","family":"Siena","given":"Salvatore","non-dropping-particle":"","parse-names":false,"suffix":""},{"dropping-particle":"","family":"Sartore-bianchi","given":"Andrea","non-dropping-particle":"","parse-names":false,"suffix":""}],"container-title":"Clinical Colorectal Cancer","id":"ITEM-1","issue":"1","issued":{"date-parts":[["2018"]]},"page":"80-83","publisher":"Elsevier Inc.","title":"Parallel Evaluation of Circulating Tumor DNA and Circulating Tumor Cells in Metastatic Colorectal Cancer","type":"article-journal","volume":"17"},"uris":["http://www.mendeley.com/documents/?uuid=785aa604-8b8a-4f31-87be-d0f577c5fb6c"]},{"id":"ITEM-2","itemData":{"DOI":"10.1038/s41598-018-19212-5","ISSN":"2045-2322","author":[{"dropping-particle":"","family":"Sclafani","given":"Francesco","non-dropping-particle":"","parse-names":false,"suffix":""},{"dropping-particle":"","family":"Chau","given":"Ian","non-dropping-particle":"","parse-names":false,"suffix":""},{"dropping-particle":"","family":"Cunningham","given":"David","non-dropping-particle":"","parse-names":false,"suffix":""},{"dropping-particle":"","family":"Hahne","given":"Jens C","non-dropping-particle":"","parse-names":false,"suffix":""},{"dropping-particle":"","family":"Eltahir","given":"Zakaria","non-dropping-particle":"","parse-names":false,"suffix":""},{"dropping-particle":"","family":"Lampis","given":"Andrea","non-dropping-particle":"","parse-names":false,"suffix":""},{"dropping-particle":"","family":"Braconi","given":"Chiara","non-dropping-particle":"","parse-names":false,"suffix":""},{"dropping-particle":"","family":"Kalaitzaki","given":"Eleftheria","non-dropping-particle":"","parse-names":false,"suffix":""},{"dropping-particle":"De","family":"Castro","given":"David Gonzalez","non-dropping-particle":"","parse-names":false,"suffix":""},{"dropping-particle":"","family":"Wotherspoon","given":"Andrew","non-dropping-particle":"","parse-names":false,"suffix":""},{"dropping-particle":"","family":"Capdevila","given":"Jaume","non-dropping-particle":"","parse-names":false,"suffix":""},{"dropping-particle":"","family":"Glimelius","given":"Bengt","non-dropping-particle":"","parse-names":false,"suffix":""},{"dropping-particle":"","family":"Tarazona","given":"Noelia","non-dropping-particle":"","parse-names":false,"suffix":""},{"dropping-particle":"","family":"Begum","given":"Ruwaida","non-dropping-particle":"","parse-names":false,"suffix":""},{"dropping-particle":"","family":"Lote","given":"Hazel","non-dropping-particle":"","parse-names":false,"suffix":""},{"dropping-particle":"","family":"Wilson","given":"Sanna Hulkki","non-dropping-particle":"","parse-names":false,"suffix":""},{"dropping-particle":"","family":"Mentrasti","given":"Giulia","non-dropping-particle":"","parse-names":false,"suffix":""},{"dropping-particle":"","family":"Brown","given":"Gina","non-dropping-particle":"","parse-names":false,"suffix":""},{"dropping-particle":"","family":"Tait","given":"Diana","non-dropping-particle":"","parse-names":false,"suffix":""},{"dropping-particle":"","family":"Oates","given":"Jacqueline","non-dropping-particle":"","parse-names":false,"suffix":""},{"dropping-particle":"","family":"Valeri","given":"Nicola","non-dropping-particle":"","parse-names":false,"suffix":""}],"container-title":"Scientific Reports","id":"ITEM-2","issue":"1445","issued":{"date-parts":[["2018"]]},"page":"1-9","publisher":"Springer US","title":"OPEN KRAS and BRAF mutations in circulating tumour DNA from locally advanced rectal cancer","type":"article-journal","volume":"8"},"uris":["http://www.mendeley.com/documents/?uuid=4d0c4f51-8e8a-4acb-b870-f20a25510721"]}],"mendeley":{"formattedCitation":"[236], [237]","plainTextFormattedCitation":"[236], [237]","previouslyFormattedCitation":"[236], [237]"},"properties":{"noteIndex":0},"schema":"https://github.com/citation-style-language/schema/raw/master/csl-citation.json"}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[236], [237]</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8lc01399c","author":[{"dropping-particle":"","family":"Ou","given":"Chen-yin","non-dropping-particle":"","parse-names":false,"suffix":""},{"dropping-particle":"","family":"Vu","given":"Tam","non-dropping-particle":"","parse-names":false,"suffix":""},{"dropping-particle":"","family":"Grunwald","given":"Jonathan T","non-dropping-particle":"","parse-names":false,"suffix":""},{"dropping-particle":"","family":"Toledano","given":"Michael","non-dropping-particle":"","parse-names":false,"suffix":""},{"dropping-particle":"","family":"Zimak","given":"Jan","non-dropping-particle":"","parse-names":false,"suffix":""},{"dropping-particle":"","family":"Toosky","given":"Melody","non-dropping-particle":"","parse-names":false,"suffix":""},{"dropping-particle":"","family":"Shen","given":"Byron","non-dropping-particle":"","parse-names":false,"suffix":""},{"dropping-particle":"","family":"Zell","given":"Jason A","non-dropping-particle":"","parse-names":false,"suffix":""},{"dropping-particle":"","family":"Gratton","given":"Enrico","non-dropping-particle":"","parse-names":false,"suffix":""},{"dropping-particle":"","family":"Abram","given":"Timothy J","non-dropping-particle":"","parse-names":false,"suffix":""},{"dropping-particle":"","family":"Zhao","given":"Weian","non-dropping-particle":"","parse-names":false,"suffix":""}],"id":"ITEM-1","issued":{"date-parts":[["2019"]]},"page":"993-1005","publisher":"Royal Society of Chemistry","title":"Lab on a Chip An ultrasensitive test for profiling circulating tumor DNA using integrated comprehensive droplet digital detection †","type":"article-journal"},"uris":["http://www.mendeley.com/documents/?uuid=8e8a9f23-e526-4286-a510-c5a123d02a76"]}],"mendeley":{"formattedCitation":"[238]","plainTextFormattedCitation":"[238]","previouslyFormattedCitation":"[238]"},"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[238]</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Electrochemical detection will quickly and accurately screen for cancer so treatment can be initiated as quickly as possible. In addition, this study shows the electrochemical sensor can be directly coupled to a standard PCR reaction which employs standard primers and reagents and does not require optimisation, meaning that amplification reactions for other ctDNA markers can be developed off chip and transferred directly into the assay to give a ctDNA panel.</w:t>
      </w:r>
    </w:p>
    <w:p w14:paraId="5A7BA286" w14:textId="77777777" w:rsidR="00C34AC3" w:rsidRPr="005B1CCB" w:rsidRDefault="00C34AC3" w:rsidP="00115E9E">
      <w:pPr>
        <w:spacing w:line="360" w:lineRule="auto"/>
        <w:jc w:val="both"/>
        <w:rPr>
          <w:rFonts w:ascii="Palatino Linotype" w:hAnsi="Palatino Linotype" w:cs="Times New Roman"/>
          <w:b/>
          <w:sz w:val="24"/>
          <w:szCs w:val="24"/>
        </w:rPr>
      </w:pPr>
    </w:p>
    <w:p w14:paraId="080A50DD" w14:textId="77777777" w:rsidR="00115E9E" w:rsidRPr="005B1CCB" w:rsidRDefault="00115E9E" w:rsidP="00D71969">
      <w:pPr>
        <w:pStyle w:val="Heading3"/>
      </w:pPr>
      <w:bookmarkStart w:id="157" w:name="_Toc84528118"/>
      <w:r w:rsidRPr="005B1CCB">
        <w:t>DNA Target Controls</w:t>
      </w:r>
      <w:bookmarkEnd w:id="157"/>
    </w:p>
    <w:p w14:paraId="0ECCD759" w14:textId="487A6B5C" w:rsidR="0019277C" w:rsidRPr="005B1CCB" w:rsidRDefault="00392CD9" w:rsidP="004B5E87">
      <w:pPr>
        <w:keepNext/>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115E9E" w:rsidRPr="005B1CCB">
        <w:rPr>
          <w:rFonts w:ascii="Palatino Linotype" w:hAnsi="Palatino Linotype" w:cs="Times New Roman"/>
          <w:sz w:val="24"/>
          <w:szCs w:val="24"/>
        </w:rPr>
        <w:t xml:space="preserve">After analysing the specificity of the developed DNA sensor, it was necessary to investigate the response effects using assay negative controls. In Figure </w:t>
      </w:r>
      <w:r w:rsidR="000C259C" w:rsidRPr="005B1CCB">
        <w:rPr>
          <w:rFonts w:ascii="Palatino Linotype" w:hAnsi="Palatino Linotype" w:cs="Times New Roman"/>
          <w:sz w:val="24"/>
          <w:szCs w:val="24"/>
        </w:rPr>
        <w:t>40</w:t>
      </w:r>
      <w:r w:rsidR="002B3F8E" w:rsidRPr="005B1CCB">
        <w:rPr>
          <w:rFonts w:ascii="Palatino Linotype" w:hAnsi="Palatino Linotype" w:cs="Times New Roman"/>
          <w:sz w:val="24"/>
          <w:szCs w:val="24"/>
        </w:rPr>
        <w:t xml:space="preserve"> </w:t>
      </w:r>
      <w:r w:rsidR="00221A9A" w:rsidRPr="00492F11">
        <w:rPr>
          <w:rFonts w:ascii="Palatino Linotype" w:hAnsi="Palatino Linotype" w:cs="Times New Roman"/>
          <w:sz w:val="24"/>
          <w:szCs w:val="24"/>
        </w:rPr>
        <w:t>A</w:t>
      </w:r>
      <w:r w:rsidR="00115E9E" w:rsidRPr="005B1CCB">
        <w:rPr>
          <w:rFonts w:ascii="Palatino Linotype" w:hAnsi="Palatino Linotype" w:cs="Times New Roman"/>
          <w:sz w:val="24"/>
          <w:szCs w:val="24"/>
        </w:rPr>
        <w:t>, samples investigated “as Target hybridisation negative controls” were ultrapure water and human plasma. In these plots, low signal change ar</w:t>
      </w:r>
      <w:r w:rsidR="00BB2983">
        <w:rPr>
          <w:rFonts w:ascii="Palatino Linotype" w:hAnsi="Palatino Linotype" w:cs="Times New Roman"/>
          <w:sz w:val="24"/>
          <w:szCs w:val="24"/>
        </w:rPr>
        <w:t>o</w:t>
      </w:r>
      <w:r w:rsidR="00115E9E" w:rsidRPr="005B1CCB">
        <w:rPr>
          <w:rFonts w:ascii="Palatino Linotype" w:hAnsi="Palatino Linotype" w:cs="Times New Roman"/>
          <w:sz w:val="24"/>
          <w:szCs w:val="24"/>
        </w:rPr>
        <w:t xml:space="preserve">se from small reduction in oxidative peak current post hybridisation. The ultrapure water and plasma showed low signal changes upon hybridisation using a mutant probe. </w:t>
      </w:r>
      <w:r w:rsidR="00BD2F21" w:rsidRPr="00BD2F21">
        <w:rPr>
          <w:rFonts w:ascii="Palatino Linotype" w:hAnsi="Palatino Linotype" w:cs="Times New Roman"/>
          <w:sz w:val="24"/>
          <w:szCs w:val="24"/>
        </w:rPr>
        <w:t xml:space="preserve">The standard deviation reflects the variation obtained from the experimental replicas.  </w:t>
      </w:r>
      <w:r w:rsidR="00115E9E" w:rsidRPr="005B1CCB">
        <w:rPr>
          <w:rFonts w:ascii="Palatino Linotype" w:hAnsi="Palatino Linotype" w:cs="Times New Roman"/>
          <w:sz w:val="24"/>
          <w:szCs w:val="24"/>
        </w:rPr>
        <w:t xml:space="preserve">This result is comparable with the hybridisation selectivity performed in </w:t>
      </w:r>
      <w:r w:rsidR="00A25633" w:rsidRPr="005B1CCB">
        <w:rPr>
          <w:rFonts w:ascii="Palatino Linotype" w:hAnsi="Palatino Linotype" w:cs="Times New Roman"/>
          <w:sz w:val="24"/>
          <w:szCs w:val="24"/>
        </w:rPr>
        <w:t>F</w:t>
      </w:r>
      <w:r w:rsidR="00115E9E" w:rsidRPr="005B1CCB">
        <w:rPr>
          <w:rFonts w:ascii="Palatino Linotype" w:hAnsi="Palatino Linotype" w:cs="Times New Roman"/>
          <w:sz w:val="24"/>
          <w:szCs w:val="24"/>
        </w:rPr>
        <w:t>igure 3</w:t>
      </w:r>
      <w:r w:rsidR="000C259C" w:rsidRPr="005B1CCB">
        <w:rPr>
          <w:rFonts w:ascii="Palatino Linotype" w:hAnsi="Palatino Linotype" w:cs="Times New Roman"/>
          <w:sz w:val="24"/>
          <w:szCs w:val="24"/>
        </w:rPr>
        <w:t>6</w:t>
      </w:r>
      <w:r w:rsidR="00115E9E" w:rsidRPr="005B1CCB">
        <w:rPr>
          <w:rFonts w:ascii="Palatino Linotype" w:hAnsi="Palatino Linotype" w:cs="Times New Roman"/>
          <w:sz w:val="24"/>
          <w:szCs w:val="24"/>
        </w:rPr>
        <w:t xml:space="preserve"> with KRAS </w:t>
      </w:r>
      <w:r w:rsidR="009A406A" w:rsidRPr="005B1CCB">
        <w:rPr>
          <w:rFonts w:ascii="Palatino Linotype" w:hAnsi="Palatino Linotype" w:cs="Times New Roman"/>
          <w:sz w:val="24"/>
          <w:szCs w:val="24"/>
        </w:rPr>
        <w:t xml:space="preserve">mutant </w:t>
      </w:r>
      <w:r w:rsidR="00115E9E" w:rsidRPr="005B1CCB">
        <w:rPr>
          <w:rFonts w:ascii="Palatino Linotype" w:hAnsi="Palatino Linotype" w:cs="Times New Roman"/>
          <w:sz w:val="24"/>
          <w:szCs w:val="24"/>
        </w:rPr>
        <w:t xml:space="preserve">DNA amplicons. </w:t>
      </w:r>
    </w:p>
    <w:p w14:paraId="636E397C" w14:textId="34BE77C4" w:rsidR="00701B05" w:rsidRPr="005B1CCB" w:rsidRDefault="00392CD9" w:rsidP="004B5E87">
      <w:pPr>
        <w:keepNext/>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115E9E" w:rsidRPr="005B1CCB">
        <w:rPr>
          <w:rFonts w:ascii="Palatino Linotype" w:hAnsi="Palatino Linotype" w:cs="Times New Roman"/>
          <w:sz w:val="24"/>
          <w:szCs w:val="24"/>
        </w:rPr>
        <w:t>The wide error bars from the plasma immobilisation are assumed to be due to inter-electrode variability and different fragment lengths of non-specific DNA in plasma (especially wild</w:t>
      </w:r>
      <w:r w:rsidR="00AB3910" w:rsidRPr="005B1CCB">
        <w:rPr>
          <w:rFonts w:ascii="Palatino Linotype" w:hAnsi="Palatino Linotype" w:cs="Times New Roman"/>
          <w:sz w:val="24"/>
          <w:szCs w:val="24"/>
        </w:rPr>
        <w:t>-</w:t>
      </w:r>
      <w:r w:rsidR="00115E9E" w:rsidRPr="005B1CCB">
        <w:rPr>
          <w:rFonts w:ascii="Palatino Linotype" w:hAnsi="Palatino Linotype" w:cs="Times New Roman"/>
          <w:sz w:val="24"/>
          <w:szCs w:val="24"/>
        </w:rPr>
        <w:t>type KRAS) binding to the mutant probe.</w:t>
      </w:r>
      <w:r w:rsidR="006F6690" w:rsidRPr="006F6690">
        <w:rPr>
          <w:rFonts w:ascii="Palatino Linotype" w:hAnsi="Palatino Linotype" w:cs="Times New Roman"/>
          <w:sz w:val="24"/>
          <w:szCs w:val="24"/>
        </w:rPr>
        <w:t xml:space="preserve"> </w:t>
      </w:r>
      <w:r w:rsidR="006F6690" w:rsidRPr="00E65EB0">
        <w:rPr>
          <w:rFonts w:ascii="Palatino Linotype" w:hAnsi="Palatino Linotype" w:cs="Times New Roman"/>
          <w:sz w:val="24"/>
          <w:szCs w:val="24"/>
        </w:rPr>
        <w:t xml:space="preserve">The hybridisation between the G12D mutant probe and plasma highlights the importance of mutant amplification and is very important as the concentration of circulating free DNA released by tumour cells is usually in proportion to the stage of cancer </w:t>
      </w:r>
      <w:r w:rsidR="006F6690" w:rsidRPr="00E65EB0">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10.1002/cam4.1586","author":[{"dropping-particle":"","family":"Wang","given":"Xisi","non-dropping-particle":"","parse-names":false,"suffix":""},{"dropping-particle":"","family":"Wang","given":"Lijun","non-dropping-particle":"","parse-names":false,"suffix":""},{"dropping-particle":"","family":"Su","given":"Yan","non-dropping-particle":"","parse-names":false,"suffix":""},{"dropping-particle":"","family":"Yue","given":"Zhixia","non-dropping-particle":"","parse-names":false,"suffix":""},{"dropping-particle":"","family":"Xing","given":"Tianyu","non-dropping-particle":"","parse-names":false,"suffix":""}],"id":"ITEM-1","issue":"May","issued":{"date-parts":[["2018"]]},"page":"3022-3030","title":"Plasma cell- ­ free DNA quantification is highly correlated to tumor burden in children with neuroblastoma","type":"article-journal"},"uris":["http://www.mendeley.com/documents/?uuid=586f6c52-3c13-4897-9f21-4b950939a1cf"]}],"mendeley":{"formattedCitation":"[233]","plainTextFormattedCitation":"[233]","previouslyFormattedCitation":"[233]"},"properties":{"noteIndex":0},"schema":"https://github.com/citation-style-language/schema/raw/master/csl-citation.json"}</w:instrText>
      </w:r>
      <w:r w:rsidR="006F6690" w:rsidRPr="00E65EB0">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[233]</w:t>
      </w:r>
      <w:r w:rsidR="006F6690" w:rsidRPr="00E65EB0">
        <w:rPr>
          <w:rFonts w:ascii="Palatino Linotype" w:hAnsi="Palatino Linotype" w:cs="Times New Roman"/>
          <w:sz w:val="24"/>
          <w:szCs w:val="24"/>
        </w:rPr>
        <w:fldChar w:fldCharType="end"/>
      </w:r>
      <w:r w:rsidR="006F6690">
        <w:rPr>
          <w:rFonts w:ascii="Palatino Linotype" w:hAnsi="Palatino Linotype" w:cs="Times New Roman"/>
          <w:sz w:val="24"/>
          <w:szCs w:val="24"/>
        </w:rPr>
        <w:t>.</w:t>
      </w:r>
      <w:r w:rsidR="000C259C" w:rsidRPr="005B1CCB">
        <w:rPr>
          <w:rFonts w:ascii="Palatino Linotype" w:hAnsi="Palatino Linotype" w:cs="Times New Roman"/>
          <w:sz w:val="24"/>
          <w:szCs w:val="24"/>
        </w:rPr>
        <w:t>This is key</w:t>
      </w:r>
      <w:r w:rsidR="00115E9E" w:rsidRPr="005B1CCB">
        <w:rPr>
          <w:rFonts w:ascii="Palatino Linotype" w:hAnsi="Palatino Linotype" w:cs="Times New Roman"/>
          <w:sz w:val="24"/>
          <w:szCs w:val="24"/>
        </w:rPr>
        <w:t xml:space="preserve"> as the </w:t>
      </w:r>
      <w:r w:rsidR="000C259C" w:rsidRPr="005B1CCB">
        <w:rPr>
          <w:rFonts w:ascii="Palatino Linotype" w:hAnsi="Palatino Linotype" w:cs="Times New Roman"/>
          <w:sz w:val="24"/>
          <w:szCs w:val="24"/>
        </w:rPr>
        <w:t xml:space="preserve">level of cancer-associated mutations detected in circulating free DNA generally corresponds with tumour burden </w:t>
      </w:r>
      <w:r w:rsidR="00115E9E"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10.1002/cam4.1586","author":[{"dropping-particle":"","family":"Wang","given":"Xisi","non-dropping-particle":"","parse-names":false,"suffix":""},{"dropping-particle":"","family":"Wang","given":"Lijun","non-dropping-particle":"","parse-names":false,"suffix":""},{"dropping-particle":"","family":"Su","given":"Yan","non-dropping-particle":"","parse-names":false,"suffix":""},{"dropping-particle":"","family":"Yue","given":"Zhixia","non-dropping-particle":"","parse-names":false,"suffix":""},{"dropping-particle":"","family":"Xing","given":"Tianyu","non-dropping-particle":"","parse-names":false,"suffix":""}],"id":"ITEM-1","issue":"May","issued":{"date-parts":[["2018"]]},"page":"3022-3030","title":"Plasma cell- ­ free DNA quantification is highly correlated to tumor burden in children with neuroblastoma","type":"article-journal"},"uris":["http://www.mendeley.com/documents/?uuid=586f6c52-3c13-4897-9f21-4b950939a1cf"]}],"mendeley":{"formattedCitation":"[233]","plainTextFormattedCitation":"[233]","previouslyFormattedCitation":"[233]"},"properties":{"noteIndex":0},"schema":"https://github.com/citation-style-language/schema/raw/master/csl-citation.json"}</w:instrText>
      </w:r>
      <w:r w:rsidR="00115E9E"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[233]</w:t>
      </w:r>
      <w:r w:rsidR="00115E9E" w:rsidRPr="005B1CCB">
        <w:rPr>
          <w:rFonts w:ascii="Palatino Linotype" w:hAnsi="Palatino Linotype" w:cs="Times New Roman"/>
          <w:sz w:val="24"/>
          <w:szCs w:val="24"/>
        </w:rPr>
        <w:fldChar w:fldCharType="end"/>
      </w:r>
      <w:r w:rsidR="00115E9E" w:rsidRPr="005B1CCB">
        <w:rPr>
          <w:rFonts w:ascii="Palatino Linotype" w:hAnsi="Palatino Linotype" w:cs="Times New Roman"/>
          <w:sz w:val="24"/>
          <w:szCs w:val="24"/>
        </w:rPr>
        <w:t xml:space="preserve">. After exploring DNA hybridisation controls, it was necessary to investigate concentration response effects to confirm potential for quantitation. In </w:t>
      </w:r>
      <w:r w:rsidR="00115E9E" w:rsidRPr="00492F11">
        <w:rPr>
          <w:rFonts w:ascii="Palatino Linotype" w:hAnsi="Palatino Linotype" w:cs="Times New Roman"/>
          <w:sz w:val="24"/>
          <w:szCs w:val="24"/>
        </w:rPr>
        <w:t>Figure</w:t>
      </w:r>
      <w:r w:rsidR="00283722" w:rsidRPr="00492F11">
        <w:rPr>
          <w:rFonts w:ascii="Palatino Linotype" w:hAnsi="Palatino Linotype" w:cs="Times New Roman"/>
          <w:sz w:val="24"/>
          <w:szCs w:val="24"/>
        </w:rPr>
        <w:t xml:space="preserve"> 3</w:t>
      </w:r>
      <w:r w:rsidR="009F462B" w:rsidRPr="00492F11">
        <w:rPr>
          <w:rFonts w:ascii="Palatino Linotype" w:hAnsi="Palatino Linotype" w:cs="Times New Roman"/>
          <w:sz w:val="24"/>
          <w:szCs w:val="24"/>
        </w:rPr>
        <w:t>8</w:t>
      </w:r>
      <w:r w:rsidR="00283722" w:rsidRPr="00492F11">
        <w:rPr>
          <w:rFonts w:ascii="Palatino Linotype" w:hAnsi="Palatino Linotype" w:cs="Times New Roman"/>
          <w:sz w:val="24"/>
          <w:szCs w:val="24"/>
        </w:rPr>
        <w:t xml:space="preserve"> b</w:t>
      </w:r>
      <w:r w:rsidR="00115E9E" w:rsidRPr="005B1CCB">
        <w:rPr>
          <w:rFonts w:ascii="Palatino Linotype" w:hAnsi="Palatino Linotype" w:cs="Times New Roman"/>
          <w:sz w:val="24"/>
          <w:szCs w:val="24"/>
        </w:rPr>
        <w:t>, the concentration response for a 25 cycle PCR product diluted to different concentrations was explored in order to gain</w:t>
      </w:r>
      <w:r w:rsidR="00852D31">
        <w:rPr>
          <w:rFonts w:ascii="Palatino Linotype" w:hAnsi="Palatino Linotype" w:cs="Times New Roman"/>
          <w:sz w:val="24"/>
          <w:szCs w:val="24"/>
        </w:rPr>
        <w:t xml:space="preserve"> </w:t>
      </w:r>
      <w:r w:rsidR="00BE14E7">
        <w:rPr>
          <w:rFonts w:ascii="Palatino Linotype" w:hAnsi="Palatino Linotype" w:cs="Times New Roman"/>
          <w:sz w:val="24"/>
          <w:szCs w:val="24"/>
        </w:rPr>
        <w:t>further</w:t>
      </w:r>
      <w:r w:rsidR="00BE14E7" w:rsidRPr="005B1CCB">
        <w:rPr>
          <w:rFonts w:ascii="Palatino Linotype" w:hAnsi="Palatino Linotype" w:cs="Times New Roman"/>
          <w:sz w:val="24"/>
          <w:szCs w:val="24"/>
        </w:rPr>
        <w:t xml:space="preserve"> </w:t>
      </w:r>
      <w:r w:rsidR="00115E9E" w:rsidRPr="005B1CCB">
        <w:rPr>
          <w:rFonts w:ascii="Palatino Linotype" w:hAnsi="Palatino Linotype" w:cs="Times New Roman"/>
          <w:sz w:val="24"/>
          <w:szCs w:val="24"/>
        </w:rPr>
        <w:t xml:space="preserve">impression of potential detection limits. </w:t>
      </w:r>
      <w:r w:rsidR="00115E9E" w:rsidRPr="006F6690">
        <w:rPr>
          <w:rFonts w:ascii="Palatino Linotype" w:hAnsi="Palatino Linotype" w:cs="Times New Roman"/>
          <w:sz w:val="24"/>
          <w:szCs w:val="24"/>
        </w:rPr>
        <w:t>The sample with the lowest concentration (0.027 ng/µl) showed the lowest percentage signal change upon hybridisation</w:t>
      </w:r>
      <w:r w:rsidR="00115E9E" w:rsidRPr="005B1CCB">
        <w:rPr>
          <w:rFonts w:ascii="Palatino Linotype" w:hAnsi="Palatino Linotype" w:cs="Times New Roman"/>
          <w:sz w:val="24"/>
          <w:szCs w:val="24"/>
        </w:rPr>
        <w:t>. Whilst a reduction in signal was observed after incubating both the mutant probes in samples of plasma spiked with DNA from the representative patient samples, it is important to note that signal reductions were not as large i.e.</w:t>
      </w:r>
      <w:r w:rsidR="0054039C">
        <w:rPr>
          <w:rFonts w:ascii="Palatino Linotype" w:hAnsi="Palatino Linotype" w:cs="Times New Roman"/>
          <w:sz w:val="24"/>
          <w:szCs w:val="24"/>
        </w:rPr>
        <w:t>,</w:t>
      </w:r>
      <w:r w:rsidR="00115E9E" w:rsidRPr="005B1CCB">
        <w:rPr>
          <w:rFonts w:ascii="Palatino Linotype" w:hAnsi="Palatino Linotype" w:cs="Times New Roman"/>
          <w:sz w:val="24"/>
          <w:szCs w:val="24"/>
        </w:rPr>
        <w:t xml:space="preserve"> a whole mutant amplification reaction when incubated on the sensor brought about much larger decreases in signal, e.g. &gt;80</w:t>
      </w:r>
      <w:r w:rsidR="0065340D" w:rsidRPr="005B1CCB">
        <w:rPr>
          <w:rFonts w:ascii="Palatino Linotype" w:hAnsi="Palatino Linotype" w:cs="Times New Roman"/>
          <w:sz w:val="24"/>
          <w:szCs w:val="24"/>
        </w:rPr>
        <w:t xml:space="preserve"> </w:t>
      </w:r>
      <w:r w:rsidR="00115E9E" w:rsidRPr="005B1CCB">
        <w:rPr>
          <w:rFonts w:ascii="Palatino Linotype" w:hAnsi="Palatino Linotype" w:cs="Times New Roman"/>
          <w:sz w:val="24"/>
          <w:szCs w:val="24"/>
        </w:rPr>
        <w:t>%. This is important because at present, whilst dose response is achievable, the assay was run as a “threshold” test with interrogation of a whole amplification reaction giving rise to clear, detectable changes (above negatives) when the KRAS G12D mutation was present.</w:t>
      </w:r>
    </w:p>
    <w:p w14:paraId="16A0472E" w14:textId="77777777" w:rsidR="004B5E87" w:rsidRPr="005B1CCB" w:rsidRDefault="00115E9E" w:rsidP="004B5E87">
      <w:pPr>
        <w:keepNext/>
        <w:spacing w:line="360" w:lineRule="auto"/>
        <w:jc w:val="both"/>
      </w:pPr>
      <w:r w:rsidRPr="005B1CCB">
        <w:rPr>
          <w:rFonts w:ascii="Palatino Linotype" w:hAnsi="Palatino Linotype" w:cs="Times New Roman"/>
          <w:noProof/>
          <w:sz w:val="24"/>
          <w:szCs w:val="24"/>
          <w:lang w:eastAsia="en-GB"/>
        </w:rPr>
        <w:drawing>
          <wp:inline distT="0" distB="0" distL="0" distR="0" wp14:anchorId="59C957C6" wp14:editId="1C391CE0">
            <wp:extent cx="5834269" cy="2742473"/>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009" r="1358"/>
                    <a:stretch/>
                  </pic:blipFill>
                  <pic:spPr bwMode="auto">
                    <a:xfrm>
                      <a:off x="0" y="0"/>
                      <a:ext cx="5850623" cy="2750161"/>
                    </a:xfrm>
                    <a:prstGeom prst="rect">
                      <a:avLst/>
                    </a:prstGeom>
                    <a:ln>
                      <a:noFill/>
                    </a:ln>
                    <a:extLst>
                      <a:ext uri="{53640926-AAD7-44D8-BBD7-CCE9431645EC}">
                        <a14:shadowObscured xmlns:a14="http://schemas.microsoft.com/office/drawing/2010/main"/>
                      </a:ext>
                    </a:extLst>
                  </pic:spPr>
                </pic:pic>
              </a:graphicData>
            </a:graphic>
          </wp:inline>
        </w:drawing>
      </w:r>
    </w:p>
    <w:p w14:paraId="1DD7703A" w14:textId="77777777" w:rsidR="00115E9E" w:rsidRPr="005B1CCB" w:rsidRDefault="004B5E87" w:rsidP="004B5E87">
      <w:pPr>
        <w:pStyle w:val="Caption"/>
        <w:jc w:val="center"/>
        <w:rPr>
          <w:rFonts w:cstheme="minorHAnsi"/>
          <w:iCs w:val="0"/>
          <w:sz w:val="22"/>
          <w:szCs w:val="22"/>
        </w:rPr>
      </w:pPr>
      <w:bookmarkStart w:id="158" w:name="_Toc84519635"/>
      <w:r w:rsidRPr="005B1CCB">
        <w:rPr>
          <w:rFonts w:cstheme="minorHAnsi"/>
          <w:sz w:val="22"/>
          <w:szCs w:val="22"/>
        </w:rPr>
        <w:t xml:space="preserve">Figure </w:t>
      </w:r>
      <w:r w:rsidRPr="005B1CCB">
        <w:rPr>
          <w:rFonts w:cstheme="minorHAnsi"/>
          <w:sz w:val="22"/>
          <w:szCs w:val="22"/>
        </w:rPr>
        <w:fldChar w:fldCharType="begin"/>
      </w:r>
      <w:r w:rsidRPr="005B1CCB">
        <w:rPr>
          <w:rFonts w:cstheme="minorHAnsi"/>
          <w:sz w:val="22"/>
          <w:szCs w:val="22"/>
        </w:rPr>
        <w:instrText xml:space="preserve"> SEQ Figure \* ARABIC </w:instrText>
      </w:r>
      <w:r w:rsidRPr="005B1CCB">
        <w:rPr>
          <w:rFonts w:cstheme="minorHAnsi"/>
          <w:sz w:val="22"/>
          <w:szCs w:val="22"/>
        </w:rPr>
        <w:fldChar w:fldCharType="separate"/>
      </w:r>
      <w:r w:rsidR="009007B4">
        <w:rPr>
          <w:rFonts w:cstheme="minorHAnsi"/>
          <w:noProof/>
          <w:sz w:val="22"/>
          <w:szCs w:val="22"/>
        </w:rPr>
        <w:t>40</w:t>
      </w:r>
      <w:r w:rsidRPr="005B1CCB">
        <w:rPr>
          <w:rFonts w:cstheme="minorHAnsi"/>
          <w:sz w:val="22"/>
          <w:szCs w:val="22"/>
        </w:rPr>
        <w:fldChar w:fldCharType="end"/>
      </w:r>
      <w:r w:rsidRPr="005B1CCB">
        <w:rPr>
          <w:rFonts w:cstheme="minorHAnsi"/>
          <w:sz w:val="22"/>
          <w:szCs w:val="22"/>
        </w:rPr>
        <w:t>: (a)</w:t>
      </w:r>
      <w:r w:rsidR="009A6877" w:rsidRPr="005B1CCB">
        <w:rPr>
          <w:rFonts w:cstheme="minorHAnsi"/>
          <w:sz w:val="22"/>
          <w:szCs w:val="22"/>
        </w:rPr>
        <w:t xml:space="preserve"> </w:t>
      </w:r>
      <w:r w:rsidRPr="005B1CCB">
        <w:rPr>
          <w:rFonts w:cstheme="minorHAnsi"/>
          <w:sz w:val="22"/>
          <w:szCs w:val="22"/>
        </w:rPr>
        <w:t xml:space="preserve">CV results showing DNA hybridization target controls using (i) G12D mutant probe in ultrapure water (ii) G12D mutant probe in human plasma (iii) G12D mutant probe in representative sample containing KRAS G12D mutant amplicons in plasma (b) CV result </w:t>
      </w:r>
      <w:r w:rsidRPr="005B1CCB">
        <w:rPr>
          <w:rFonts w:cstheme="minorHAnsi"/>
          <w:iCs w:val="0"/>
          <w:sz w:val="22"/>
          <w:szCs w:val="22"/>
        </w:rPr>
        <w:t>(% signal change) showing G12D amplicons concentration dose response</w:t>
      </w:r>
      <w:bookmarkEnd w:id="158"/>
    </w:p>
    <w:p w14:paraId="6CF9239B" w14:textId="77777777" w:rsidR="007D13B5" w:rsidRPr="005B1CCB" w:rsidRDefault="007D13B5" w:rsidP="007D13B5"/>
    <w:p w14:paraId="2CD7D68A" w14:textId="77777777" w:rsidR="00115E9E" w:rsidRPr="005B1CCB" w:rsidRDefault="004B5E87" w:rsidP="00C168F3">
      <w:pPr>
        <w:spacing w:line="360" w:lineRule="auto"/>
        <w:jc w:val="both"/>
        <w:rPr>
          <w:rFonts w:ascii="Palatino Linotype" w:hAnsi="Palatino Linotype" w:cs="Times New Roman"/>
          <w:sz w:val="24"/>
          <w:szCs w:val="24"/>
        </w:rPr>
      </w:pPr>
      <w:r w:rsidRPr="005B1CCB">
        <w:rPr>
          <w:rFonts w:ascii="Palatino Linotype" w:hAnsi="Palatino Linotype" w:cs="Times New Roman"/>
          <w:b/>
          <w:iCs/>
          <w:sz w:val="24"/>
          <w:szCs w:val="24"/>
        </w:rPr>
        <w:t xml:space="preserve"> </w:t>
      </w:r>
      <w:r w:rsidR="00BF20E8" w:rsidRPr="005B1CCB">
        <w:rPr>
          <w:rFonts w:ascii="Palatino Linotype" w:hAnsi="Palatino Linotype" w:cs="Times New Roman"/>
          <w:b/>
          <w:iCs/>
          <w:sz w:val="24"/>
          <w:szCs w:val="24"/>
        </w:rPr>
        <w:t xml:space="preserve">     </w:t>
      </w:r>
      <w:r w:rsidR="00EE535F" w:rsidRPr="005B1CCB">
        <w:rPr>
          <w:rFonts w:ascii="Palatino Linotype" w:hAnsi="Palatino Linotype" w:cs="Times New Roman"/>
          <w:sz w:val="24"/>
          <w:szCs w:val="24"/>
        </w:rPr>
        <w:t>T</w:t>
      </w:r>
      <w:r w:rsidR="00115E9E" w:rsidRPr="005B1CCB">
        <w:rPr>
          <w:rFonts w:ascii="Palatino Linotype" w:hAnsi="Palatino Linotype" w:cs="Times New Roman"/>
          <w:sz w:val="24"/>
          <w:szCs w:val="24"/>
        </w:rPr>
        <w:t>his approach is well positioned to offer substantial cost and time</w:t>
      </w:r>
      <w:r w:rsidR="0065172C" w:rsidRPr="005B1CCB">
        <w:rPr>
          <w:rFonts w:ascii="Palatino Linotype" w:hAnsi="Palatino Linotype" w:cs="Times New Roman"/>
          <w:sz w:val="24"/>
          <w:szCs w:val="24"/>
        </w:rPr>
        <w:t xml:space="preserve"> savings to healthcare systems. </w:t>
      </w:r>
      <w:r w:rsidR="00E54FED" w:rsidRPr="005B1CCB">
        <w:rPr>
          <w:rFonts w:ascii="Palatino Linotype" w:hAnsi="Palatino Linotype" w:cs="Times New Roman"/>
          <w:sz w:val="24"/>
          <w:szCs w:val="24"/>
        </w:rPr>
        <w:t>T</w:t>
      </w:r>
      <w:r w:rsidR="00C168F3" w:rsidRPr="005B1CCB">
        <w:rPr>
          <w:rFonts w:ascii="Palatino Linotype" w:hAnsi="Palatino Linotype" w:cs="Times New Roman"/>
          <w:sz w:val="24"/>
          <w:szCs w:val="24"/>
        </w:rPr>
        <w:t xml:space="preserve">hrough optimisation and device integration, </w:t>
      </w:r>
      <w:r w:rsidR="00E54FED" w:rsidRPr="005B1CCB">
        <w:rPr>
          <w:rFonts w:ascii="Palatino Linotype" w:hAnsi="Palatino Linotype" w:cs="Times New Roman"/>
          <w:sz w:val="24"/>
          <w:szCs w:val="24"/>
        </w:rPr>
        <w:t>it is possible that</w:t>
      </w:r>
      <w:r w:rsidR="00C168F3" w:rsidRPr="005B1CCB">
        <w:rPr>
          <w:rFonts w:ascii="Palatino Linotype" w:hAnsi="Palatino Linotype" w:cs="Times New Roman"/>
          <w:sz w:val="24"/>
          <w:szCs w:val="24"/>
        </w:rPr>
        <w:t xml:space="preserve"> considerable </w:t>
      </w:r>
      <w:r w:rsidR="00E72367" w:rsidRPr="005B1CCB">
        <w:rPr>
          <w:rFonts w:ascii="Palatino Linotype" w:hAnsi="Palatino Linotype" w:cs="Times New Roman"/>
          <w:sz w:val="24"/>
          <w:szCs w:val="24"/>
        </w:rPr>
        <w:t>potential</w:t>
      </w:r>
      <w:r w:rsidR="00C168F3" w:rsidRPr="005B1CCB">
        <w:rPr>
          <w:rFonts w:ascii="Palatino Linotype" w:hAnsi="Palatino Linotype" w:cs="Times New Roman"/>
          <w:sz w:val="24"/>
          <w:szCs w:val="24"/>
        </w:rPr>
        <w:t xml:space="preserve"> in terms of time to result and</w:t>
      </w:r>
      <w:r w:rsidR="00115E9E" w:rsidRPr="005B1CCB">
        <w:rPr>
          <w:rFonts w:ascii="Palatino Linotype" w:hAnsi="Palatino Linotype" w:cs="Times New Roman"/>
          <w:sz w:val="24"/>
          <w:szCs w:val="24"/>
        </w:rPr>
        <w:t xml:space="preserve"> producing a result more quickly through use of isothermal DNA amplification techniques, integration with sample handling technologies and full optimisation of the electrodes and electrochemical measurements procedure, e.g. use of pulsed voltammetric techniques in order to heighten sensitivity</w:t>
      </w:r>
      <w:r w:rsidR="00E54FED" w:rsidRPr="005B1CCB">
        <w:rPr>
          <w:rFonts w:ascii="Palatino Linotype" w:hAnsi="Palatino Linotype" w:cs="Times New Roman"/>
          <w:sz w:val="24"/>
          <w:szCs w:val="24"/>
        </w:rPr>
        <w:t xml:space="preserve"> is achievable</w:t>
      </w:r>
      <w:r w:rsidR="00115E9E" w:rsidRPr="005B1CCB">
        <w:rPr>
          <w:rFonts w:ascii="Palatino Linotype" w:hAnsi="Palatino Linotype" w:cs="Times New Roman"/>
          <w:sz w:val="24"/>
          <w:szCs w:val="24"/>
        </w:rPr>
        <w:t>.</w:t>
      </w:r>
    </w:p>
    <w:p w14:paraId="6F4E2EE4" w14:textId="5F8BDE75" w:rsidR="00115E9E" w:rsidRPr="005B1CCB" w:rsidRDefault="00D34656" w:rsidP="00115E9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115E9E" w:rsidRPr="005B1CCB">
        <w:rPr>
          <w:rFonts w:ascii="Palatino Linotype" w:hAnsi="Palatino Linotype" w:cs="Times New Roman"/>
          <w:sz w:val="24"/>
          <w:szCs w:val="24"/>
        </w:rPr>
        <w:t>By combining a PCR reaction designed to amplify KRAS mutations from clinical samples</w:t>
      </w:r>
      <w:r w:rsidR="00BE14E7">
        <w:rPr>
          <w:rFonts w:ascii="Palatino Linotype" w:hAnsi="Palatino Linotype" w:cs="Times New Roman"/>
          <w:sz w:val="24"/>
          <w:szCs w:val="24"/>
        </w:rPr>
        <w:t>,</w:t>
      </w:r>
      <w:r w:rsidR="00115E9E" w:rsidRPr="005B1CCB">
        <w:rPr>
          <w:rFonts w:ascii="Palatino Linotype" w:hAnsi="Palatino Linotype" w:cs="Times New Roman"/>
          <w:sz w:val="24"/>
          <w:szCs w:val="24"/>
        </w:rPr>
        <w:t xml:space="preserve"> it has been possible to demonstrate the detection of G12D mutations by electrochemical means.  The electrochemical detection system employed was deliberately designed to be simple and utilise </w:t>
      </w:r>
      <w:r w:rsidR="006F6690">
        <w:rPr>
          <w:rFonts w:ascii="Palatino Linotype" w:hAnsi="Palatino Linotype" w:cs="Times New Roman"/>
          <w:sz w:val="24"/>
          <w:szCs w:val="24"/>
        </w:rPr>
        <w:t xml:space="preserve"> </w:t>
      </w:r>
      <w:r w:rsidR="006F6690" w:rsidRPr="005B1CCB">
        <w:rPr>
          <w:rFonts w:ascii="Palatino Linotype" w:hAnsi="Palatino Linotype" w:cs="Times New Roman"/>
          <w:sz w:val="24"/>
          <w:szCs w:val="24"/>
        </w:rPr>
        <w:t>low-cost</w:t>
      </w:r>
      <w:r w:rsidR="00115E9E" w:rsidRPr="005B1CCB">
        <w:rPr>
          <w:rFonts w:ascii="Palatino Linotype" w:hAnsi="Palatino Linotype" w:cs="Times New Roman"/>
          <w:sz w:val="24"/>
          <w:szCs w:val="24"/>
        </w:rPr>
        <w:t xml:space="preserve"> materials in order to result in a cost-effective test once commercialised.  The generic nature of the techniques involved, i.e. surface attachment chemistry, PCR, ssDNA probes and electrochemical detection mean that the assay can be very easily enlarged by changing primer and probe sequences to match the mutations required.  For example, many common liquid biopsy markers: KRAS, TP53, BRCA1&amp;2 can be detected via this method to give a panel of markers on the electrode array.  This will lead to the ability to screen for common cancerous mutations in fast times and at low cost in the clinical environment.  In addition to this, the approach can be used to monitor treatment response and give early warning of relapse.</w:t>
      </w:r>
    </w:p>
    <w:p w14:paraId="2569DAF7" w14:textId="77777777" w:rsidR="00416BAF" w:rsidRPr="005B1CCB" w:rsidRDefault="00416BAF" w:rsidP="00115E9E">
      <w:pPr>
        <w:spacing w:line="360" w:lineRule="auto"/>
        <w:jc w:val="both"/>
        <w:rPr>
          <w:rFonts w:ascii="Palatino Linotype" w:hAnsi="Palatino Linotype" w:cs="Times New Roman"/>
          <w:sz w:val="24"/>
          <w:szCs w:val="24"/>
        </w:rPr>
      </w:pPr>
    </w:p>
    <w:p w14:paraId="6901EC33" w14:textId="13E21A1B" w:rsidR="00115E9E" w:rsidRPr="005B1CCB" w:rsidRDefault="00115E9E" w:rsidP="00D71969">
      <w:pPr>
        <w:pStyle w:val="Heading3"/>
        <w:rPr>
          <w:lang w:val="en-US"/>
        </w:rPr>
      </w:pPr>
      <w:bookmarkStart w:id="159" w:name="_Toc84528119"/>
      <w:r w:rsidRPr="005B1CCB">
        <w:rPr>
          <w:lang w:val="en-US"/>
        </w:rPr>
        <w:t>Conclusion</w:t>
      </w:r>
      <w:bookmarkEnd w:id="159"/>
    </w:p>
    <w:p w14:paraId="09CF62C2" w14:textId="77777777" w:rsidR="00BB65B1" w:rsidRPr="005B1CCB" w:rsidRDefault="004676AC" w:rsidP="00BB65B1">
      <w:pPr>
        <w:spacing w:line="360" w:lineRule="auto"/>
        <w:jc w:val="both"/>
        <w:rPr>
          <w:rFonts w:ascii="Palatino Linotype" w:hAnsi="Palatino Linotype" w:cs="Times New Roman"/>
          <w:sz w:val="24"/>
          <w:szCs w:val="24"/>
          <w:lang w:bidi="en-US"/>
        </w:rPr>
      </w:pPr>
      <w:r w:rsidRPr="005B1CCB">
        <w:rPr>
          <w:rFonts w:ascii="Palatino Linotype" w:hAnsi="Palatino Linotype" w:cs="Times New Roman"/>
          <w:sz w:val="24"/>
          <w:szCs w:val="24"/>
          <w:lang w:bidi="en-US"/>
        </w:rPr>
        <w:t xml:space="preserve">   </w:t>
      </w:r>
      <w:r w:rsidR="00BB65B1" w:rsidRPr="005B1CCB">
        <w:rPr>
          <w:rFonts w:ascii="Palatino Linotype" w:hAnsi="Palatino Linotype" w:cs="Times New Roman"/>
          <w:sz w:val="24"/>
          <w:szCs w:val="24"/>
          <w:lang w:bidi="en-US"/>
        </w:rPr>
        <w:t>KRAS is used in the development of this sensor as it is the most frequently mutated protein in human tumours with KRAS G12D being a specific variation in the KRAS protein. Some limitations have been presented in establishing patient suitability for targeted treatments.  For instance, treatment with the anti-epidermal growth factor receptor (EGFR) drugs, panitumumab and cetuximab is ineffective in cancers that have mutations in the RAS pathway genes. This means resistance to therapy can occur whether these mutations develop prior to, or with treatment meaning that mutation profiling is necessary</w:t>
      </w:r>
      <w:r w:rsidRPr="005B1CCB">
        <w:rPr>
          <w:rFonts w:ascii="Palatino Linotype" w:hAnsi="Palatino Linotype" w:cs="Times New Roman"/>
          <w:sz w:val="24"/>
          <w:szCs w:val="24"/>
          <w:lang w:bidi="en-US"/>
        </w:rPr>
        <w:t xml:space="preserve"> </w:t>
      </w:r>
      <w:r w:rsidR="00BB65B1" w:rsidRPr="005B1CCB">
        <w:rPr>
          <w:rFonts w:ascii="Palatino Linotype" w:hAnsi="Palatino Linotype" w:cs="Times New Roman"/>
          <w:sz w:val="24"/>
          <w:szCs w:val="24"/>
          <w:lang w:bidi="en-US"/>
        </w:rPr>
        <w:t>[3].</w:t>
      </w:r>
    </w:p>
    <w:p w14:paraId="740C541C" w14:textId="7D911B66" w:rsidR="00BB65B1" w:rsidRPr="005B1CCB" w:rsidRDefault="00BB65B1" w:rsidP="00BB65B1">
      <w:pPr>
        <w:spacing w:line="360" w:lineRule="auto"/>
        <w:jc w:val="both"/>
        <w:rPr>
          <w:rFonts w:ascii="Palatino Linotype" w:hAnsi="Palatino Linotype" w:cs="Times New Roman"/>
          <w:sz w:val="24"/>
          <w:szCs w:val="24"/>
          <w:lang w:bidi="en-US"/>
        </w:rPr>
      </w:pPr>
      <w:r w:rsidRPr="005B1CCB">
        <w:rPr>
          <w:rFonts w:ascii="Palatino Linotype" w:hAnsi="Palatino Linotype" w:cs="Times New Roman"/>
          <w:sz w:val="24"/>
          <w:szCs w:val="24"/>
          <w:lang w:bidi="en-US"/>
        </w:rPr>
        <w:t xml:space="preserve">   </w:t>
      </w:r>
      <w:r w:rsidRPr="006F6690">
        <w:rPr>
          <w:rFonts w:ascii="Palatino Linotype" w:hAnsi="Palatino Linotype" w:cs="Times New Roman"/>
          <w:sz w:val="24"/>
          <w:szCs w:val="24"/>
          <w:lang w:bidi="en-US"/>
        </w:rPr>
        <w:t>Other ctDNA sensing platforms have utilized different electrodes like gold</w:t>
      </w:r>
      <w:r w:rsidR="00B33342" w:rsidRPr="006F6690">
        <w:rPr>
          <w:rFonts w:ascii="Palatino Linotype" w:hAnsi="Palatino Linotype" w:cs="Times New Roman"/>
          <w:sz w:val="24"/>
          <w:szCs w:val="24"/>
          <w:lang w:bidi="en-US"/>
        </w:rPr>
        <w:t xml:space="preserve"> </w:t>
      </w:r>
      <w:r w:rsidR="00B33342" w:rsidRPr="006F6690">
        <w:rPr>
          <w:rFonts w:ascii="Palatino Linotype" w:hAnsi="Palatino Linotype" w:cs="Times New Roman"/>
          <w:sz w:val="24"/>
          <w:szCs w:val="24"/>
          <w:lang w:bidi="en-US"/>
        </w:rPr>
        <w:fldChar w:fldCharType="begin" w:fldLock="1"/>
      </w:r>
      <w:r w:rsidR="000766C5">
        <w:rPr>
          <w:rFonts w:ascii="Palatino Linotype" w:hAnsi="Palatino Linotype" w:cs="Times New Roman"/>
          <w:sz w:val="24"/>
          <w:szCs w:val="24"/>
          <w:lang w:bidi="en-US"/>
        </w:rPr>
        <w:instrText>ADDIN CSL_CITATION {"citationItems":[{"id":"ITEM-1","itemData":{"DOI":"10.1021/acssensors.0c01512","author":[{"dropping-particle":"","family":"Koo","given":"Kevin M","non-dropping-particle":"","parse-names":false,"suffix":""},{"dropping-particle":"","family":"Trau","given":"Matt","non-dropping-particle":"","parse-names":false,"suffix":""}],"container-title":"ACS Sensors","id":"ITEM-1","issue":"10","issued":{"date-parts":[["2020","10","23"]]},"note":"doi: 10.1021/acssensors.0c01512","page":"3217-3225","publisher":"American Chemical Society","title":"Direct Enhanced Detection of Multiple Circulating Tumor DNA Variants in Unprocessed Plasma by Magnetic-Assisted Bioelectrocatalytic Cycling","type":"article-journal","volume":"5"},"uris":["http://www.mendeley.com/documents/?uuid=dbe5eb7b-187c-4e03-9dc7-786a779098ad"]}],"mendeley":{"formattedCitation":"[239]","plainTextFormattedCitation":"[239]","previouslyFormattedCitation":"[239]"},"properties":{"noteIndex":0},"schema":"https://github.com/citation-style-language/schema/raw/master/csl-citation.json"}</w:instrText>
      </w:r>
      <w:r w:rsidR="00B33342" w:rsidRPr="006F6690">
        <w:rPr>
          <w:rFonts w:ascii="Palatino Linotype" w:hAnsi="Palatino Linotype" w:cs="Times New Roman"/>
          <w:sz w:val="24"/>
          <w:szCs w:val="24"/>
          <w:lang w:bidi="en-US"/>
        </w:rPr>
        <w:fldChar w:fldCharType="separate"/>
      </w:r>
      <w:r w:rsidR="005F2946" w:rsidRPr="005F2946">
        <w:rPr>
          <w:rFonts w:ascii="Palatino Linotype" w:hAnsi="Palatino Linotype" w:cs="Times New Roman"/>
          <w:noProof/>
          <w:sz w:val="24"/>
          <w:szCs w:val="24"/>
          <w:lang w:bidi="en-US"/>
        </w:rPr>
        <w:t>[239]</w:t>
      </w:r>
      <w:r w:rsidR="00B33342" w:rsidRPr="006F6690">
        <w:rPr>
          <w:rFonts w:ascii="Palatino Linotype" w:hAnsi="Palatino Linotype" w:cs="Times New Roman"/>
          <w:sz w:val="24"/>
          <w:szCs w:val="24"/>
          <w:lang w:bidi="en-US"/>
        </w:rPr>
        <w:fldChar w:fldCharType="end"/>
      </w:r>
      <w:r w:rsidR="00E65122" w:rsidRPr="006F6690">
        <w:rPr>
          <w:rFonts w:ascii="Palatino Linotype" w:hAnsi="Palatino Linotype" w:cs="Times New Roman"/>
          <w:sz w:val="24"/>
          <w:szCs w:val="24"/>
          <w:lang w:bidi="en-US"/>
        </w:rPr>
        <w:t xml:space="preserve"> or </w:t>
      </w:r>
      <w:r w:rsidRPr="006F6690">
        <w:rPr>
          <w:rFonts w:ascii="Palatino Linotype" w:hAnsi="Palatino Linotype" w:cs="Times New Roman"/>
          <w:sz w:val="24"/>
          <w:szCs w:val="24"/>
          <w:lang w:bidi="en-US"/>
        </w:rPr>
        <w:t xml:space="preserve">platinum </w:t>
      </w:r>
      <w:r w:rsidR="00B33342" w:rsidRPr="006F6690">
        <w:rPr>
          <w:rFonts w:ascii="Palatino Linotype" w:hAnsi="Palatino Linotype" w:cs="Times New Roman"/>
          <w:sz w:val="24"/>
          <w:szCs w:val="24"/>
          <w:lang w:bidi="en-US"/>
        </w:rPr>
        <w:fldChar w:fldCharType="begin" w:fldLock="1"/>
      </w:r>
      <w:r w:rsidR="000766C5">
        <w:rPr>
          <w:rFonts w:ascii="Palatino Linotype" w:hAnsi="Palatino Linotype" w:cs="Times New Roman"/>
          <w:sz w:val="24"/>
          <w:szCs w:val="24"/>
          <w:lang w:bidi="en-US"/>
        </w:rPr>
        <w:instrText>ADDIN CSL_CITATION {"citationItems":[{"id":"ITEM-1","itemData":{"DOI":"10.3390/s18020675","ISSN":"14248220","abstract":"Adequate selection of the electrode surface and the strategies for its modification to enable subsequent immobilization of biomolecules and/or nanomaterials integration play a major role in the performance of electrochemical affinity biosensors. Because of the simplicity, rapidity and versatility, electrografting using diazonium salt reduction is among the most currently used functionalization methods to provide the attachment of an organic layer to a conductive substrate. This particular chemistry has demonstrated to be a powerful tool to covalently immobilize in a stable and reproducible way a wide range of biomolecules or nanomaterials onto different electrode surfaces. Considering the great progress and interesting features arisen in the last years, this paper outlines the potential of diazonium chemistry to prepare single or multianalyte electrochemical affinity biosensors on screen-printed electrodes (SPEs) and points out the existing challenges and future directions in this field.","author":[{"dropping-particle":"","family":"Yáñez-Sedeño","given":"Paloma","non-dropping-particle":"","parse-names":false,"suffix":""},{"dropping-particle":"","family":"Campuzano","given":"Susana","non-dropping-particle":"","parse-names":false,"suffix":""},{"dropping-particle":"","family":"Pingarrón","given":"José M.","non-dropping-particle":"","parse-names":false,"suffix":""}],"container-title":"Sensors (Switzerland)","id":"ITEM-1","issue":"2","issued":{"date-parts":[["2018"]]},"title":"Integrated affinity biosensing platforms on screen-printed electrodes electrografted with diazonium salts","type":"article-journal","volume":"18"},"uris":["http://www.mendeley.com/documents/?uuid=c36d72bb-8ea7-480c-be2b-b2a69cfcc6a4"]}],"mendeley":{"formattedCitation":"[240]","plainTextFormattedCitation":"[240]","previouslyFormattedCitation":"[240]"},"properties":{"noteIndex":0},"schema":"https://github.com/citation-style-language/schema/raw/master/csl-citation.json"}</w:instrText>
      </w:r>
      <w:r w:rsidR="00B33342" w:rsidRPr="006F6690">
        <w:rPr>
          <w:rFonts w:ascii="Palatino Linotype" w:hAnsi="Palatino Linotype" w:cs="Times New Roman"/>
          <w:sz w:val="24"/>
          <w:szCs w:val="24"/>
          <w:lang w:bidi="en-US"/>
        </w:rPr>
        <w:fldChar w:fldCharType="separate"/>
      </w:r>
      <w:r w:rsidR="005F2946" w:rsidRPr="005F2946">
        <w:rPr>
          <w:rFonts w:ascii="Palatino Linotype" w:hAnsi="Palatino Linotype" w:cs="Times New Roman"/>
          <w:noProof/>
          <w:sz w:val="24"/>
          <w:szCs w:val="24"/>
          <w:lang w:bidi="en-US"/>
        </w:rPr>
        <w:t>[240]</w:t>
      </w:r>
      <w:r w:rsidR="00B33342" w:rsidRPr="006F6690">
        <w:rPr>
          <w:rFonts w:ascii="Palatino Linotype" w:hAnsi="Palatino Linotype" w:cs="Times New Roman"/>
          <w:sz w:val="24"/>
          <w:szCs w:val="24"/>
          <w:lang w:bidi="en-US"/>
        </w:rPr>
        <w:fldChar w:fldCharType="end"/>
      </w:r>
      <w:r w:rsidRPr="006F6690">
        <w:rPr>
          <w:rFonts w:ascii="Palatino Linotype" w:hAnsi="Palatino Linotype" w:cs="Times New Roman"/>
          <w:sz w:val="24"/>
          <w:szCs w:val="24"/>
          <w:lang w:bidi="en-US"/>
        </w:rPr>
        <w:t xml:space="preserve">. A disadvantage in using these electrodes </w:t>
      </w:r>
      <w:r w:rsidR="00BB2983" w:rsidRPr="006F6690">
        <w:rPr>
          <w:rFonts w:ascii="Palatino Linotype" w:hAnsi="Palatino Linotype" w:cs="Times New Roman"/>
          <w:sz w:val="24"/>
          <w:szCs w:val="24"/>
          <w:lang w:bidi="en-US"/>
        </w:rPr>
        <w:t>is</w:t>
      </w:r>
      <w:r w:rsidRPr="006F6690">
        <w:rPr>
          <w:rFonts w:ascii="Palatino Linotype" w:hAnsi="Palatino Linotype" w:cs="Times New Roman"/>
          <w:sz w:val="24"/>
          <w:szCs w:val="24"/>
          <w:lang w:bidi="en-US"/>
        </w:rPr>
        <w:t xml:space="preserve"> that they are not cost effective and in turn might make the disposable attribute which is essential for a PoC device, a challenge</w:t>
      </w:r>
      <w:r w:rsidRPr="005B1CCB">
        <w:rPr>
          <w:rFonts w:ascii="Palatino Linotype" w:hAnsi="Palatino Linotype" w:cs="Times New Roman"/>
          <w:sz w:val="24"/>
          <w:szCs w:val="24"/>
          <w:lang w:bidi="en-US"/>
        </w:rPr>
        <w:t xml:space="preserve">. </w:t>
      </w:r>
      <w:r w:rsidRPr="006F6690">
        <w:rPr>
          <w:rFonts w:ascii="Palatino Linotype" w:hAnsi="Palatino Linotype" w:cs="Times New Roman"/>
          <w:sz w:val="24"/>
          <w:szCs w:val="24"/>
          <w:lang w:bidi="en-US"/>
        </w:rPr>
        <w:t>Carbon electrodes are chemically inert at negative potential ranges in all media giving them an advantage over metal electrodes</w:t>
      </w:r>
      <w:r w:rsidRPr="005B1CCB">
        <w:rPr>
          <w:rFonts w:ascii="Palatino Linotype" w:hAnsi="Palatino Linotype" w:cs="Times New Roman"/>
          <w:sz w:val="24"/>
          <w:szCs w:val="24"/>
          <w:lang w:bidi="en-US"/>
        </w:rPr>
        <w:t xml:space="preserve"> </w:t>
      </w:r>
      <w:r w:rsidR="00416BAF" w:rsidRPr="005B1CCB">
        <w:rPr>
          <w:rFonts w:ascii="Palatino Linotype" w:hAnsi="Palatino Linotype" w:cs="Times New Roman"/>
          <w:sz w:val="24"/>
          <w:szCs w:val="24"/>
          <w:lang w:bidi="en-US"/>
        </w:rPr>
        <w:fldChar w:fldCharType="begin" w:fldLock="1"/>
      </w:r>
      <w:r w:rsidR="000766C5">
        <w:rPr>
          <w:rFonts w:ascii="Palatino Linotype" w:hAnsi="Palatino Linotype" w:cs="Times New Roman"/>
          <w:sz w:val="24"/>
          <w:szCs w:val="24"/>
          <w:lang w:bidi="en-US"/>
        </w:rPr>
        <w:instrText>ADDIN CSL_CITATION {"citationItems":[{"id":"ITEM-1","itemData":{"DOI":"10.1021/acsami.5b09825","author":[{"dropping-particle":"","family":"Yang","given":"Nianjun","non-dropping-particle":"","parse-names":false,"suffix":""},{"dropping-particle":"","family":"Waldvogel","given":"Siegfried R","non-dropping-particle":"","parse-names":false,"suffix":""},{"dropping-particle":"","family":"Jiang","given":"Xin","non-dropping-particle":"","parse-names":false,"suffix":""}],"id":"ITEM-1","issued":{"date-parts":[["2016"]]},"title":"Electrochemistry of Carbon Dioxide on Carbon Electrodes","type":"article-journal"},"uris":["http://www.mendeley.com/documents/?uuid=826fab1d-b841-4009-aed1-bd6f38f0529b"]}],"mendeley":{"formattedCitation":"[162]","plainTextFormattedCitation":"[162]","previouslyFormattedCitation":"[162]"},"properties":{"noteIndex":0},"schema":"https://github.com/citation-style-language/schema/raw/master/csl-citation.json"}</w:instrText>
      </w:r>
      <w:r w:rsidR="00416BAF" w:rsidRPr="005B1CCB">
        <w:rPr>
          <w:rFonts w:ascii="Palatino Linotype" w:hAnsi="Palatino Linotype" w:cs="Times New Roman"/>
          <w:sz w:val="24"/>
          <w:szCs w:val="24"/>
          <w:lang w:bidi="en-US"/>
        </w:rPr>
        <w:fldChar w:fldCharType="separate"/>
      </w:r>
      <w:r w:rsidR="005F2946" w:rsidRPr="005F2946">
        <w:rPr>
          <w:rFonts w:ascii="Palatino Linotype" w:hAnsi="Palatino Linotype" w:cs="Times New Roman"/>
          <w:noProof/>
          <w:sz w:val="24"/>
          <w:szCs w:val="24"/>
          <w:lang w:bidi="en-US"/>
        </w:rPr>
        <w:t>[162]</w:t>
      </w:r>
      <w:r w:rsidR="00416BAF" w:rsidRPr="005B1CCB">
        <w:rPr>
          <w:rFonts w:ascii="Palatino Linotype" w:hAnsi="Palatino Linotype" w:cs="Times New Roman"/>
          <w:sz w:val="24"/>
          <w:szCs w:val="24"/>
          <w:lang w:bidi="en-US"/>
        </w:rPr>
        <w:fldChar w:fldCharType="end"/>
      </w:r>
      <w:r w:rsidR="00416BAF" w:rsidRPr="005B1CCB">
        <w:rPr>
          <w:rFonts w:ascii="Palatino Linotype" w:hAnsi="Palatino Linotype" w:cs="Times New Roman"/>
          <w:sz w:val="24"/>
          <w:szCs w:val="24"/>
          <w:lang w:bidi="en-US"/>
        </w:rPr>
        <w:t>.</w:t>
      </w:r>
      <w:r w:rsidRPr="005B1CCB">
        <w:rPr>
          <w:rFonts w:ascii="Palatino Linotype" w:hAnsi="Palatino Linotype" w:cs="Times New Roman"/>
          <w:sz w:val="24"/>
          <w:szCs w:val="24"/>
          <w:lang w:bidi="en-US"/>
        </w:rPr>
        <w:t xml:space="preserve"> The simplicity, sensitivity and affordability of carbon electrodes made them suitable as electrodes for characterizing the processes employed. For the </w:t>
      </w:r>
      <w:r w:rsidR="004676AC" w:rsidRPr="005B1CCB">
        <w:rPr>
          <w:rFonts w:ascii="Palatino Linotype" w:hAnsi="Palatino Linotype" w:cs="Times New Roman"/>
          <w:sz w:val="24"/>
          <w:szCs w:val="24"/>
          <w:lang w:bidi="en-US"/>
        </w:rPr>
        <w:t xml:space="preserve">voltammetry </w:t>
      </w:r>
      <w:r w:rsidRPr="005B1CCB">
        <w:rPr>
          <w:rFonts w:ascii="Palatino Linotype" w:hAnsi="Palatino Linotype" w:cs="Times New Roman"/>
          <w:sz w:val="24"/>
          <w:szCs w:val="24"/>
          <w:lang w:bidi="en-US"/>
        </w:rPr>
        <w:t>measurements carried out, different voltage and scan ranges were selected depending on if the electrodes needed to be cleaned, electro grafted or characterised for sensor measurement.</w:t>
      </w:r>
    </w:p>
    <w:p w14:paraId="1803B9C0" w14:textId="42D501DB" w:rsidR="00115E9E" w:rsidRPr="005B1CCB" w:rsidRDefault="007B0346" w:rsidP="00115E9E">
      <w:pPr>
        <w:spacing w:line="360" w:lineRule="auto"/>
        <w:jc w:val="both"/>
        <w:rPr>
          <w:rFonts w:ascii="Palatino Linotype" w:hAnsi="Palatino Linotype" w:cs="Times New Roman"/>
          <w:sz w:val="24"/>
          <w:szCs w:val="24"/>
          <w:lang w:bidi="en-US"/>
        </w:rPr>
      </w:pPr>
      <w:r w:rsidRPr="005B1CCB">
        <w:rPr>
          <w:rFonts w:ascii="Palatino Linotype" w:hAnsi="Palatino Linotype" w:cs="Times New Roman"/>
          <w:sz w:val="24"/>
          <w:szCs w:val="24"/>
          <w:lang w:bidi="en-US"/>
        </w:rPr>
        <w:t xml:space="preserve">  </w:t>
      </w:r>
      <w:r w:rsidR="00416BAF" w:rsidRPr="005B1CCB">
        <w:rPr>
          <w:rFonts w:ascii="Palatino Linotype" w:hAnsi="Palatino Linotype" w:cs="Times New Roman"/>
          <w:sz w:val="24"/>
          <w:szCs w:val="24"/>
          <w:lang w:bidi="en-US"/>
        </w:rPr>
        <w:t xml:space="preserve"> </w:t>
      </w:r>
      <w:r w:rsidR="00115E9E" w:rsidRPr="005B1CCB">
        <w:rPr>
          <w:rFonts w:ascii="Palatino Linotype" w:hAnsi="Palatino Linotype" w:cs="Times New Roman"/>
          <w:sz w:val="24"/>
          <w:szCs w:val="24"/>
          <w:lang w:bidi="en-US"/>
        </w:rPr>
        <w:t xml:space="preserve">It was possible to design a PCR reaction capable of amplifying either mutant KRAS </w:t>
      </w:r>
      <w:r w:rsidR="009F462B" w:rsidRPr="005B1CCB">
        <w:rPr>
          <w:rFonts w:ascii="Palatino Linotype" w:hAnsi="Palatino Linotype" w:cs="Times New Roman"/>
          <w:sz w:val="24"/>
          <w:szCs w:val="24"/>
          <w:lang w:bidi="en-US"/>
        </w:rPr>
        <w:t>p</w:t>
      </w:r>
      <w:r w:rsidR="00115E9E" w:rsidRPr="005B1CCB">
        <w:rPr>
          <w:rFonts w:ascii="Palatino Linotype" w:hAnsi="Palatino Linotype" w:cs="Times New Roman"/>
          <w:sz w:val="24"/>
          <w:szCs w:val="24"/>
          <w:lang w:bidi="en-US"/>
        </w:rPr>
        <w:t>G12D or</w:t>
      </w:r>
      <w:r w:rsidR="009F462B" w:rsidRPr="005B1CCB">
        <w:rPr>
          <w:rFonts w:ascii="Palatino Linotype" w:hAnsi="Palatino Linotype" w:cs="Times New Roman"/>
          <w:sz w:val="24"/>
          <w:szCs w:val="24"/>
          <w:lang w:bidi="en-US"/>
        </w:rPr>
        <w:t xml:space="preserve"> </w:t>
      </w:r>
      <w:r w:rsidR="00115E9E" w:rsidRPr="005B1CCB">
        <w:rPr>
          <w:rFonts w:ascii="Palatino Linotype" w:hAnsi="Palatino Linotype" w:cs="Times New Roman"/>
          <w:sz w:val="24"/>
          <w:szCs w:val="24"/>
          <w:lang w:bidi="en-US"/>
        </w:rPr>
        <w:t>wild</w:t>
      </w:r>
      <w:r w:rsidR="009F462B" w:rsidRPr="005B1CCB">
        <w:rPr>
          <w:rFonts w:ascii="Palatino Linotype" w:hAnsi="Palatino Linotype" w:cs="Times New Roman"/>
          <w:sz w:val="24"/>
          <w:szCs w:val="24"/>
          <w:lang w:bidi="en-US"/>
        </w:rPr>
        <w:t>-</w:t>
      </w:r>
      <w:r w:rsidR="00115E9E" w:rsidRPr="005B1CCB">
        <w:rPr>
          <w:rFonts w:ascii="Palatino Linotype" w:hAnsi="Palatino Linotype" w:cs="Times New Roman"/>
          <w:sz w:val="24"/>
          <w:szCs w:val="24"/>
          <w:lang w:bidi="en-US"/>
        </w:rPr>
        <w:t xml:space="preserve">type KRAS through primer choice from patient samples.  In parallel, an electrochemical detection scheme involving cyclic voltammetry and carbon screen printed electrodes was developed and shown through a series of comparative measurements to be sensitive and specific for the KRAS </w:t>
      </w:r>
      <w:r w:rsidR="009F462B" w:rsidRPr="005B1CCB">
        <w:rPr>
          <w:rFonts w:ascii="Palatino Linotype" w:hAnsi="Palatino Linotype" w:cs="Times New Roman"/>
          <w:sz w:val="24"/>
          <w:szCs w:val="24"/>
          <w:lang w:bidi="en-US"/>
        </w:rPr>
        <w:t>p</w:t>
      </w:r>
      <w:r w:rsidR="00115E9E" w:rsidRPr="005B1CCB">
        <w:rPr>
          <w:rFonts w:ascii="Palatino Linotype" w:hAnsi="Palatino Linotype" w:cs="Times New Roman"/>
          <w:sz w:val="24"/>
          <w:szCs w:val="24"/>
          <w:lang w:bidi="en-US"/>
        </w:rPr>
        <w:t xml:space="preserve">G12D mutation.  </w:t>
      </w:r>
      <w:r w:rsidR="00115E9E" w:rsidRPr="006F6690">
        <w:rPr>
          <w:rFonts w:ascii="Palatino Linotype" w:hAnsi="Palatino Linotype" w:cs="Times New Roman"/>
          <w:sz w:val="24"/>
          <w:szCs w:val="24"/>
          <w:lang w:bidi="en-US"/>
        </w:rPr>
        <w:t>Electrochemical impedance spectroscopy measurements were halted due to the inconsistency of the response and difficulties with equivalent circuit fitting</w:t>
      </w:r>
      <w:r w:rsidR="00115E9E" w:rsidRPr="005B1CCB">
        <w:rPr>
          <w:rFonts w:ascii="Palatino Linotype" w:hAnsi="Palatino Linotype" w:cs="Times New Roman"/>
          <w:sz w:val="24"/>
          <w:szCs w:val="24"/>
          <w:lang w:bidi="en-US"/>
        </w:rPr>
        <w:t xml:space="preserve">.  Cyclic voltammetry measurements provided the desired response and showed detection was possible from samples containing 4 copies/ng total DNA in as few as 20 PCR cycles.  In addition, the response was found to be consistent, i.e. large signal decreases being evident upon amplification of the mutant allele, offering promise of quantitation of mutant sequences from clinical samples. </w:t>
      </w:r>
      <w:r w:rsidR="00115E9E" w:rsidRPr="006F6690">
        <w:rPr>
          <w:rFonts w:ascii="Palatino Linotype" w:hAnsi="Palatino Linotype" w:cs="Times New Roman"/>
          <w:sz w:val="24"/>
          <w:szCs w:val="24"/>
          <w:lang w:bidi="en-US"/>
        </w:rPr>
        <w:t>Sources of potential signal contamination were examined and found to not contribute significantly to the analytical response, giving confidence that signal changes were not due to other binding effects from the sample solutions</w:t>
      </w:r>
      <w:r w:rsidR="00115E9E" w:rsidRPr="005B1CCB">
        <w:rPr>
          <w:rFonts w:ascii="Palatino Linotype" w:hAnsi="Palatino Linotype" w:cs="Times New Roman"/>
          <w:sz w:val="24"/>
          <w:szCs w:val="24"/>
          <w:lang w:bidi="en-US"/>
        </w:rPr>
        <w:t xml:space="preserve">. These results raise the prospect of simple, rapid, </w:t>
      </w:r>
      <w:r w:rsidR="006F6690">
        <w:rPr>
          <w:rFonts w:ascii="Palatino Linotype" w:hAnsi="Palatino Linotype" w:cs="Times New Roman"/>
          <w:sz w:val="24"/>
          <w:szCs w:val="24"/>
          <w:lang w:bidi="en-US"/>
        </w:rPr>
        <w:t xml:space="preserve"> </w:t>
      </w:r>
      <w:r w:rsidR="006F6690" w:rsidRPr="005B1CCB">
        <w:rPr>
          <w:rFonts w:ascii="Palatino Linotype" w:hAnsi="Palatino Linotype" w:cs="Times New Roman"/>
          <w:sz w:val="24"/>
          <w:szCs w:val="24"/>
          <w:lang w:bidi="en-US"/>
        </w:rPr>
        <w:t>cost-effective</w:t>
      </w:r>
      <w:r w:rsidR="00115E9E" w:rsidRPr="005B1CCB">
        <w:rPr>
          <w:rFonts w:ascii="Palatino Linotype" w:hAnsi="Palatino Linotype" w:cs="Times New Roman"/>
          <w:sz w:val="24"/>
          <w:szCs w:val="24"/>
          <w:lang w:bidi="en-US"/>
        </w:rPr>
        <w:t xml:space="preserve"> measurement of nucleic acid tumour markers from blood and other body fluids.</w:t>
      </w:r>
    </w:p>
    <w:p w14:paraId="6AE39E92" w14:textId="5DECD946" w:rsidR="00B136A2" w:rsidRDefault="00B136A2" w:rsidP="0052183A">
      <w:pPr>
        <w:spacing w:line="360" w:lineRule="auto"/>
        <w:rPr>
          <w:rFonts w:ascii="Palatino Linotype" w:hAnsi="Palatino Linotype" w:cs="Times New Roman"/>
          <w:sz w:val="24"/>
          <w:szCs w:val="24"/>
          <w:lang w:bidi="en-US"/>
        </w:rPr>
      </w:pPr>
    </w:p>
    <w:p w14:paraId="6258430C" w14:textId="77777777" w:rsidR="006F6690" w:rsidRPr="005B1CCB" w:rsidRDefault="006F6690" w:rsidP="0052183A">
      <w:pPr>
        <w:spacing w:line="360" w:lineRule="auto"/>
        <w:rPr>
          <w:rFonts w:ascii="Palatino Linotype" w:hAnsi="Palatino Linotype"/>
        </w:rPr>
      </w:pPr>
    </w:p>
    <w:p w14:paraId="394728D2" w14:textId="5B8E9843" w:rsidR="00DE712F" w:rsidRPr="005B1CCB" w:rsidRDefault="00CA6CF0" w:rsidP="00C8492D">
      <w:pPr>
        <w:pStyle w:val="Heading1"/>
        <w:jc w:val="center"/>
      </w:pPr>
      <w:bookmarkStart w:id="160" w:name="_Toc84528120"/>
      <w:r>
        <w:t xml:space="preserve">- </w:t>
      </w:r>
      <w:r w:rsidR="008C5D7E" w:rsidRPr="008C5D7E">
        <w:t xml:space="preserve"> DEVELOPING A ctDNA ASSAY USING </w:t>
      </w:r>
      <w:r w:rsidR="008C5D7E">
        <w:t xml:space="preserve">A </w:t>
      </w:r>
      <w:r w:rsidR="008C5D7E" w:rsidRPr="008C5D7E">
        <w:t>COMMON AND ESTABLISHED CANCER MUTATION</w:t>
      </w:r>
      <w:r w:rsidR="00433A57" w:rsidRPr="005B1CCB">
        <w:t xml:space="preserve"> </w:t>
      </w:r>
      <w:r w:rsidR="008C5D7E">
        <w:t xml:space="preserve">- </w:t>
      </w:r>
      <w:r w:rsidR="005D22B6" w:rsidRPr="005B1CCB">
        <w:t xml:space="preserve">KRAS </w:t>
      </w:r>
      <w:r w:rsidR="007A5889" w:rsidRPr="005B1CCB">
        <w:t>G13D</w:t>
      </w:r>
      <w:bookmarkEnd w:id="160"/>
    </w:p>
    <w:p w14:paraId="79F5DBC6" w14:textId="77777777" w:rsidR="00DE712F" w:rsidRPr="005B1CCB" w:rsidRDefault="00DE712F" w:rsidP="00BF381B">
      <w:pPr>
        <w:pStyle w:val="Heading2"/>
      </w:pPr>
      <w:bookmarkStart w:id="161" w:name="_Toc84528121"/>
      <w:r w:rsidRPr="005B1CCB">
        <w:t>Introduction</w:t>
      </w:r>
      <w:bookmarkEnd w:id="161"/>
    </w:p>
    <w:p w14:paraId="67FD32D0" w14:textId="6EE2EDE5" w:rsidR="000D4D8B" w:rsidRPr="005B1CCB" w:rsidRDefault="00107A20" w:rsidP="00EF23AD">
      <w:pPr>
        <w:spacing w:line="360" w:lineRule="auto"/>
        <w:jc w:val="both"/>
      </w:pPr>
      <w:r w:rsidRPr="005B1CCB">
        <w:rPr>
          <w:rFonts w:ascii="Palatino Linotype" w:hAnsi="Palatino Linotype" w:cs="Times New Roman"/>
          <w:sz w:val="24"/>
          <w:szCs w:val="24"/>
        </w:rPr>
        <w:t xml:space="preserve">    </w:t>
      </w:r>
      <w:r w:rsidR="00D56EF6" w:rsidRPr="005B1CCB">
        <w:rPr>
          <w:rFonts w:ascii="Palatino Linotype" w:hAnsi="Palatino Linotype" w:cs="Times New Roman"/>
          <w:sz w:val="24"/>
          <w:szCs w:val="24"/>
        </w:rPr>
        <w:t>After establishing</w:t>
      </w:r>
      <w:r w:rsidR="00DE712F" w:rsidRPr="005B1CCB">
        <w:rPr>
          <w:rFonts w:ascii="Palatino Linotype" w:hAnsi="Palatino Linotype" w:cs="Times New Roman"/>
          <w:sz w:val="24"/>
          <w:szCs w:val="24"/>
        </w:rPr>
        <w:t xml:space="preserve"> this assay for one ctDNA marker</w:t>
      </w:r>
      <w:r w:rsidR="00D56EF6" w:rsidRPr="005B1CCB">
        <w:rPr>
          <w:rFonts w:ascii="Palatino Linotype" w:hAnsi="Palatino Linotype" w:cs="Times New Roman"/>
          <w:sz w:val="24"/>
          <w:szCs w:val="24"/>
        </w:rPr>
        <w:t>,</w:t>
      </w:r>
      <w:r w:rsidR="00DE712F" w:rsidRPr="005B1CCB">
        <w:rPr>
          <w:rFonts w:ascii="Palatino Linotype" w:hAnsi="Palatino Linotype" w:cs="Times New Roman"/>
          <w:sz w:val="24"/>
          <w:szCs w:val="24"/>
        </w:rPr>
        <w:t xml:space="preserve"> </w:t>
      </w:r>
      <w:r w:rsidR="00DE7D90" w:rsidRPr="005B1CCB">
        <w:rPr>
          <w:rFonts w:ascii="Palatino Linotype" w:hAnsi="Palatino Linotype" w:cs="Times New Roman"/>
          <w:sz w:val="24"/>
          <w:szCs w:val="24"/>
        </w:rPr>
        <w:t>the</w:t>
      </w:r>
      <w:r w:rsidR="00DE712F" w:rsidRPr="005B1CCB">
        <w:rPr>
          <w:rFonts w:ascii="Palatino Linotype" w:hAnsi="Palatino Linotype" w:cs="Times New Roman"/>
          <w:sz w:val="24"/>
          <w:szCs w:val="24"/>
        </w:rPr>
        <w:t xml:space="preserve"> panel will now be expanded by targeting other </w:t>
      </w:r>
      <w:r w:rsidR="00295741" w:rsidRPr="005B1CCB">
        <w:rPr>
          <w:rFonts w:ascii="Palatino Linotype" w:hAnsi="Palatino Linotype" w:cs="Times New Roman"/>
          <w:sz w:val="24"/>
          <w:szCs w:val="24"/>
        </w:rPr>
        <w:t xml:space="preserve">clinically significant </w:t>
      </w:r>
      <w:r w:rsidR="00DE712F" w:rsidRPr="005B1CCB">
        <w:rPr>
          <w:rFonts w:ascii="Palatino Linotype" w:hAnsi="Palatino Linotype" w:cs="Times New Roman"/>
          <w:sz w:val="24"/>
          <w:szCs w:val="24"/>
        </w:rPr>
        <w:t>mutations</w:t>
      </w:r>
      <w:r w:rsidR="00295741" w:rsidRPr="005B1CCB">
        <w:rPr>
          <w:rFonts w:ascii="Palatino Linotype" w:hAnsi="Palatino Linotype" w:cs="Times New Roman"/>
          <w:sz w:val="24"/>
          <w:szCs w:val="24"/>
        </w:rPr>
        <w:t xml:space="preserve"> of the KRAS gene</w:t>
      </w:r>
      <w:r w:rsidR="00DE712F" w:rsidRPr="005B1CCB">
        <w:rPr>
          <w:rFonts w:ascii="Palatino Linotype" w:hAnsi="Palatino Linotype" w:cs="Times New Roman"/>
          <w:sz w:val="24"/>
          <w:szCs w:val="24"/>
        </w:rPr>
        <w:t xml:space="preserve">. </w:t>
      </w:r>
      <w:r w:rsidR="007C298B" w:rsidRPr="002B1F23">
        <w:rPr>
          <w:rFonts w:ascii="Palatino Linotype" w:hAnsi="Palatino Linotype" w:cs="Times New Roman"/>
          <w:sz w:val="24"/>
          <w:szCs w:val="24"/>
        </w:rPr>
        <w:t>KRAS G13D is associated with a better prognosis than the mutations in codon 12 in specific cancers e.g. colorectal canc</w:t>
      </w:r>
      <w:r w:rsidR="007C298B" w:rsidRPr="005B1CCB">
        <w:rPr>
          <w:rFonts w:ascii="Palatino Linotype" w:hAnsi="Palatino Linotype" w:cs="Times New Roman"/>
          <w:sz w:val="24"/>
          <w:szCs w:val="24"/>
        </w:rPr>
        <w:t>ers</w:t>
      </w:r>
      <w:r w:rsidR="00C5356F" w:rsidRPr="005B1CCB">
        <w:rPr>
          <w:rFonts w:ascii="Palatino Linotype" w:hAnsi="Palatino Linotype" w:cs="Times New Roman"/>
          <w:sz w:val="24"/>
          <w:szCs w:val="24"/>
        </w:rPr>
        <w:t xml:space="preserve"> </w:t>
      </w:r>
      <w:r w:rsidR="007C298B"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{"citationItems":[{"id":"ITEM-1","itemData":{"DOI":"10.18632/oncotarget.13697","ISSN":"19492553","abstract":"Introduction: The utilization of molecular markers as routinely used biomarkers is steadily increasing. We aimed to evaluate the potential different prognostic values of KRAS exon 2 codons 12 and 13 after lung metastasectomy in colorectal cancer (CRC). Results: KRAS codon 12 mutations were observed in 116 patients (77%), whereas codon 13 mutations were observed in 34 patients (23%). KRAS codon 13 mutations were associated with both longer time to pulmonary recurrence (TTPR) (median TTPR: 78 months (95% CI: 50.61-82.56) vs 56 months (95% CI: 68.71-127.51), P = 0.008) and improved overall survival (OS) (median OS: 82 months vs 54 months (95% CI: 48.93-59.07), P = 0.009). Multivariate analysis confirmed that codon 13 mutations were associated with better outcomes (TTPR: HR: 0.40 (95% CI: 0.17-0.93), P = 0.033); OS: HR: 0.39 (95% CI: 0.14-1.07), P = 0.07). Otherwise, no significant difference in OS (P = 0.78) or TTPR (P = 0.72) based on the type of amino-acid substitutions was observed among KRAS codon 12 mutations. Materials and Methods: We retrospectively reviewed data from 525 patients who underwent a lung metastasectomy for CRC in two departments of thoracic surgery from 1998 to 2015 and focused on 150 patients that had KRAS exon 2 codon 12/13 mutations. Conclusions: KRAS exon 2 codon 13 mutations, compared to codon 12 mutations, seem to be associated with better outcomes following lung metastasectomy in CRC. Prospective multicenter studies are necessary to fully understand the prognostic value of KRAS mutations in the lung metastases of CRC.","author":[{"dropping-particle":"","family":"Renaud","given":"Stéphane","non-dropping-particle":"","parse-names":false,"suffix":""},{"dropping-particle":"","family":"Guerrera","given":"Francesco","non-dropping-particle":"","parse-names":false,"suffix":""},{"dropping-particle":"","family":"Seitlinger","given":"Joseph","non-dropping-particle":"","parse-names":false,"suffix":""},{"dropping-particle":"","family":"Costardi","given":"Lorena","non-dropping-particle":"","parse-names":false,"suffix":""},{"dropping-particle":"","family":"Schaeffer","given":"Mickaël","non-dropping-particle":"","parse-names":false,"suffix":""},{"dropping-particle":"","family":"Romain","given":"Benoit","non-dropping-particle":"","parse-names":false,"suffix":""},{"dropping-particle":"","family":"Mossetti","given":"Claudio","non-dropping-particle":"","parse-names":false,"suffix":""},{"dropping-particle":"","family":"Claire-Voegeli","given":"Anne","non-dropping-particle":"","parse-names":false,"suffix":""},{"dropping-particle":"","family":"Filosso","given":"Pier Luigi","non-dropping-particle":"","parse-names":false,"suffix":""},{"dropping-particle":"","family":"Legrain","given":"Michèle","non-dropping-particle":"","parse-names":false,"suffix":""},{"dropping-particle":"","family":"Ruffini","given":"Enrico","non-dropping-particle":"","parse-names":false,"suffix":""},{"dropping-particle":"","family":"Falcoz","given":"Pierre Emmanuel","non-dropping-particle":"","parse-names":false,"suffix":""},{"dropping-particle":"","family":"Oliaro","given":"Alberto","non-dropping-particle":"","parse-names":false,"suffix":""},{"dropping-particle":"","family":"Massard","given":"Gilbert","non-dropping-particle":"","parse-names":false,"suffix":""}],"container-title":"Oncotarget","id":"ITEM-1","issue":"2","issued":{"date-parts":[["2017"]]},"page":"2514-2524","title":"KRAS exon 2 codon 13 mutation is associated with a better prognosis than codon 12 mutation following lung metastasectomy in colorectal cancer","type":"article-journal","volume":"8"},"uris":["http://www.mendeley.com/documents/?uuid=af8e376c-0904-422d-8516-da05deb38cba"]}],"mendeley":{"formattedCitation":"[241]","plainTextFormattedCitation":"[241]","previouslyFormattedCitation":"[241]"},"properties":{"noteIndex":0},"schema":"https://github.com/citation-style-language/schema/raw/master/csl-citation.json"}</w:instrText>
      </w:r>
      <w:r w:rsidR="007C298B"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[241]</w:t>
      </w:r>
      <w:r w:rsidR="007C298B" w:rsidRPr="005B1CCB">
        <w:rPr>
          <w:rFonts w:ascii="Palatino Linotype" w:hAnsi="Palatino Linotype" w:cs="Times New Roman"/>
          <w:sz w:val="24"/>
          <w:szCs w:val="24"/>
        </w:rPr>
        <w:fldChar w:fldCharType="end"/>
      </w:r>
      <w:r w:rsidR="007C298B" w:rsidRPr="005B1CCB">
        <w:rPr>
          <w:rFonts w:ascii="Palatino Linotype" w:hAnsi="Palatino Linotype" w:cs="Times New Roman"/>
          <w:sz w:val="24"/>
          <w:szCs w:val="24"/>
        </w:rPr>
        <w:t xml:space="preserve">. </w:t>
      </w:r>
      <w:r w:rsidR="000D4D8B" w:rsidRPr="002B1F23">
        <w:rPr>
          <w:rFonts w:ascii="Palatino Linotype" w:hAnsi="Palatino Linotype" w:cs="Times New Roman"/>
          <w:sz w:val="24"/>
          <w:szCs w:val="24"/>
        </w:rPr>
        <w:t>In KRAS pG13D, the guanine base is substituted by adenine at position 38 i.e.</w:t>
      </w:r>
      <w:r w:rsidR="0054039C" w:rsidRPr="002B1F23">
        <w:rPr>
          <w:rFonts w:ascii="Palatino Linotype" w:hAnsi="Palatino Linotype" w:cs="Times New Roman"/>
          <w:sz w:val="24"/>
          <w:szCs w:val="24"/>
        </w:rPr>
        <w:t>,</w:t>
      </w:r>
      <w:r w:rsidR="000D4D8B" w:rsidRPr="002B1F23">
        <w:rPr>
          <w:rFonts w:ascii="Palatino Linotype" w:hAnsi="Palatino Linotype" w:cs="Times New Roman"/>
          <w:sz w:val="24"/>
          <w:szCs w:val="24"/>
        </w:rPr>
        <w:t xml:space="preserve"> (KRA</w:t>
      </w:r>
      <w:r w:rsidR="00A84408" w:rsidRPr="002B1F23">
        <w:rPr>
          <w:rFonts w:ascii="Palatino Linotype" w:hAnsi="Palatino Linotype" w:cs="Times New Roman"/>
          <w:sz w:val="24"/>
          <w:szCs w:val="24"/>
        </w:rPr>
        <w:t xml:space="preserve">S </w:t>
      </w:r>
      <w:r w:rsidR="000D4D8B" w:rsidRPr="002B1F23">
        <w:rPr>
          <w:rFonts w:ascii="Palatino Linotype" w:hAnsi="Palatino Linotype" w:cs="Times New Roman"/>
          <w:sz w:val="24"/>
          <w:szCs w:val="24"/>
        </w:rPr>
        <w:t>c.38</w:t>
      </w:r>
      <w:r w:rsidR="00A84408" w:rsidRPr="002B1F23">
        <w:rPr>
          <w:rFonts w:ascii="Palatino Linotype" w:hAnsi="Palatino Linotype" w:cs="Times New Roman"/>
          <w:sz w:val="24"/>
          <w:szCs w:val="24"/>
        </w:rPr>
        <w:t xml:space="preserve"> </w:t>
      </w:r>
      <w:r w:rsidR="000D4D8B" w:rsidRPr="002B1F23">
        <w:rPr>
          <w:rFonts w:ascii="Palatino Linotype" w:hAnsi="Palatino Linotype" w:cs="Times New Roman"/>
          <w:sz w:val="24"/>
          <w:szCs w:val="24"/>
        </w:rPr>
        <w:t xml:space="preserve">G&gt;A, </w:t>
      </w:r>
      <w:r w:rsidR="007C298B" w:rsidRPr="002B1F23">
        <w:rPr>
          <w:rFonts w:ascii="Palatino Linotype" w:hAnsi="Palatino Linotype" w:cs="Times New Roman"/>
          <w:sz w:val="24"/>
          <w:szCs w:val="24"/>
        </w:rPr>
        <w:t>GGC</w:t>
      </w:r>
      <w:r w:rsidR="00A84408" w:rsidRPr="002B1F23">
        <w:rPr>
          <w:rFonts w:ascii="Palatino Linotype" w:hAnsi="Palatino Linotype" w:cs="Times New Roman"/>
          <w:sz w:val="24"/>
          <w:szCs w:val="24"/>
        </w:rPr>
        <w:t xml:space="preserve"> </w:t>
      </w:r>
      <w:r w:rsidR="007C298B" w:rsidRPr="002B1F23">
        <w:rPr>
          <w:rFonts w:ascii="Times New Roman" w:hAnsi="Times New Roman" w:cs="Times New Roman"/>
          <w:sz w:val="24"/>
          <w:szCs w:val="24"/>
        </w:rPr>
        <w:t>→</w:t>
      </w:r>
      <w:r w:rsidR="00A84408" w:rsidRPr="002B1F23">
        <w:rPr>
          <w:rFonts w:ascii="Times New Roman" w:hAnsi="Times New Roman" w:cs="Times New Roman"/>
          <w:sz w:val="24"/>
          <w:szCs w:val="24"/>
        </w:rPr>
        <w:t xml:space="preserve"> </w:t>
      </w:r>
      <w:r w:rsidR="007C298B" w:rsidRPr="002B1F23">
        <w:rPr>
          <w:rFonts w:ascii="Palatino Linotype" w:hAnsi="Palatino Linotype" w:cs="Times New Roman"/>
          <w:sz w:val="24"/>
          <w:szCs w:val="24"/>
        </w:rPr>
        <w:t>GAC</w:t>
      </w:r>
      <w:r w:rsidR="000D4D8B" w:rsidRPr="002B1F23">
        <w:rPr>
          <w:rFonts w:ascii="Palatino Linotype" w:hAnsi="Palatino Linotype" w:cs="Times New Roman"/>
          <w:sz w:val="24"/>
          <w:szCs w:val="24"/>
        </w:rPr>
        <w:t>) resulting in a mutation.</w:t>
      </w:r>
      <w:r w:rsidR="000D4D8B" w:rsidRPr="005B1CCB">
        <w:rPr>
          <w:rFonts w:ascii="Palatino Linotype" w:hAnsi="Palatino Linotype" w:cs="Times New Roman"/>
          <w:sz w:val="24"/>
          <w:szCs w:val="24"/>
        </w:rPr>
        <w:t xml:space="preserve"> </w:t>
      </w:r>
    </w:p>
    <w:p w14:paraId="77934760" w14:textId="77777777" w:rsidR="00DB7F8E" w:rsidRPr="005B1CCB" w:rsidRDefault="00CF5E3A" w:rsidP="0052183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7C298B" w:rsidRPr="005B1CCB">
        <w:rPr>
          <w:rFonts w:ascii="Palatino Linotype" w:hAnsi="Palatino Linotype" w:cs="Times New Roman"/>
          <w:sz w:val="24"/>
          <w:szCs w:val="24"/>
        </w:rPr>
        <w:t>This work presents a G13D DNA oligonucleotide probe modified sensor array that can accurately detect mutant KRAS amplicons and therefore forms the basis of a system for the accurate detection of ctDNA in patient samples and monitoring of response during treatment. This was achieved by amplif</w:t>
      </w:r>
      <w:r w:rsidR="008772A5" w:rsidRPr="005B1CCB">
        <w:rPr>
          <w:rFonts w:ascii="Palatino Linotype" w:hAnsi="Palatino Linotype" w:cs="Times New Roman"/>
          <w:sz w:val="24"/>
          <w:szCs w:val="24"/>
        </w:rPr>
        <w:t xml:space="preserve">ying mutant DNA isolated from </w:t>
      </w:r>
      <w:r w:rsidR="00847763" w:rsidRPr="005B1CCB">
        <w:rPr>
          <w:rFonts w:ascii="Palatino Linotype" w:hAnsi="Palatino Linotype" w:cs="Times New Roman"/>
          <w:sz w:val="24"/>
          <w:szCs w:val="24"/>
        </w:rPr>
        <w:t>human cancer cell line (HCT116)</w:t>
      </w:r>
      <w:r w:rsidR="007C298B" w:rsidRPr="005B1CCB">
        <w:rPr>
          <w:rFonts w:ascii="Palatino Linotype" w:hAnsi="Palatino Linotype" w:cs="Times New Roman"/>
          <w:sz w:val="24"/>
          <w:szCs w:val="24"/>
        </w:rPr>
        <w:t xml:space="preserve"> recovered from clinical samples, using electrochemical techniques and SPCEs to detect a clinically relevant mutation, comparing the signal change from DNA hybridisation experiments involving wild</w:t>
      </w:r>
      <w:r w:rsidR="0062428D" w:rsidRPr="005B1CCB">
        <w:rPr>
          <w:rFonts w:ascii="Palatino Linotype" w:hAnsi="Palatino Linotype" w:cs="Times New Roman"/>
          <w:sz w:val="24"/>
          <w:szCs w:val="24"/>
        </w:rPr>
        <w:t>-</w:t>
      </w:r>
      <w:r w:rsidR="007C298B" w:rsidRPr="005B1CCB">
        <w:rPr>
          <w:rFonts w:ascii="Palatino Linotype" w:hAnsi="Palatino Linotype" w:cs="Times New Roman"/>
          <w:sz w:val="24"/>
          <w:szCs w:val="24"/>
        </w:rPr>
        <w:t xml:space="preserve">type KRAS and amplified KRAS mutant samples, varying concentration of amplified products to determine concentration effects and establishing a limit of detection for the DNA amplification reaction. In this study, both DPV and CV were used depending on whether electrodes needed to be cleaned, electrografted, or characterised during sensor measurement. Different voltage and scan ranges were selected for the measurements carried out. Due to the simplicity of the approach presented herein and the choice of steps employed in the assay, the system can be very easily automated and integrated into a final device capable of fast and seamless clinical measurements.  </w:t>
      </w:r>
    </w:p>
    <w:p w14:paraId="68262AB4" w14:textId="77777777" w:rsidR="007B007C" w:rsidRPr="005B1CCB" w:rsidRDefault="007B007C" w:rsidP="0052183A">
      <w:pPr>
        <w:spacing w:line="360" w:lineRule="auto"/>
        <w:jc w:val="both"/>
        <w:rPr>
          <w:rFonts w:ascii="Palatino Linotype" w:hAnsi="Palatino Linotype" w:cs="Times New Roman"/>
          <w:sz w:val="24"/>
          <w:szCs w:val="24"/>
        </w:rPr>
      </w:pPr>
    </w:p>
    <w:p w14:paraId="1B412CE9" w14:textId="77777777" w:rsidR="00DE712F" w:rsidRPr="005B1CCB" w:rsidRDefault="008268F2" w:rsidP="00BF381B">
      <w:pPr>
        <w:pStyle w:val="Heading2"/>
      </w:pPr>
      <w:bookmarkStart w:id="162" w:name="_Toc84528122"/>
      <w:r w:rsidRPr="005B1CCB">
        <w:t>M</w:t>
      </w:r>
      <w:r w:rsidR="00DE712F" w:rsidRPr="005B1CCB">
        <w:t>ethods</w:t>
      </w:r>
      <w:bookmarkEnd w:id="162"/>
    </w:p>
    <w:p w14:paraId="2E64A13D" w14:textId="77777777" w:rsidR="009D1181" w:rsidRPr="005B1CCB" w:rsidRDefault="009D1181" w:rsidP="00D71969">
      <w:pPr>
        <w:pStyle w:val="Heading3"/>
      </w:pPr>
      <w:bookmarkStart w:id="163" w:name="_Toc84528123"/>
      <w:r w:rsidRPr="005B1CCB">
        <w:t>Genomic DNA sample preparation</w:t>
      </w:r>
      <w:bookmarkEnd w:id="163"/>
      <w:r w:rsidRPr="005B1CCB">
        <w:t xml:space="preserve">   </w:t>
      </w:r>
    </w:p>
    <w:p w14:paraId="658A7CA5" w14:textId="77777777" w:rsidR="009D1181" w:rsidRPr="005B1CCB" w:rsidRDefault="006D03C3" w:rsidP="009D1181">
      <w:pPr>
        <w:spacing w:line="360" w:lineRule="auto"/>
        <w:jc w:val="both"/>
        <w:rPr>
          <w:rFonts w:ascii="Palatino Linotype" w:hAnsi="Palatino Linotype" w:cs="Times New Roman"/>
          <w:sz w:val="24"/>
          <w:szCs w:val="24"/>
        </w:rPr>
      </w:pPr>
      <w:r>
        <w:rPr>
          <w:rFonts w:ascii="Palatino Linotype" w:hAnsi="Palatino Linotype" w:cs="Times New Roman"/>
          <w:sz w:val="24"/>
          <w:szCs w:val="24"/>
        </w:rPr>
        <w:t xml:space="preserve">   C</w:t>
      </w:r>
      <w:r w:rsidR="009D1181" w:rsidRPr="005B1CCB">
        <w:rPr>
          <w:rFonts w:ascii="Palatino Linotype" w:hAnsi="Palatino Linotype" w:cs="Times New Roman"/>
          <w:sz w:val="24"/>
          <w:szCs w:val="24"/>
        </w:rPr>
        <w:t>opies of the KRAS pG1</w:t>
      </w:r>
      <w:r w:rsidR="0027608B" w:rsidRPr="005B1CCB">
        <w:rPr>
          <w:rFonts w:ascii="Palatino Linotype" w:hAnsi="Palatino Linotype" w:cs="Times New Roman"/>
          <w:sz w:val="24"/>
          <w:szCs w:val="24"/>
        </w:rPr>
        <w:t>3</w:t>
      </w:r>
      <w:r w:rsidR="009D1181" w:rsidRPr="005B1CCB">
        <w:rPr>
          <w:rFonts w:ascii="Palatino Linotype" w:hAnsi="Palatino Linotype" w:cs="Times New Roman"/>
          <w:sz w:val="24"/>
          <w:szCs w:val="24"/>
        </w:rPr>
        <w:t>D mutant and wild-type DNA were amplified from genomic DNA (gDNA) isolated from SK-UT-1 cells.  Levels of both mutant and wild-type DNA were determined using ddPCR assays (KRA p.G1</w:t>
      </w:r>
      <w:r w:rsidR="0027608B" w:rsidRPr="005B1CCB">
        <w:rPr>
          <w:rFonts w:ascii="Palatino Linotype" w:hAnsi="Palatino Linotype" w:cs="Times New Roman"/>
          <w:sz w:val="24"/>
          <w:szCs w:val="24"/>
        </w:rPr>
        <w:t>3</w:t>
      </w:r>
      <w:r w:rsidR="009D1181" w:rsidRPr="005B1CCB">
        <w:rPr>
          <w:rFonts w:ascii="Palatino Linotype" w:hAnsi="Palatino Linotype" w:cs="Times New Roman"/>
          <w:sz w:val="24"/>
          <w:szCs w:val="24"/>
        </w:rPr>
        <w:t>D c.3</w:t>
      </w:r>
      <w:r>
        <w:rPr>
          <w:rFonts w:ascii="Palatino Linotype" w:hAnsi="Palatino Linotype" w:cs="Times New Roman"/>
          <w:sz w:val="24"/>
          <w:szCs w:val="24"/>
        </w:rPr>
        <w:t>8</w:t>
      </w:r>
      <w:r w:rsidR="00DB7F8E" w:rsidRPr="005B1CCB">
        <w:rPr>
          <w:rFonts w:ascii="Palatino Linotype" w:hAnsi="Palatino Linotype" w:cs="Times New Roman"/>
          <w:sz w:val="24"/>
          <w:szCs w:val="24"/>
        </w:rPr>
        <w:t xml:space="preserve"> </w:t>
      </w:r>
      <w:r w:rsidR="009D1181" w:rsidRPr="005B1CCB">
        <w:rPr>
          <w:rFonts w:ascii="Palatino Linotype" w:hAnsi="Palatino Linotype" w:cs="Times New Roman"/>
          <w:sz w:val="24"/>
          <w:szCs w:val="24"/>
        </w:rPr>
        <w:t>G&gt;A, assay ID dHsaCP000001and KRAS WT for p.G1</w:t>
      </w:r>
      <w:r>
        <w:rPr>
          <w:rFonts w:ascii="Palatino Linotype" w:hAnsi="Palatino Linotype" w:cs="Times New Roman"/>
          <w:sz w:val="24"/>
          <w:szCs w:val="24"/>
        </w:rPr>
        <w:t>3</w:t>
      </w:r>
      <w:r w:rsidR="009D1181" w:rsidRPr="005B1CCB">
        <w:rPr>
          <w:rFonts w:ascii="Palatino Linotype" w:hAnsi="Palatino Linotype" w:cs="Times New Roman"/>
          <w:sz w:val="24"/>
          <w:szCs w:val="24"/>
        </w:rPr>
        <w:t>D c.3</w:t>
      </w:r>
      <w:r>
        <w:rPr>
          <w:rFonts w:ascii="Palatino Linotype" w:hAnsi="Palatino Linotype" w:cs="Times New Roman"/>
          <w:sz w:val="24"/>
          <w:szCs w:val="24"/>
        </w:rPr>
        <w:t>8</w:t>
      </w:r>
      <w:r w:rsidR="00DB7F8E" w:rsidRPr="005B1CCB">
        <w:rPr>
          <w:rFonts w:ascii="Palatino Linotype" w:hAnsi="Palatino Linotype" w:cs="Times New Roman"/>
          <w:sz w:val="24"/>
          <w:szCs w:val="24"/>
        </w:rPr>
        <w:t xml:space="preserve"> </w:t>
      </w:r>
      <w:r w:rsidR="009D1181" w:rsidRPr="005B1CCB">
        <w:rPr>
          <w:rFonts w:ascii="Palatino Linotype" w:hAnsi="Palatino Linotype" w:cs="Times New Roman"/>
          <w:sz w:val="24"/>
          <w:szCs w:val="24"/>
        </w:rPr>
        <w:t>G&gt;A, assay ID dHsaCP2000002) in combination with a QX200TM Droplet DigitalTM PCR system (Biorad Laboratories Ltd, UK) following the manufacturer’s instructions.  Briefly, 5-10ng of gDNA isolated from SK-UT-1 cells- was mixed with ddPCR Supermix for probes (N0 dUTP) and florescein amidite (FAM)-labelled KRAS p.G1</w:t>
      </w:r>
      <w:r>
        <w:rPr>
          <w:rFonts w:ascii="Palatino Linotype" w:hAnsi="Palatino Linotype" w:cs="Times New Roman"/>
          <w:sz w:val="24"/>
          <w:szCs w:val="24"/>
        </w:rPr>
        <w:t>3</w:t>
      </w:r>
      <w:r w:rsidR="009D1181" w:rsidRPr="005B1CCB">
        <w:rPr>
          <w:rFonts w:ascii="Palatino Linotype" w:hAnsi="Palatino Linotype" w:cs="Times New Roman"/>
          <w:sz w:val="24"/>
          <w:szCs w:val="24"/>
        </w:rPr>
        <w:t xml:space="preserve">D primers/probe and hexachloro-fluorescein 9 (HEX)-labelled KRAS WT primers/probes, in the presence of restriction enzyme and in a volume of 20μl.  Reaction samples were loaded onto a DG8TM cartridge with 70μL of Droplet Generation Oil for Probes according to the Droplet Generator Instruction Manual (Biorad Laboratories Ltd, UK). PCR cycling conditions for the generated droplets were as follows: initial enzyme activation at 95 </w:t>
      </w:r>
      <w:r w:rsidR="009D1181" w:rsidRPr="005B1CCB">
        <w:rPr>
          <w:rFonts w:ascii="Palatino Linotype" w:hAnsi="Palatino Linotype" w:cs="Times New Roman"/>
          <w:sz w:val="24"/>
          <w:szCs w:val="24"/>
          <w:vertAlign w:val="superscript"/>
        </w:rPr>
        <w:t>o</w:t>
      </w:r>
      <w:r w:rsidR="009D1181" w:rsidRPr="005B1CCB">
        <w:rPr>
          <w:rFonts w:ascii="Palatino Linotype" w:hAnsi="Palatino Linotype" w:cs="Times New Roman"/>
          <w:sz w:val="24"/>
          <w:szCs w:val="24"/>
        </w:rPr>
        <w:t xml:space="preserve">C for 10 minutes, followed by 40 cycles of denaturation at 94 </w:t>
      </w:r>
      <w:r w:rsidR="009D1181" w:rsidRPr="005B1CCB">
        <w:rPr>
          <w:rFonts w:ascii="Palatino Linotype" w:hAnsi="Palatino Linotype" w:cs="Times New Roman"/>
          <w:sz w:val="24"/>
          <w:szCs w:val="24"/>
          <w:vertAlign w:val="superscript"/>
        </w:rPr>
        <w:t>o</w:t>
      </w:r>
      <w:r w:rsidR="009D1181" w:rsidRPr="005B1CCB">
        <w:rPr>
          <w:rFonts w:ascii="Palatino Linotype" w:hAnsi="Palatino Linotype" w:cs="Times New Roman"/>
          <w:sz w:val="24"/>
          <w:szCs w:val="24"/>
        </w:rPr>
        <w:t xml:space="preserve">C for 30 seconds, and annealing/extension at 55 </w:t>
      </w:r>
      <w:r w:rsidR="009D1181" w:rsidRPr="005B1CCB">
        <w:rPr>
          <w:rFonts w:ascii="Palatino Linotype" w:hAnsi="Palatino Linotype" w:cs="Times New Roman"/>
          <w:sz w:val="24"/>
          <w:szCs w:val="24"/>
          <w:vertAlign w:val="superscript"/>
        </w:rPr>
        <w:t>o</w:t>
      </w:r>
      <w:r w:rsidR="009D1181" w:rsidRPr="005B1CCB">
        <w:rPr>
          <w:rFonts w:ascii="Palatino Linotype" w:hAnsi="Palatino Linotype" w:cs="Times New Roman"/>
          <w:sz w:val="24"/>
          <w:szCs w:val="24"/>
        </w:rPr>
        <w:t xml:space="preserve">C for 1 minute, after which ended with a final enzyme deactivation at 98 </w:t>
      </w:r>
      <w:r w:rsidR="009D1181" w:rsidRPr="005B1CCB">
        <w:rPr>
          <w:rFonts w:ascii="Palatino Linotype" w:hAnsi="Palatino Linotype" w:cs="Times New Roman"/>
          <w:sz w:val="24"/>
          <w:szCs w:val="24"/>
          <w:vertAlign w:val="superscript"/>
        </w:rPr>
        <w:t>o</w:t>
      </w:r>
      <w:r w:rsidR="009D1181" w:rsidRPr="005B1CCB">
        <w:rPr>
          <w:rFonts w:ascii="Palatino Linotype" w:hAnsi="Palatino Linotype" w:cs="Times New Roman"/>
          <w:sz w:val="24"/>
          <w:szCs w:val="24"/>
        </w:rPr>
        <w:t>C for 10 minutes. Data acquisition after thermal cycling, was performed using the QX200 Droplet Reader and the QuantaSoft Software (Biorad Laboratories Ltd).</w:t>
      </w:r>
    </w:p>
    <w:p w14:paraId="0CDCBDD5" w14:textId="1B758316" w:rsidR="007B007C" w:rsidRDefault="007B007C" w:rsidP="009D1181">
      <w:pPr>
        <w:spacing w:line="360" w:lineRule="auto"/>
        <w:jc w:val="both"/>
        <w:rPr>
          <w:rFonts w:ascii="Palatino Linotype" w:hAnsi="Palatino Linotype" w:cs="Times New Roman"/>
          <w:sz w:val="24"/>
          <w:szCs w:val="24"/>
        </w:rPr>
      </w:pPr>
    </w:p>
    <w:p w14:paraId="0632B498" w14:textId="77777777" w:rsidR="00BD2F21" w:rsidRPr="005B1CCB" w:rsidRDefault="00BD2F21" w:rsidP="009D1181">
      <w:pPr>
        <w:spacing w:line="360" w:lineRule="auto"/>
        <w:jc w:val="both"/>
        <w:rPr>
          <w:rFonts w:ascii="Palatino Linotype" w:hAnsi="Palatino Linotype" w:cs="Times New Roman"/>
          <w:sz w:val="24"/>
          <w:szCs w:val="24"/>
        </w:rPr>
      </w:pPr>
    </w:p>
    <w:p w14:paraId="0B6B3979" w14:textId="77777777" w:rsidR="008772A5" w:rsidRPr="005B1CCB" w:rsidRDefault="003E71CB" w:rsidP="00D71969">
      <w:pPr>
        <w:pStyle w:val="Heading3"/>
      </w:pPr>
      <w:bookmarkStart w:id="164" w:name="_Toc84528124"/>
      <w:r w:rsidRPr="005B1CCB">
        <w:t xml:space="preserve">KRAS </w:t>
      </w:r>
      <w:r w:rsidR="008772A5" w:rsidRPr="005B1CCB">
        <w:t>G1</w:t>
      </w:r>
      <w:r w:rsidR="002B79C6" w:rsidRPr="005B1CCB">
        <w:t>3</w:t>
      </w:r>
      <w:r w:rsidR="008772A5" w:rsidRPr="005B1CCB">
        <w:t xml:space="preserve">D DNA probe </w:t>
      </w:r>
      <w:r w:rsidR="00FE6E99" w:rsidRPr="005B1CCB">
        <w:t xml:space="preserve">and primer </w:t>
      </w:r>
      <w:r w:rsidR="008772A5" w:rsidRPr="005B1CCB">
        <w:t>design</w:t>
      </w:r>
      <w:bookmarkEnd w:id="164"/>
    </w:p>
    <w:p w14:paraId="2B888710" w14:textId="53A1B51D" w:rsidR="00F44FD5" w:rsidRPr="005B1CCB" w:rsidRDefault="00C750AC" w:rsidP="002A25BE">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8772A5" w:rsidRPr="005B1CCB">
        <w:rPr>
          <w:rFonts w:ascii="Palatino Linotype" w:hAnsi="Palatino Linotype" w:cs="Times New Roman"/>
          <w:sz w:val="24"/>
          <w:szCs w:val="24"/>
        </w:rPr>
        <w:t xml:space="preserve"> </w:t>
      </w:r>
      <w:r w:rsidR="007B007C" w:rsidRPr="005B1CCB">
        <w:rPr>
          <w:rFonts w:ascii="Palatino Linotype" w:hAnsi="Palatino Linotype" w:cs="Times New Roman"/>
          <w:sz w:val="24"/>
          <w:szCs w:val="24"/>
        </w:rPr>
        <w:t xml:space="preserve"> </w:t>
      </w:r>
      <w:r w:rsidR="006D03C3" w:rsidRPr="005B1CCB">
        <w:rPr>
          <w:rFonts w:ascii="Palatino Linotype" w:hAnsi="Palatino Linotype" w:cs="Times New Roman"/>
          <w:sz w:val="24"/>
          <w:szCs w:val="24"/>
        </w:rPr>
        <w:t>Specific probe sequences for the G13D mutant and wild-type KRAS sequences were designed, specifically for optimal discrimination of single base pair changes</w:t>
      </w:r>
      <w:r w:rsidR="006D03C3"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{"citationItems":[{"id":"ITEM-1","itemData":{"DOI":"10.1021/ac060533b","ISBN":"0003-2700","ISSN":"00032700","PMID":"16944889","abstract":"Gold electrode arrays with electrode diameters of 10 mum were used for the detection of eight single-nucleotide mismatches in unlabeled and prehybridized DNA by electrochemical impedance spectroscopy (EIS). Because of the differences in the electrical properties of films of duplex DNA (normal duplex DNA in B-form) in the presence and absence of Zn(2+) at pH &gt; or = 8.6, Randles equivalent circuits were employed to evaluate the EIS results. The difference in the charge-transfer resistance (DeltaR(CT)) between B-DNA (absence of Zn2+ at pH &gt; or = 8.6) and M-DNA (presence of Zn2+ at pH &gt; or = 8.6) allows unequivocal detection of all eight single-nucleotide mismatches within a 20-mer DNA sequence. After dehybridization/rehybridization with target DNA, DeltaR(CT) allows the discrimination of single-nucleotide mismatches with concentrations of the target strand as low as 10 fM. Although the presence of protein impurities (bovine serum albumin, 10 microg/mL) interferes with the detection of the target strand (1 pM detection limit), the presence of nontarget DNA (calf thymus DNA, 10(-8) M) does not interfere, and the detection limit for recognition of the target strand remains at 10 fM.","author":[{"dropping-particle":"","family":"Li","given":"Xiaohong","non-dropping-particle":"","parse-names":false,"suffix":""},{"dropping-particle":"","family":"Lee","given":"Jeremy S.","non-dropping-particle":"","parse-names":false,"suffix":""},{"dropping-particle":"","family":"Kraatz","given":"Heinz Bernhard","non-dropping-particle":"","parse-names":false,"suffix":""}],"container-title":"Analytical Chemistry","id":"ITEM-1","issue":"17","issued":{"date-parts":[["2006"]]},"page":"6096-6101","title":"Electrochemical detection of single-nucleotide mismatches using an electrode microarray","type":"article-journal","volume":"78"},"uris":["http://www.mendeley.com/documents/?uuid=941a0a23-d1c8-438e-af9d-417e9e7e49b1"]}],"mendeley":{"formattedCitation":"[131]","plainTextFormattedCitation":"[131]","previouslyFormattedCitation":"[131]"},"properties":{"noteIndex":0},"schema":"https://github.com/citation-style-language/schema/raw/master/csl-citation.json"}</w:instrText>
      </w:r>
      <w:r w:rsidR="006D03C3"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[131]</w:t>
      </w:r>
      <w:r w:rsidR="006D03C3" w:rsidRPr="005B1CCB">
        <w:rPr>
          <w:rFonts w:ascii="Palatino Linotype" w:hAnsi="Palatino Linotype" w:cs="Times New Roman"/>
          <w:sz w:val="24"/>
          <w:szCs w:val="24"/>
        </w:rPr>
        <w:fldChar w:fldCharType="end"/>
      </w:r>
      <w:r w:rsidR="006D03C3" w:rsidRPr="005B1CCB">
        <w:rPr>
          <w:rFonts w:ascii="Palatino Linotype" w:hAnsi="Palatino Linotype" w:cs="Times New Roman"/>
          <w:sz w:val="24"/>
          <w:szCs w:val="24"/>
        </w:rPr>
        <w:t xml:space="preserve">.  </w:t>
      </w:r>
      <w:r w:rsidR="008772A5" w:rsidRPr="005B1CCB">
        <w:rPr>
          <w:rFonts w:ascii="Palatino Linotype" w:hAnsi="Palatino Linotype" w:cs="Times New Roman"/>
          <w:sz w:val="24"/>
          <w:szCs w:val="24"/>
        </w:rPr>
        <w:t xml:space="preserve">The design of PCR primers and probes used for the analysis in this study was based on the published sequence of KRAS pG13D under accession number </w:t>
      </w:r>
      <w:r w:rsidR="008772A5" w:rsidRPr="005B1CCB">
        <w:rPr>
          <w:rFonts w:ascii="Palatino Linotype" w:hAnsi="Palatino Linotype" w:cs="Times New Roman"/>
          <w:sz w:val="24"/>
          <w:szCs w:val="24"/>
          <w:lang w:val="en-US"/>
        </w:rPr>
        <w:t>NC_000012.12</w:t>
      </w:r>
      <w:r w:rsidR="008772A5" w:rsidRPr="005B1CCB">
        <w:rPr>
          <w:rFonts w:ascii="Palatino Linotype" w:hAnsi="Palatino Linotype" w:cs="Times New Roman"/>
          <w:sz w:val="24"/>
          <w:szCs w:val="24"/>
        </w:rPr>
        <w:t xml:space="preserve">  </w:t>
      </w:r>
      <w:r w:rsidR="008772A5"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{"citationItems":[{"id":"ITEM-1","itemData":{"URL":"https://www.ncbi.nlm.nih.gov/nuccore/NG_007524.2?report=fasta&amp;to=53215","author":[{"dropping-particle":"","family":"NCBI","given":"","non-dropping-particle":"","parse-names":false,"suffix":""}],"container-title":"National Center for Biotechnology Information, U.S. National Library of Medicine","id":"ITEM-1","issued":{"date-parts":[["2019"]]},"title":"Homo sapiens KRAS proto-oncogene, GTPase (KRAS), RefSeqGene (LRG_344) on chromosome 12","type":"webpage"},"uris":["http://www.mendeley.com/documents/?uuid=db3fd062-4afe-488e-aafa-3648164cdce9"]}],"mendeley":{"formattedCitation":"[230]","plainTextFormattedCitation":"[230]","previouslyFormattedCitation":"[230]"},"properties":{"noteIndex":0},"schema":"https://github.com/citation-style-language/schema/raw/master/csl-citation.json"}</w:instrText>
      </w:r>
      <w:r w:rsidR="008772A5"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[230]</w:t>
      </w:r>
      <w:r w:rsidR="008772A5" w:rsidRPr="005B1CCB">
        <w:rPr>
          <w:rFonts w:ascii="Palatino Linotype" w:hAnsi="Palatino Linotype" w:cs="Times New Roman"/>
          <w:sz w:val="24"/>
          <w:szCs w:val="24"/>
        </w:rPr>
        <w:fldChar w:fldCharType="end"/>
      </w:r>
      <w:r w:rsidR="008772A5" w:rsidRPr="005B1CCB">
        <w:rPr>
          <w:rFonts w:ascii="Palatino Linotype" w:hAnsi="Palatino Linotype" w:cs="Times New Roman"/>
          <w:sz w:val="24"/>
          <w:szCs w:val="24"/>
        </w:rPr>
        <w:t xml:space="preserve">. Amine-modified synthetic oligonucleotides (KRAS G13D) designed with 5’ to 3’ ends as shown in </w:t>
      </w:r>
      <w:r w:rsidR="00D26F4A" w:rsidRPr="005B1CCB">
        <w:rPr>
          <w:rFonts w:ascii="Palatino Linotype" w:hAnsi="Palatino Linotype" w:cs="Times New Roman"/>
          <w:sz w:val="24"/>
          <w:szCs w:val="24"/>
        </w:rPr>
        <w:t>T</w:t>
      </w:r>
      <w:r w:rsidR="008772A5" w:rsidRPr="005B1CCB">
        <w:rPr>
          <w:rFonts w:ascii="Palatino Linotype" w:hAnsi="Palatino Linotype" w:cs="Times New Roman"/>
          <w:sz w:val="24"/>
          <w:szCs w:val="24"/>
        </w:rPr>
        <w:t xml:space="preserve">able </w:t>
      </w:r>
      <w:r w:rsidR="00CD7488" w:rsidRPr="005B1CCB">
        <w:rPr>
          <w:rFonts w:ascii="Palatino Linotype" w:hAnsi="Palatino Linotype" w:cs="Times New Roman"/>
          <w:sz w:val="24"/>
          <w:szCs w:val="24"/>
        </w:rPr>
        <w:t>1</w:t>
      </w:r>
      <w:r w:rsidR="00CD7488">
        <w:rPr>
          <w:rFonts w:ascii="Palatino Linotype" w:hAnsi="Palatino Linotype" w:cs="Times New Roman"/>
          <w:sz w:val="24"/>
          <w:szCs w:val="24"/>
        </w:rPr>
        <w:t>3</w:t>
      </w:r>
      <w:r w:rsidR="00CD7488" w:rsidRPr="005B1CCB">
        <w:rPr>
          <w:rFonts w:ascii="Palatino Linotype" w:hAnsi="Palatino Linotype" w:cs="Times New Roman"/>
          <w:sz w:val="24"/>
          <w:szCs w:val="24"/>
        </w:rPr>
        <w:t xml:space="preserve"> </w:t>
      </w:r>
      <w:r w:rsidR="008772A5" w:rsidRPr="005B1CCB">
        <w:rPr>
          <w:rFonts w:ascii="Palatino Linotype" w:hAnsi="Palatino Linotype" w:cs="Times New Roman"/>
          <w:sz w:val="24"/>
          <w:szCs w:val="24"/>
        </w:rPr>
        <w:t>with a concentration of 200µM w</w:t>
      </w:r>
      <w:r w:rsidR="00FE4838" w:rsidRPr="005B1CCB">
        <w:rPr>
          <w:rFonts w:ascii="Palatino Linotype" w:hAnsi="Palatino Linotype" w:cs="Times New Roman"/>
          <w:sz w:val="24"/>
          <w:szCs w:val="24"/>
        </w:rPr>
        <w:t>ere</w:t>
      </w:r>
      <w:r w:rsidR="008772A5" w:rsidRPr="005B1CCB">
        <w:rPr>
          <w:rFonts w:ascii="Palatino Linotype" w:hAnsi="Palatino Linotype" w:cs="Times New Roman"/>
          <w:sz w:val="24"/>
          <w:szCs w:val="24"/>
        </w:rPr>
        <w:t xml:space="preserve"> obtained from Sigma-Aldrich, UK and stored at -80 </w:t>
      </w:r>
      <w:r w:rsidR="008772A5" w:rsidRPr="005B1CCB">
        <w:rPr>
          <w:rFonts w:ascii="Palatino Linotype" w:hAnsi="Palatino Linotype" w:cs="Times New Roman"/>
          <w:sz w:val="24"/>
          <w:szCs w:val="24"/>
          <w:vertAlign w:val="superscript"/>
        </w:rPr>
        <w:t>o</w:t>
      </w:r>
      <w:r w:rsidR="008772A5" w:rsidRPr="005B1CCB">
        <w:rPr>
          <w:rFonts w:ascii="Palatino Linotype" w:hAnsi="Palatino Linotype" w:cs="Times New Roman"/>
          <w:sz w:val="24"/>
          <w:szCs w:val="24"/>
        </w:rPr>
        <w:t xml:space="preserve">C prior to aliquoting for use as probes. A wild-type probe (without the mutant base) was also designed for use as negative control.  DNA probe stocks were </w:t>
      </w:r>
      <w:r w:rsidR="00227920" w:rsidRPr="005B1CCB">
        <w:rPr>
          <w:rFonts w:ascii="Palatino Linotype" w:hAnsi="Palatino Linotype" w:cs="Times New Roman"/>
          <w:sz w:val="24"/>
          <w:szCs w:val="24"/>
        </w:rPr>
        <w:t>diluted to a concentration of 2</w:t>
      </w:r>
      <w:r w:rsidR="008772A5" w:rsidRPr="005B1CCB">
        <w:rPr>
          <w:rFonts w:ascii="Palatino Linotype" w:hAnsi="Palatino Linotype" w:cs="Times New Roman"/>
          <w:sz w:val="24"/>
          <w:szCs w:val="24"/>
        </w:rPr>
        <w:t xml:space="preserve"> µM in 0.1 x PBS just before use. </w:t>
      </w:r>
    </w:p>
    <w:p w14:paraId="2FB23BD1" w14:textId="7DADFB63" w:rsidR="008A73B1" w:rsidRPr="005B1CCB" w:rsidRDefault="008A73B1" w:rsidP="008A73B1">
      <w:pPr>
        <w:pStyle w:val="Caption"/>
        <w:keepNext/>
        <w:jc w:val="center"/>
        <w:rPr>
          <w:sz w:val="22"/>
          <w:szCs w:val="22"/>
        </w:rPr>
      </w:pPr>
      <w:r w:rsidRPr="005B1CCB">
        <w:rPr>
          <w:sz w:val="22"/>
          <w:szCs w:val="22"/>
        </w:rPr>
        <w:t xml:space="preserve">Table </w:t>
      </w:r>
      <w:r w:rsidR="00CD7488" w:rsidRPr="005B1CCB">
        <w:rPr>
          <w:sz w:val="22"/>
          <w:szCs w:val="22"/>
        </w:rPr>
        <w:t>1</w:t>
      </w:r>
      <w:r w:rsidR="00CD7488">
        <w:rPr>
          <w:sz w:val="22"/>
          <w:szCs w:val="22"/>
        </w:rPr>
        <w:t>3</w:t>
      </w:r>
      <w:r w:rsidRPr="005B1CCB">
        <w:rPr>
          <w:sz w:val="22"/>
          <w:szCs w:val="22"/>
        </w:rPr>
        <w:t>: List of</w:t>
      </w:r>
      <w:r w:rsidR="00DD26A8" w:rsidRPr="005B1CCB">
        <w:rPr>
          <w:sz w:val="22"/>
          <w:szCs w:val="22"/>
        </w:rPr>
        <w:t xml:space="preserve"> KRAS </w:t>
      </w:r>
      <w:r w:rsidR="005E13BE" w:rsidRPr="005B1CCB">
        <w:rPr>
          <w:sz w:val="22"/>
          <w:szCs w:val="22"/>
        </w:rPr>
        <w:t>p</w:t>
      </w:r>
      <w:r w:rsidR="00DD26A8" w:rsidRPr="005B1CCB">
        <w:rPr>
          <w:sz w:val="22"/>
          <w:szCs w:val="22"/>
        </w:rPr>
        <w:t>G13D</w:t>
      </w:r>
      <w:r w:rsidRPr="005B1CCB">
        <w:rPr>
          <w:sz w:val="22"/>
          <w:szCs w:val="22"/>
        </w:rPr>
        <w:t xml:space="preserve"> DNA sequences employed in this study.</w:t>
      </w:r>
      <w:r w:rsidR="005E13BE" w:rsidRPr="005B1CCB">
        <w:rPr>
          <w:sz w:val="22"/>
          <w:szCs w:val="22"/>
        </w:rPr>
        <w:t xml:space="preserve"> </w:t>
      </w:r>
    </w:p>
    <w:tbl>
      <w:tblPr>
        <w:tblW w:w="8784" w:type="dxa"/>
        <w:jc w:val="center"/>
        <w:tblLayout w:type="fixed"/>
        <w:tblLook w:val="04A0" w:firstRow="1" w:lastRow="0" w:firstColumn="1" w:lastColumn="0" w:noHBand="0" w:noVBand="1"/>
      </w:tblPr>
      <w:tblGrid>
        <w:gridCol w:w="2830"/>
        <w:gridCol w:w="5954"/>
      </w:tblGrid>
      <w:tr w:rsidR="002A25BE" w:rsidRPr="005B1CCB" w14:paraId="15118EA6" w14:textId="77777777" w:rsidTr="00E53CD2">
        <w:trPr>
          <w:trHeight w:val="416"/>
          <w:jc w:val="center"/>
        </w:trPr>
        <w:tc>
          <w:tcPr>
            <w:tcW w:w="8784" w:type="dxa"/>
            <w:gridSpan w:val="2"/>
          </w:tcPr>
          <w:p w14:paraId="63AD93F2" w14:textId="77777777" w:rsidR="002A25BE" w:rsidRPr="005B1CCB" w:rsidRDefault="002A25BE" w:rsidP="005E13BE">
            <w:pPr>
              <w:spacing w:line="360" w:lineRule="auto"/>
              <w:jc w:val="center"/>
              <w:rPr>
                <w:rFonts w:ascii="Palatino Linotype" w:hAnsi="Palatino Linotype"/>
                <w:b/>
              </w:rPr>
            </w:pPr>
            <w:r w:rsidRPr="005B1CCB">
              <w:rPr>
                <w:rFonts w:ascii="Palatino Linotype" w:hAnsi="Palatino Linotype"/>
                <w:b/>
              </w:rPr>
              <w:t xml:space="preserve">KRAS </w:t>
            </w:r>
            <w:r w:rsidR="009466A9" w:rsidRPr="005B1CCB">
              <w:rPr>
                <w:rFonts w:ascii="Palatino Linotype" w:hAnsi="Palatino Linotype"/>
                <w:b/>
              </w:rPr>
              <w:t>p</w:t>
            </w:r>
            <w:r w:rsidRPr="005B1CCB">
              <w:rPr>
                <w:rFonts w:ascii="Palatino Linotype" w:hAnsi="Palatino Linotype"/>
                <w:b/>
              </w:rPr>
              <w:t>G13D Probe and primer Sequences</w:t>
            </w:r>
          </w:p>
        </w:tc>
      </w:tr>
      <w:tr w:rsidR="002A25BE" w:rsidRPr="005B1CCB" w14:paraId="19A7F623" w14:textId="77777777" w:rsidTr="00E53CD2">
        <w:trPr>
          <w:trHeight w:val="825"/>
          <w:jc w:val="center"/>
        </w:trPr>
        <w:tc>
          <w:tcPr>
            <w:tcW w:w="2830" w:type="dxa"/>
          </w:tcPr>
          <w:p w14:paraId="5D9A20B6"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 xml:space="preserve">23 bases </w:t>
            </w:r>
            <w:r w:rsidR="000B58AE" w:rsidRPr="005B1CCB">
              <w:rPr>
                <w:rFonts w:ascii="Palatino Linotype" w:hAnsi="Palatino Linotype"/>
                <w:b/>
              </w:rPr>
              <w:t>w</w:t>
            </w:r>
            <w:r w:rsidRPr="005B1CCB">
              <w:rPr>
                <w:rFonts w:ascii="Palatino Linotype" w:hAnsi="Palatino Linotype"/>
                <w:b/>
              </w:rPr>
              <w:t>ild</w:t>
            </w:r>
            <w:r w:rsidR="003F353A" w:rsidRPr="005B1CCB">
              <w:rPr>
                <w:rFonts w:ascii="Palatino Linotype" w:hAnsi="Palatino Linotype"/>
                <w:b/>
              </w:rPr>
              <w:t>-</w:t>
            </w:r>
            <w:r w:rsidRPr="005B1CCB">
              <w:rPr>
                <w:rFonts w:ascii="Palatino Linotype" w:hAnsi="Palatino Linotype"/>
                <w:b/>
              </w:rPr>
              <w:t>type hybridisation Probe</w:t>
            </w:r>
          </w:p>
        </w:tc>
        <w:tc>
          <w:tcPr>
            <w:tcW w:w="5954" w:type="dxa"/>
          </w:tcPr>
          <w:p w14:paraId="7CE5DEF9"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TGGAGCTGGTG</w:t>
            </w:r>
            <w:r w:rsidRPr="006D03C3">
              <w:rPr>
                <w:rFonts w:ascii="Palatino Linotype" w:hAnsi="Palatino Linotype"/>
                <w:b/>
                <w:color w:val="00B050"/>
                <w:u w:val="single"/>
              </w:rPr>
              <w:t>G</w:t>
            </w:r>
            <w:r w:rsidRPr="005B1CCB">
              <w:rPr>
                <w:rFonts w:ascii="Palatino Linotype" w:hAnsi="Palatino Linotype"/>
                <w:b/>
              </w:rPr>
              <w:t>CGTAGGCAAGA</w:t>
            </w:r>
          </w:p>
        </w:tc>
      </w:tr>
      <w:tr w:rsidR="002A25BE" w:rsidRPr="005B1CCB" w14:paraId="315DE37C" w14:textId="77777777" w:rsidTr="00E53CD2">
        <w:trPr>
          <w:jc w:val="center"/>
        </w:trPr>
        <w:tc>
          <w:tcPr>
            <w:tcW w:w="2830" w:type="dxa"/>
          </w:tcPr>
          <w:p w14:paraId="5B9A63F8"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23 bases Mutant hybridisation Probe</w:t>
            </w:r>
          </w:p>
        </w:tc>
        <w:tc>
          <w:tcPr>
            <w:tcW w:w="5954" w:type="dxa"/>
          </w:tcPr>
          <w:p w14:paraId="4CFA1755"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TGGAGCTGGTG</w:t>
            </w:r>
            <w:r w:rsidRPr="006D03C3">
              <w:rPr>
                <w:rFonts w:ascii="Palatino Linotype" w:hAnsi="Palatino Linotype"/>
                <w:b/>
                <w:color w:val="FF0000"/>
                <w:u w:val="single"/>
              </w:rPr>
              <w:t>A</w:t>
            </w:r>
            <w:r w:rsidRPr="005B1CCB">
              <w:rPr>
                <w:rFonts w:ascii="Palatino Linotype" w:hAnsi="Palatino Linotype"/>
                <w:b/>
              </w:rPr>
              <w:t>CGTAGGCAAGA</w:t>
            </w:r>
          </w:p>
        </w:tc>
      </w:tr>
      <w:tr w:rsidR="002A25BE" w:rsidRPr="005B1CCB" w14:paraId="19DF2DBF" w14:textId="77777777" w:rsidTr="00E53CD2">
        <w:trPr>
          <w:jc w:val="center"/>
        </w:trPr>
        <w:tc>
          <w:tcPr>
            <w:tcW w:w="2830" w:type="dxa"/>
          </w:tcPr>
          <w:p w14:paraId="79ECCA16" w14:textId="77777777" w:rsidR="002A25BE" w:rsidRPr="005B1CCB" w:rsidRDefault="00021805" w:rsidP="00021805">
            <w:pPr>
              <w:spacing w:line="360" w:lineRule="auto"/>
              <w:jc w:val="center"/>
              <w:rPr>
                <w:rFonts w:ascii="Palatino Linotype" w:hAnsi="Palatino Linotype"/>
                <w:b/>
              </w:rPr>
            </w:pPr>
            <w:r w:rsidRPr="005B1CCB">
              <w:rPr>
                <w:rFonts w:ascii="Palatino Linotype" w:hAnsi="Palatino Linotype"/>
                <w:b/>
              </w:rPr>
              <w:t xml:space="preserve">PCR </w:t>
            </w:r>
            <w:r w:rsidR="002A25BE" w:rsidRPr="005B1CCB">
              <w:rPr>
                <w:rFonts w:ascii="Palatino Linotype" w:hAnsi="Palatino Linotype"/>
                <w:b/>
              </w:rPr>
              <w:t>Forward Primer (</w:t>
            </w:r>
            <w:r w:rsidR="000B58AE" w:rsidRPr="005B1CCB">
              <w:rPr>
                <w:rFonts w:ascii="Palatino Linotype" w:hAnsi="Palatino Linotype"/>
                <w:b/>
              </w:rPr>
              <w:t>wild-</w:t>
            </w:r>
            <w:r w:rsidR="002A25BE" w:rsidRPr="005B1CCB">
              <w:rPr>
                <w:rFonts w:ascii="Palatino Linotype" w:hAnsi="Palatino Linotype"/>
                <w:b/>
              </w:rPr>
              <w:t>type)</w:t>
            </w:r>
          </w:p>
        </w:tc>
        <w:tc>
          <w:tcPr>
            <w:tcW w:w="5954" w:type="dxa"/>
          </w:tcPr>
          <w:p w14:paraId="0C11971F"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TGTGGTAGTTGGAGCTG</w:t>
            </w:r>
            <w:r w:rsidRPr="006D03C3">
              <w:rPr>
                <w:rFonts w:ascii="Palatino Linotype" w:hAnsi="Palatino Linotype"/>
                <w:b/>
                <w:color w:val="00B050"/>
                <w:u w:val="single"/>
              </w:rPr>
              <w:t>G</w:t>
            </w:r>
            <w:r w:rsidRPr="005B1CCB">
              <w:rPr>
                <w:rFonts w:ascii="Palatino Linotype" w:hAnsi="Palatino Linotype"/>
                <w:b/>
              </w:rPr>
              <w:t>TG</w:t>
            </w:r>
          </w:p>
        </w:tc>
      </w:tr>
      <w:tr w:rsidR="002A25BE" w:rsidRPr="005B1CCB" w14:paraId="30E2D612" w14:textId="77777777" w:rsidTr="00E53CD2">
        <w:trPr>
          <w:jc w:val="center"/>
        </w:trPr>
        <w:tc>
          <w:tcPr>
            <w:tcW w:w="2830" w:type="dxa"/>
          </w:tcPr>
          <w:p w14:paraId="21EAB5AE" w14:textId="77777777" w:rsidR="002A25BE" w:rsidRPr="005B1CCB" w:rsidRDefault="00021805" w:rsidP="00021805">
            <w:pPr>
              <w:spacing w:line="360" w:lineRule="auto"/>
              <w:jc w:val="center"/>
              <w:rPr>
                <w:rFonts w:ascii="Palatino Linotype" w:hAnsi="Palatino Linotype"/>
                <w:b/>
              </w:rPr>
            </w:pPr>
            <w:r w:rsidRPr="005B1CCB">
              <w:rPr>
                <w:rFonts w:ascii="Palatino Linotype" w:hAnsi="Palatino Linotype"/>
                <w:b/>
              </w:rPr>
              <w:t xml:space="preserve">PCR </w:t>
            </w:r>
            <w:r w:rsidR="002A25BE" w:rsidRPr="005B1CCB">
              <w:rPr>
                <w:rFonts w:ascii="Palatino Linotype" w:hAnsi="Palatino Linotype"/>
                <w:b/>
              </w:rPr>
              <w:t>Forward Primer (Mutant)</w:t>
            </w:r>
          </w:p>
        </w:tc>
        <w:tc>
          <w:tcPr>
            <w:tcW w:w="5954" w:type="dxa"/>
          </w:tcPr>
          <w:p w14:paraId="44489E04"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TGTGGTAGTTGGAGCTG</w:t>
            </w:r>
            <w:r w:rsidRPr="006D03C3">
              <w:rPr>
                <w:rFonts w:ascii="Palatino Linotype" w:hAnsi="Palatino Linotype"/>
                <w:b/>
                <w:color w:val="FF0000"/>
                <w:u w:val="single"/>
              </w:rPr>
              <w:t>A</w:t>
            </w:r>
            <w:r w:rsidRPr="005B1CCB">
              <w:rPr>
                <w:rFonts w:ascii="Palatino Linotype" w:hAnsi="Palatino Linotype"/>
                <w:b/>
              </w:rPr>
              <w:t>TG</w:t>
            </w:r>
          </w:p>
        </w:tc>
      </w:tr>
      <w:tr w:rsidR="002A25BE" w:rsidRPr="005B1CCB" w14:paraId="135D9959" w14:textId="77777777" w:rsidTr="00E53CD2">
        <w:trPr>
          <w:jc w:val="center"/>
        </w:trPr>
        <w:tc>
          <w:tcPr>
            <w:tcW w:w="2830" w:type="dxa"/>
          </w:tcPr>
          <w:p w14:paraId="093B497C"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PCR Probe (Mutant)</w:t>
            </w:r>
          </w:p>
        </w:tc>
        <w:tc>
          <w:tcPr>
            <w:tcW w:w="5954" w:type="dxa"/>
          </w:tcPr>
          <w:p w14:paraId="427EBE76"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TCTTGCCTACGCCACCAGCTCCA</w:t>
            </w:r>
          </w:p>
        </w:tc>
      </w:tr>
      <w:tr w:rsidR="002A25BE" w:rsidRPr="005B1CCB" w14:paraId="3E01E9EE" w14:textId="77777777" w:rsidTr="00E53CD2">
        <w:trPr>
          <w:jc w:val="center"/>
        </w:trPr>
        <w:tc>
          <w:tcPr>
            <w:tcW w:w="2830" w:type="dxa"/>
          </w:tcPr>
          <w:p w14:paraId="08D0B511" w14:textId="77777777" w:rsidR="002A25BE" w:rsidRPr="005B1CCB" w:rsidRDefault="00021805" w:rsidP="00021805">
            <w:pPr>
              <w:spacing w:line="360" w:lineRule="auto"/>
              <w:jc w:val="center"/>
              <w:rPr>
                <w:rFonts w:ascii="Palatino Linotype" w:hAnsi="Palatino Linotype"/>
                <w:b/>
              </w:rPr>
            </w:pPr>
            <w:r w:rsidRPr="005B1CCB">
              <w:rPr>
                <w:rFonts w:ascii="Palatino Linotype" w:hAnsi="Palatino Linotype"/>
                <w:b/>
              </w:rPr>
              <w:t xml:space="preserve">PCR </w:t>
            </w:r>
            <w:r w:rsidR="002A25BE" w:rsidRPr="005B1CCB">
              <w:rPr>
                <w:rFonts w:ascii="Palatino Linotype" w:hAnsi="Palatino Linotype"/>
                <w:b/>
              </w:rPr>
              <w:t>Reverse</w:t>
            </w:r>
            <w:r w:rsidR="000B58AE" w:rsidRPr="005B1CCB">
              <w:rPr>
                <w:rFonts w:ascii="Palatino Linotype" w:hAnsi="Palatino Linotype"/>
                <w:b/>
              </w:rPr>
              <w:t xml:space="preserve"> </w:t>
            </w:r>
            <w:r w:rsidR="002A25BE" w:rsidRPr="005B1CCB">
              <w:rPr>
                <w:rFonts w:ascii="Palatino Linotype" w:hAnsi="Palatino Linotype"/>
                <w:b/>
              </w:rPr>
              <w:t>Primer</w:t>
            </w:r>
          </w:p>
        </w:tc>
        <w:tc>
          <w:tcPr>
            <w:tcW w:w="5954" w:type="dxa"/>
          </w:tcPr>
          <w:p w14:paraId="49BEF676" w14:textId="77777777" w:rsidR="002A25BE" w:rsidRPr="005B1CCB" w:rsidRDefault="002A25BE" w:rsidP="00021805">
            <w:pPr>
              <w:spacing w:line="360" w:lineRule="auto"/>
              <w:jc w:val="center"/>
              <w:rPr>
                <w:rFonts w:ascii="Palatino Linotype" w:hAnsi="Palatino Linotype"/>
                <w:b/>
              </w:rPr>
            </w:pPr>
            <w:r w:rsidRPr="005B1CCB">
              <w:rPr>
                <w:rFonts w:ascii="Palatino Linotype" w:hAnsi="Palatino Linotype"/>
                <w:b/>
              </w:rPr>
              <w:t>TTGTGGACGAATATGATCCAACA</w:t>
            </w:r>
          </w:p>
        </w:tc>
      </w:tr>
      <w:tr w:rsidR="000B58AE" w:rsidRPr="005B1CCB" w14:paraId="39749DDB" w14:textId="77777777" w:rsidTr="00E53CD2">
        <w:trPr>
          <w:jc w:val="center"/>
        </w:trPr>
        <w:tc>
          <w:tcPr>
            <w:tcW w:w="2830" w:type="dxa"/>
          </w:tcPr>
          <w:p w14:paraId="6A7819DD" w14:textId="77777777" w:rsidR="000B58AE" w:rsidRPr="005B1CCB" w:rsidRDefault="00E53CD2" w:rsidP="00021805">
            <w:pPr>
              <w:jc w:val="center"/>
              <w:rPr>
                <w:rFonts w:ascii="Palatino Linotype" w:eastAsia="Times New Roman" w:hAnsi="Palatino Linotype" w:cs="Arial"/>
                <w:b/>
                <w:lang w:eastAsia="en-GB"/>
              </w:rPr>
            </w:pPr>
            <w:r w:rsidRPr="005B1CCB">
              <w:rPr>
                <w:rFonts w:ascii="Palatino Linotype" w:eastAsia="Times New Roman" w:hAnsi="Palatino Linotype" w:cs="Arial"/>
                <w:b/>
                <w:lang w:eastAsia="en-GB"/>
              </w:rPr>
              <w:t>RPA Forward KRAS Primer</w:t>
            </w:r>
          </w:p>
        </w:tc>
        <w:tc>
          <w:tcPr>
            <w:tcW w:w="5954" w:type="dxa"/>
          </w:tcPr>
          <w:p w14:paraId="1C851B4A" w14:textId="77777777" w:rsidR="000B58AE" w:rsidRPr="005B1CCB" w:rsidRDefault="00E53CD2" w:rsidP="00021805">
            <w:pPr>
              <w:bidi/>
              <w:jc w:val="center"/>
              <w:rPr>
                <w:rFonts w:ascii="Palatino Linotype" w:eastAsia="Times New Roman" w:hAnsi="Palatino Linotype" w:cs="Arial"/>
                <w:b/>
                <w:lang w:eastAsia="en-GB"/>
              </w:rPr>
            </w:pPr>
            <w:r w:rsidRPr="005B1CCB">
              <w:rPr>
                <w:rFonts w:ascii="Palatino Linotype" w:eastAsia="Times New Roman" w:hAnsi="Palatino Linotype" w:cs="Arial"/>
                <w:b/>
                <w:lang w:eastAsia="en-GB"/>
              </w:rPr>
              <w:t>ATCAAAGAATGGTCCTGCACCAGTAATATGC</w:t>
            </w:r>
          </w:p>
        </w:tc>
      </w:tr>
      <w:tr w:rsidR="000B58AE" w:rsidRPr="005B1CCB" w14:paraId="09FAE691" w14:textId="77777777" w:rsidTr="00E53CD2">
        <w:trPr>
          <w:jc w:val="center"/>
        </w:trPr>
        <w:tc>
          <w:tcPr>
            <w:tcW w:w="2830" w:type="dxa"/>
          </w:tcPr>
          <w:p w14:paraId="49D8A855" w14:textId="77777777" w:rsidR="000B58AE" w:rsidRPr="005B1CCB" w:rsidRDefault="00E53CD2" w:rsidP="00E53CD2">
            <w:pPr>
              <w:jc w:val="center"/>
              <w:rPr>
                <w:rFonts w:ascii="Palatino Linotype" w:eastAsia="Times New Roman" w:hAnsi="Palatino Linotype" w:cs="Arial"/>
                <w:b/>
                <w:rtl/>
                <w:lang w:eastAsia="en-GB"/>
              </w:rPr>
            </w:pPr>
            <w:r w:rsidRPr="005B1CCB">
              <w:rPr>
                <w:rFonts w:ascii="Palatino Linotype" w:eastAsia="Times New Roman" w:hAnsi="Palatino Linotype" w:cs="Arial"/>
                <w:b/>
                <w:lang w:eastAsia="en-GB"/>
              </w:rPr>
              <w:t>RPA wild-type Reverse KRAS Primer</w:t>
            </w:r>
          </w:p>
        </w:tc>
        <w:tc>
          <w:tcPr>
            <w:tcW w:w="5954" w:type="dxa"/>
          </w:tcPr>
          <w:p w14:paraId="17BEB38D" w14:textId="77777777" w:rsidR="000B58AE" w:rsidRPr="005B1CCB" w:rsidRDefault="00E53CD2" w:rsidP="00021805">
            <w:pPr>
              <w:jc w:val="center"/>
              <w:rPr>
                <w:rFonts w:ascii="Palatino Linotype" w:eastAsia="Times New Roman" w:hAnsi="Palatino Linotype" w:cs="Arial"/>
                <w:b/>
                <w:color w:val="222222"/>
                <w:lang w:eastAsia="en-GB"/>
              </w:rPr>
            </w:pPr>
            <w:r w:rsidRPr="005B1CCB">
              <w:rPr>
                <w:rFonts w:ascii="Palatino Linotype" w:eastAsia="Times New Roman" w:hAnsi="Palatino Linotype" w:cs="Arial"/>
                <w:b/>
                <w:color w:val="222222"/>
                <w:lang w:eastAsia="en-GB"/>
              </w:rPr>
              <w:t>TGAATATAAACTTGTGGTAGTTGGAGCTG</w:t>
            </w:r>
            <w:r w:rsidRPr="006D03C3">
              <w:rPr>
                <w:rFonts w:ascii="Palatino Linotype" w:eastAsia="Times New Roman" w:hAnsi="Palatino Linotype" w:cs="Arial"/>
                <w:b/>
                <w:color w:val="00B050"/>
                <w:u w:val="single"/>
                <w:lang w:eastAsia="en-GB"/>
              </w:rPr>
              <w:t>G</w:t>
            </w:r>
            <w:r w:rsidRPr="005B1CCB">
              <w:rPr>
                <w:rFonts w:ascii="Palatino Linotype" w:eastAsia="Times New Roman" w:hAnsi="Palatino Linotype" w:cs="Arial"/>
                <w:b/>
                <w:color w:val="222222"/>
                <w:lang w:eastAsia="en-GB"/>
              </w:rPr>
              <w:t>TG</w:t>
            </w:r>
          </w:p>
        </w:tc>
      </w:tr>
      <w:tr w:rsidR="000B58AE" w:rsidRPr="005B1CCB" w14:paraId="5A79CBA5" w14:textId="77777777" w:rsidTr="00E53CD2">
        <w:trPr>
          <w:jc w:val="center"/>
        </w:trPr>
        <w:tc>
          <w:tcPr>
            <w:tcW w:w="2830" w:type="dxa"/>
          </w:tcPr>
          <w:p w14:paraId="796C00F2" w14:textId="77777777" w:rsidR="000B58AE" w:rsidRPr="005B1CCB" w:rsidRDefault="00E53CD2" w:rsidP="00021805">
            <w:pPr>
              <w:jc w:val="center"/>
              <w:rPr>
                <w:rFonts w:ascii="Palatino Linotype" w:eastAsia="Times New Roman" w:hAnsi="Palatino Linotype" w:cs="Arial"/>
                <w:b/>
                <w:lang w:eastAsia="en-GB"/>
              </w:rPr>
            </w:pPr>
            <w:r w:rsidRPr="005B1CCB">
              <w:rPr>
                <w:rFonts w:ascii="Palatino Linotype" w:eastAsia="Times New Roman" w:hAnsi="Palatino Linotype" w:cs="Arial"/>
                <w:b/>
                <w:lang w:eastAsia="en-GB"/>
              </w:rPr>
              <w:t>RPA Mutant KRAS Primer</w:t>
            </w:r>
          </w:p>
        </w:tc>
        <w:tc>
          <w:tcPr>
            <w:tcW w:w="5954" w:type="dxa"/>
          </w:tcPr>
          <w:p w14:paraId="3F6D2D90" w14:textId="77777777" w:rsidR="000B58AE" w:rsidRPr="005B1CCB" w:rsidRDefault="00E53CD2" w:rsidP="00021805">
            <w:pPr>
              <w:bidi/>
              <w:jc w:val="center"/>
              <w:rPr>
                <w:rFonts w:ascii="Palatino Linotype" w:eastAsia="Times New Roman" w:hAnsi="Palatino Linotype" w:cs="Arial"/>
                <w:b/>
                <w:lang w:eastAsia="en-GB"/>
              </w:rPr>
            </w:pPr>
            <w:r w:rsidRPr="005B1CCB">
              <w:rPr>
                <w:rFonts w:ascii="Palatino Linotype" w:eastAsia="Times New Roman" w:hAnsi="Palatino Linotype" w:cs="Arial"/>
                <w:b/>
                <w:lang w:eastAsia="en-GB"/>
              </w:rPr>
              <w:t>TGAATATAAACTTGTGGTAGTTGGAGCTG</w:t>
            </w:r>
            <w:r w:rsidRPr="006D03C3">
              <w:rPr>
                <w:rFonts w:ascii="Palatino Linotype" w:eastAsia="Times New Roman" w:hAnsi="Palatino Linotype" w:cs="Arial"/>
                <w:b/>
                <w:color w:val="FF0000"/>
                <w:u w:val="single"/>
                <w:lang w:eastAsia="en-GB"/>
              </w:rPr>
              <w:t>A</w:t>
            </w:r>
            <w:r w:rsidRPr="005B1CCB">
              <w:rPr>
                <w:rFonts w:ascii="Palatino Linotype" w:eastAsia="Times New Roman" w:hAnsi="Palatino Linotype" w:cs="Arial"/>
                <w:b/>
                <w:lang w:eastAsia="en-GB"/>
              </w:rPr>
              <w:t>TG</w:t>
            </w:r>
          </w:p>
        </w:tc>
      </w:tr>
    </w:tbl>
    <w:p w14:paraId="0D866D15" w14:textId="77777777" w:rsidR="00563016" w:rsidRPr="005B1CCB" w:rsidRDefault="00563016" w:rsidP="00E53CD2">
      <w:pPr>
        <w:spacing w:line="360" w:lineRule="auto"/>
        <w:rPr>
          <w:rFonts w:ascii="Palatino Linotype" w:hAnsi="Palatino Linotype" w:cs="Times New Roman"/>
          <w:sz w:val="24"/>
          <w:szCs w:val="24"/>
        </w:rPr>
      </w:pPr>
    </w:p>
    <w:p w14:paraId="791386EE" w14:textId="77777777" w:rsidR="00EF23AD" w:rsidRPr="005B1CCB" w:rsidRDefault="00C929F6" w:rsidP="00D71969">
      <w:pPr>
        <w:pStyle w:val="Heading3"/>
      </w:pPr>
      <w:bookmarkStart w:id="165" w:name="_Toc84528125"/>
      <w:r w:rsidRPr="005B1CCB">
        <w:t>KRAS G13D amplification</w:t>
      </w:r>
      <w:bookmarkEnd w:id="165"/>
    </w:p>
    <w:p w14:paraId="7D2C6386" w14:textId="0843B275" w:rsidR="007E7D59" w:rsidRPr="005B1CCB" w:rsidRDefault="007E7D59" w:rsidP="007E7D59">
      <w:pPr>
        <w:spacing w:line="360" w:lineRule="auto"/>
        <w:jc w:val="both"/>
        <w:rPr>
          <w:rFonts w:ascii="Palatino Linotype" w:hAnsi="Palatino Linotype" w:cs="Times New Roman"/>
          <w:sz w:val="24"/>
          <w:szCs w:val="24"/>
        </w:rPr>
      </w:pPr>
      <w:r w:rsidRPr="005B1CCB">
        <w:rPr>
          <w:rFonts w:ascii="Palatino Linotype" w:hAnsi="Palatino Linotype" w:cs="Times New Roman"/>
          <w:b/>
          <w:sz w:val="24"/>
          <w:szCs w:val="24"/>
        </w:rPr>
        <w:t>Phusion PCR</w:t>
      </w:r>
      <w:r w:rsidRPr="005B1CCB">
        <w:rPr>
          <w:rFonts w:ascii="Palatino Linotype" w:hAnsi="Palatino Linotype" w:cs="Times New Roman"/>
          <w:sz w:val="24"/>
          <w:szCs w:val="24"/>
        </w:rPr>
        <w:t xml:space="preserve">: </w:t>
      </w:r>
      <w:r w:rsidR="00303074" w:rsidRPr="005B1CCB">
        <w:rPr>
          <w:rFonts w:ascii="Palatino Linotype" w:hAnsi="Palatino Linotype" w:cs="Times New Roman"/>
          <w:sz w:val="24"/>
          <w:szCs w:val="24"/>
        </w:rPr>
        <w:t xml:space="preserve">The quick start protocol and reaction setup guide for the phusion blood direct PCR kit outlined by Thermo fisher, UK </w:t>
      </w:r>
      <w:r w:rsidR="00303074"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{"citationItems":[{"id":"ITEM-1","itemData":{"URL":"https://www.thermofisher.com/order/catalog/product/F547S#/F547S","author":[{"dropping-particle":"","family":"Thermofisher Scientific","given":"","non-dropping-particle":"","parse-names":false,"suffix":""}],"id":"ITEM-1","issued":{"date-parts":[["2019"]]},"title":"Phusion Blood Direct PCR Kit","type":"webpage"},"uris":["http://www.mendeley.com/documents/?uuid=325db232-d7b7-479b-8e1c-dae023ccaa49"]}],"mendeley":{"formattedCitation":"[195]","plainTextFormattedCitation":"[195]","previouslyFormattedCitation":"[195]"},"properties":{"noteIndex":0},"schema":"https://github.com/citation-style-language/schema/raw/master/csl-citation.json"}</w:instrText>
      </w:r>
      <w:r w:rsidR="00303074"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[195]</w:t>
      </w:r>
      <w:r w:rsidR="00303074" w:rsidRPr="005B1CCB">
        <w:rPr>
          <w:rFonts w:ascii="Palatino Linotype" w:hAnsi="Palatino Linotype" w:cs="Times New Roman"/>
          <w:sz w:val="24"/>
          <w:szCs w:val="24"/>
        </w:rPr>
        <w:fldChar w:fldCharType="end"/>
      </w:r>
      <w:r w:rsidR="00303074" w:rsidRPr="005B1CCB">
        <w:rPr>
          <w:rFonts w:ascii="Palatino Linotype" w:hAnsi="Palatino Linotype" w:cs="Times New Roman"/>
          <w:sz w:val="24"/>
          <w:szCs w:val="24"/>
        </w:rPr>
        <w:t xml:space="preserve">  was used to amplify the mutants in the total isolated DNA. 2x Phusion blood PCR Buffer, Phusion blood II DNA polymerase, MgCl</w:t>
      </w:r>
      <w:r w:rsidR="00303074" w:rsidRPr="005B1CCB">
        <w:rPr>
          <w:rFonts w:ascii="Palatino Linotype" w:hAnsi="Palatino Linotype" w:cs="Times New Roman"/>
          <w:sz w:val="24"/>
          <w:szCs w:val="24"/>
          <w:vertAlign w:val="subscript"/>
        </w:rPr>
        <w:t>2</w:t>
      </w:r>
      <w:r w:rsidR="00303074" w:rsidRPr="005B1CCB">
        <w:rPr>
          <w:rFonts w:ascii="Palatino Linotype" w:hAnsi="Palatino Linotype" w:cs="Times New Roman"/>
          <w:sz w:val="24"/>
          <w:szCs w:val="24"/>
        </w:rPr>
        <w:t xml:space="preserve">, EDTA, DMSO, and primer solutions with varied volumes and concentrations were all included in the reaction mix and dispensed into appropriate PCR tubes. </w:t>
      </w:r>
      <w:r w:rsidRPr="005B1CCB">
        <w:rPr>
          <w:rFonts w:ascii="Palatino Linotype" w:hAnsi="Palatino Linotype" w:cs="Times New Roman"/>
          <w:sz w:val="24"/>
          <w:szCs w:val="24"/>
        </w:rPr>
        <w:t xml:space="preserve">Template DNA (≤1 μg/100 μl reaction) was added to the individual PCR tubes containing the reaction mix and the thermal cycler was programmed to start with an initial heat-activation step at 95 °C for 5 minutes. Temperatures specifications for denaturing, annealing and extending were set at 1 minute for 94 </w:t>
      </w:r>
      <w:r w:rsidRPr="005B1CCB">
        <w:rPr>
          <w:rFonts w:ascii="Times New Roman" w:hAnsi="Times New Roman" w:cs="Times New Roman"/>
          <w:sz w:val="24"/>
          <w:szCs w:val="24"/>
        </w:rPr>
        <w:t>ᴼ</w:t>
      </w:r>
      <w:r w:rsidRPr="005B1CCB">
        <w:rPr>
          <w:rFonts w:ascii="Palatino Linotype" w:hAnsi="Palatino Linotype" w:cs="Times New Roman"/>
          <w:sz w:val="24"/>
          <w:szCs w:val="24"/>
        </w:rPr>
        <w:t xml:space="preserve">C, 65 </w:t>
      </w:r>
      <w:r w:rsidRPr="005B1CCB">
        <w:rPr>
          <w:rFonts w:ascii="Times New Roman" w:hAnsi="Times New Roman" w:cs="Times New Roman"/>
          <w:sz w:val="24"/>
          <w:szCs w:val="24"/>
        </w:rPr>
        <w:t>ᴼ</w:t>
      </w:r>
      <w:r w:rsidRPr="005B1CCB">
        <w:rPr>
          <w:rFonts w:ascii="Palatino Linotype" w:hAnsi="Palatino Linotype" w:cs="Times New Roman"/>
          <w:sz w:val="24"/>
          <w:szCs w:val="24"/>
        </w:rPr>
        <w:t xml:space="preserve">C and 72 </w:t>
      </w:r>
      <w:r w:rsidRPr="005B1CCB">
        <w:rPr>
          <w:rFonts w:ascii="Times New Roman" w:hAnsi="Times New Roman" w:cs="Times New Roman"/>
          <w:sz w:val="24"/>
          <w:szCs w:val="24"/>
        </w:rPr>
        <w:t>ᴼ</w:t>
      </w:r>
      <w:r w:rsidRPr="005B1CCB">
        <w:rPr>
          <w:rFonts w:ascii="Palatino Linotype" w:hAnsi="Palatino Linotype" w:cs="Times New Roman"/>
          <w:sz w:val="24"/>
          <w:szCs w:val="24"/>
        </w:rPr>
        <w:t xml:space="preserve">C respectively. A final extension for 10 minutes at 72 </w:t>
      </w:r>
      <w:r w:rsidRPr="005B1CCB">
        <w:rPr>
          <w:rFonts w:ascii="Times New Roman" w:hAnsi="Times New Roman" w:cs="Times New Roman"/>
          <w:sz w:val="24"/>
          <w:szCs w:val="24"/>
        </w:rPr>
        <w:t>ᴼ</w:t>
      </w:r>
      <w:r w:rsidRPr="005B1CCB">
        <w:rPr>
          <w:rFonts w:ascii="Palatino Linotype" w:hAnsi="Palatino Linotype" w:cs="Times New Roman"/>
          <w:sz w:val="24"/>
          <w:szCs w:val="24"/>
        </w:rPr>
        <w:t xml:space="preserve">C was set and PCR conditions were adjusted. </w:t>
      </w:r>
      <w:r w:rsidR="00DE2F52" w:rsidRPr="005B1CCB">
        <w:rPr>
          <w:rFonts w:ascii="Palatino Linotype" w:hAnsi="Palatino Linotype" w:cs="Times New Roman"/>
          <w:sz w:val="24"/>
          <w:szCs w:val="24"/>
        </w:rPr>
        <w:t xml:space="preserve">Phusion </w:t>
      </w:r>
      <w:r w:rsidRPr="005B1CCB">
        <w:rPr>
          <w:rFonts w:ascii="Palatino Linotype" w:hAnsi="Palatino Linotype" w:cs="Times New Roman"/>
          <w:sz w:val="24"/>
          <w:szCs w:val="24"/>
        </w:rPr>
        <w:t xml:space="preserve">PCR was performed using the mini-PCR thermal cycler and PCR amplification products were confirmed using mini-PCR </w:t>
      </w:r>
      <w:r w:rsidR="003D72B2" w:rsidRPr="005B1CCB">
        <w:rPr>
          <w:rFonts w:ascii="Palatino Linotype" w:hAnsi="Palatino Linotype" w:cs="Times New Roman"/>
          <w:sz w:val="24"/>
          <w:szCs w:val="24"/>
        </w:rPr>
        <w:t xml:space="preserve">blueGel at 1 </w:t>
      </w:r>
      <w:r w:rsidRPr="005B1CCB">
        <w:rPr>
          <w:rFonts w:ascii="Palatino Linotype" w:hAnsi="Palatino Linotype" w:cs="Times New Roman"/>
          <w:sz w:val="24"/>
          <w:szCs w:val="24"/>
        </w:rPr>
        <w:t xml:space="preserve">% agarose gel electrophoresis at 140 V for 40 minutes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minipcr.com/","accessed":{"date-parts":[["2019","10","7"]]},"author":[{"dropping-particle":"","family":"Amplyus","given":"","non-dropping-particle":"","parse-names":false,"suffix":""}],"id":"ITEM-1","issued":{"date-parts":[["2017"]]},"title":"bluegel-electrophoresis","type":"webpage"},"uris":["http://www.mendeley.com/documents/?uuid=10579040-c81a-4c66-a7cf-330444ee6768"]}],"mendeley":{"formattedCitation":"[196]","plainTextFormattedCitation":"[196]","previouslyFormattedCitation":"[196]"},"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[196]</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p>
    <w:p w14:paraId="2AF310AE" w14:textId="77777777" w:rsidR="007D6386" w:rsidRPr="005B1CCB" w:rsidRDefault="007D6386" w:rsidP="007E7D59">
      <w:pPr>
        <w:spacing w:line="360" w:lineRule="auto"/>
        <w:jc w:val="both"/>
        <w:rPr>
          <w:rFonts w:ascii="Palatino Linotype" w:hAnsi="Palatino Linotype" w:cs="Times New Roman"/>
          <w:sz w:val="24"/>
          <w:szCs w:val="24"/>
        </w:rPr>
      </w:pPr>
    </w:p>
    <w:p w14:paraId="49D3A692" w14:textId="5FC2AC4D" w:rsidR="00C929F6" w:rsidRPr="005B1CCB" w:rsidRDefault="008421B1" w:rsidP="008421B1">
      <w:pPr>
        <w:spacing w:line="360" w:lineRule="auto"/>
        <w:jc w:val="both"/>
        <w:rPr>
          <w:rFonts w:ascii="Palatino Linotype" w:hAnsi="Palatino Linotype" w:cs="Times New Roman"/>
          <w:sz w:val="24"/>
          <w:szCs w:val="24"/>
        </w:rPr>
      </w:pPr>
      <w:r w:rsidRPr="005B1CCB">
        <w:rPr>
          <w:rFonts w:ascii="Palatino Linotype" w:hAnsi="Palatino Linotype" w:cs="Times New Roman"/>
          <w:b/>
          <w:sz w:val="24"/>
          <w:szCs w:val="24"/>
        </w:rPr>
        <w:t>RPA isothermal amplification</w:t>
      </w:r>
      <w:r w:rsidRPr="005B1CCB">
        <w:rPr>
          <w:rFonts w:ascii="Palatino Linotype" w:hAnsi="Palatino Linotype" w:cs="Times New Roman"/>
          <w:sz w:val="24"/>
          <w:szCs w:val="24"/>
        </w:rPr>
        <w:t>:</w:t>
      </w:r>
      <w:r w:rsidR="00BD7759"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The quick start protocol and reaction setup guide for the TwistDx kit as outlined by TwistDx limited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twistdx.co.uk/en/rpa","author":[{"dropping-particle":"","family":"Limited","given":"TwistDx","non-dropping-particle":"","parse-names":false,"suffix":""}],"id":"ITEM-1","issued":{"date-parts":[["2020"]]},"title":"TwistDx","type":"webpage"},"uris":["http://www.mendeley.com/documents/?uuid=240a0d9c-e2fa-43a2-9f77-e0134080973e"]}],"mendeley":{"formattedCitation":"[139]","plainTextFormattedCitation":"[139]","previouslyFormattedCitation":"[139]"},"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[139]</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was used to amplify the mutants in the total isolated DNA. 2x PCR Buffer, dNTP mix, 10x basic E-mix, core reaction mix, master mix, MgOAc, and primer solutions with varied volumes and concentrations were all included in the reaction mix and dispensed into appropriate PCR tubes.  Template DNA (≤1 μg/100 μl reaction) was added to the individual PCR tubes containing the reaction mix. RPA was performed using the mini-PCR thermal cycler at a constant temperature of 40 </w:t>
      </w:r>
      <w:r w:rsidRPr="005B1CCB">
        <w:rPr>
          <w:rFonts w:ascii="Times New Roman" w:hAnsi="Times New Roman" w:cs="Times New Roman"/>
          <w:sz w:val="24"/>
          <w:szCs w:val="24"/>
        </w:rPr>
        <w:t>ᴼ</w:t>
      </w:r>
      <w:r w:rsidRPr="005B1CCB">
        <w:rPr>
          <w:rFonts w:ascii="Palatino Linotype" w:hAnsi="Palatino Linotype" w:cs="Times New Roman"/>
          <w:sz w:val="24"/>
          <w:szCs w:val="24"/>
        </w:rPr>
        <w:t xml:space="preserve">C for 30 minutes. RPA amplification products were confirmed using mini-PCR blueGel at 1 % agarose gel electrophoresis at 140 V for 40 minutes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minipcr.com/","accessed":{"date-parts":[["2019","10","7"]]},"author":[{"dropping-particle":"","family":"Amplyus","given":"","non-dropping-particle":"","parse-names":false,"suffix":""}],"id":"ITEM-1","issued":{"date-parts":[["2017"]]},"title":"bluegel-electrophoresis","type":"webpage"},"uris":["http://www.mendeley.com/documents/?uuid=10579040-c81a-4c66-a7cf-330444ee6768"]}],"mendeley":{"formattedCitation":"[196]","plainTextFormattedCitation":"[196]","previouslyFormattedCitation":"[196]"},"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[196]</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w:t>
      </w:r>
    </w:p>
    <w:p w14:paraId="57AA1431" w14:textId="77777777" w:rsidR="008421B1" w:rsidRPr="005B1CCB" w:rsidRDefault="008421B1" w:rsidP="008421B1">
      <w:pPr>
        <w:spacing w:line="360" w:lineRule="auto"/>
        <w:jc w:val="both"/>
        <w:rPr>
          <w:rFonts w:ascii="Palatino Linotype" w:hAnsi="Palatino Linotype" w:cs="Times New Roman"/>
          <w:sz w:val="24"/>
          <w:szCs w:val="24"/>
        </w:rPr>
      </w:pPr>
    </w:p>
    <w:p w14:paraId="32D57DE2" w14:textId="77777777" w:rsidR="00D1578D" w:rsidRPr="005B1CCB" w:rsidRDefault="00D1578D" w:rsidP="00D71969">
      <w:pPr>
        <w:pStyle w:val="Heading3"/>
      </w:pPr>
      <w:bookmarkStart w:id="166" w:name="_Toc84528126"/>
      <w:r w:rsidRPr="005B1CCB">
        <w:t>Electrochemical Measurements and Surface Functionalisation</w:t>
      </w:r>
      <w:bookmarkEnd w:id="166"/>
    </w:p>
    <w:p w14:paraId="434B1806" w14:textId="77777777" w:rsidR="00D1578D" w:rsidRPr="005B1CCB" w:rsidRDefault="00CF553B" w:rsidP="00A01D25">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D1578D" w:rsidRPr="005B1CCB">
        <w:rPr>
          <w:rFonts w:ascii="Palatino Linotype" w:hAnsi="Palatino Linotype"/>
          <w:sz w:val="24"/>
          <w:szCs w:val="24"/>
        </w:rPr>
        <w:t xml:space="preserve">DNA hybridisation experiments were performed using a covalently attached layer of single stranded DNA probes.  The surface functionalisation protocol is illustrated in </w:t>
      </w:r>
      <w:r w:rsidR="008754B4" w:rsidRPr="005B1CCB">
        <w:rPr>
          <w:rFonts w:ascii="Palatino Linotype" w:hAnsi="Palatino Linotype"/>
          <w:sz w:val="24"/>
          <w:szCs w:val="24"/>
        </w:rPr>
        <w:t>F</w:t>
      </w:r>
      <w:r w:rsidR="00D1578D" w:rsidRPr="005B1CCB">
        <w:rPr>
          <w:rFonts w:ascii="Palatino Linotype" w:hAnsi="Palatino Linotype"/>
          <w:sz w:val="24"/>
          <w:szCs w:val="24"/>
        </w:rPr>
        <w:t xml:space="preserve">igure </w:t>
      </w:r>
      <w:r w:rsidR="008754B4" w:rsidRPr="005B1CCB">
        <w:rPr>
          <w:rFonts w:ascii="Palatino Linotype" w:hAnsi="Palatino Linotype"/>
          <w:sz w:val="24"/>
          <w:szCs w:val="24"/>
        </w:rPr>
        <w:t xml:space="preserve">9. </w:t>
      </w:r>
      <w:r w:rsidR="00D1578D" w:rsidRPr="005B1CCB">
        <w:rPr>
          <w:rFonts w:ascii="Palatino Linotype" w:hAnsi="Palatino Linotype"/>
          <w:sz w:val="24"/>
          <w:szCs w:val="24"/>
        </w:rPr>
        <w:t xml:space="preserve"> To prepare the surface of the carbon electrodes for DNA probe attachment it was necessary to first use a surface pre</w:t>
      </w:r>
      <w:r w:rsidR="004F7520" w:rsidRPr="005B1CCB">
        <w:rPr>
          <w:rFonts w:ascii="Palatino Linotype" w:hAnsi="Palatino Linotype"/>
          <w:sz w:val="24"/>
          <w:szCs w:val="24"/>
        </w:rPr>
        <w:t>-</w:t>
      </w:r>
      <w:r w:rsidR="00D1578D" w:rsidRPr="005B1CCB">
        <w:rPr>
          <w:rFonts w:ascii="Palatino Linotype" w:hAnsi="Palatino Linotype"/>
          <w:sz w:val="24"/>
          <w:szCs w:val="24"/>
        </w:rPr>
        <w:t>treatment by applying 1.4 V for 1 min in 0.5 M acetate buffer solution (ABS) containing 20 mM NaCl 8 (pH 4.8) via CV. Next, 2 mM NaNO</w:t>
      </w:r>
      <w:r w:rsidR="00D1578D" w:rsidRPr="005B1CCB">
        <w:rPr>
          <w:rFonts w:ascii="Palatino Linotype" w:hAnsi="Palatino Linotype"/>
          <w:sz w:val="24"/>
          <w:szCs w:val="24"/>
          <w:vertAlign w:val="subscript"/>
        </w:rPr>
        <w:t>2</w:t>
      </w:r>
      <w:r w:rsidR="00D1578D" w:rsidRPr="005B1CCB">
        <w:rPr>
          <w:rFonts w:ascii="Palatino Linotype" w:hAnsi="Palatino Linotype"/>
          <w:sz w:val="24"/>
          <w:szCs w:val="24"/>
        </w:rPr>
        <w:t xml:space="preserve"> solution with 2 mM 4-aminobenzoic acid was prepared in 0.5 M HCl. and stirred for about 5 mins at room temperature to produce a diazonium compound. The activated diazonium solution was then scanned using CV from +0.4 to -0.6 V at a scan rate of 100mV/s followed by a wash with DI water.  The resulting 4-carboxyphenyl (AP) film was activated on the electrode surface with 100 mM EDC and 20 mM NHS in 100 mM MES buffer (pH 5.0) for 60 minutes to form an ester that allowed for efficient conjugation to the amine-modified ssDNA probe. </w:t>
      </w:r>
      <w:r w:rsidR="008733F4" w:rsidRPr="005B1CCB">
        <w:rPr>
          <w:rFonts w:ascii="Palatino Linotype" w:hAnsi="Palatino Linotype"/>
          <w:sz w:val="24"/>
          <w:szCs w:val="24"/>
        </w:rPr>
        <w:t xml:space="preserve">Work done using CNT-modified SPCEs involved an electrode activation step using NaOH (Described in section 3.2.7) prior to the functionalisation procedure stated above. </w:t>
      </w:r>
      <w:r w:rsidR="00D1578D" w:rsidRPr="005B1CCB">
        <w:rPr>
          <w:rFonts w:ascii="Palatino Linotype" w:hAnsi="Palatino Linotype"/>
          <w:sz w:val="24"/>
          <w:szCs w:val="24"/>
        </w:rPr>
        <w:t>Ferricyanide buffer (</w:t>
      </w:r>
      <w:r w:rsidR="00FA0246" w:rsidRPr="005B1CCB">
        <w:rPr>
          <w:rFonts w:ascii="Palatino Linotype" w:hAnsi="Palatino Linotype"/>
          <w:sz w:val="24"/>
          <w:szCs w:val="24"/>
        </w:rPr>
        <w:t>5</w:t>
      </w:r>
      <w:r w:rsidR="00D1578D" w:rsidRPr="005B1CCB">
        <w:rPr>
          <w:rFonts w:ascii="Palatino Linotype" w:hAnsi="Palatino Linotype"/>
          <w:sz w:val="24"/>
          <w:szCs w:val="24"/>
        </w:rPr>
        <w:t>µM) was used to characterise the sensor surface. Unless specifically stated, all the reported steps and measurements were carried out at room temperature.</w:t>
      </w:r>
    </w:p>
    <w:p w14:paraId="32E57E9D" w14:textId="77777777" w:rsidR="00CB18A1" w:rsidRPr="005B1CCB" w:rsidRDefault="00CB18A1" w:rsidP="00A01D25">
      <w:pPr>
        <w:spacing w:line="360" w:lineRule="auto"/>
        <w:jc w:val="both"/>
        <w:rPr>
          <w:rFonts w:ascii="Palatino Linotype" w:hAnsi="Palatino Linotype"/>
          <w:sz w:val="24"/>
          <w:szCs w:val="24"/>
        </w:rPr>
      </w:pPr>
    </w:p>
    <w:p w14:paraId="29371E1C" w14:textId="77777777" w:rsidR="00227920" w:rsidRPr="005B1CCB" w:rsidRDefault="00CB18A1" w:rsidP="00D02A48">
      <w:pPr>
        <w:pStyle w:val="Heading3"/>
      </w:pPr>
      <w:bookmarkStart w:id="167" w:name="_Toc84528127"/>
      <w:r w:rsidRPr="005B1CCB">
        <w:t>Work-flow</w:t>
      </w:r>
      <w:bookmarkEnd w:id="167"/>
      <w:r w:rsidRPr="005B1CCB">
        <w:t xml:space="preserve"> </w:t>
      </w:r>
    </w:p>
    <w:p w14:paraId="428AE02E" w14:textId="77777777" w:rsidR="008D05AB" w:rsidRPr="005B1CCB" w:rsidRDefault="008D05AB" w:rsidP="00CB18A1">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CB18A1" w:rsidRPr="005B1CCB">
        <w:rPr>
          <w:rFonts w:ascii="Palatino Linotype" w:hAnsi="Palatino Linotype"/>
          <w:sz w:val="24"/>
          <w:szCs w:val="24"/>
          <w:lang w:bidi="en-US"/>
        </w:rPr>
        <w:t>Comparison betw</w:t>
      </w:r>
      <w:r w:rsidR="00D637C9" w:rsidRPr="005B1CCB">
        <w:rPr>
          <w:rFonts w:ascii="Palatino Linotype" w:hAnsi="Palatino Linotype"/>
          <w:sz w:val="24"/>
          <w:szCs w:val="24"/>
          <w:lang w:bidi="en-US"/>
        </w:rPr>
        <w:t>een NaCl and NaOH pre-treatment</w:t>
      </w:r>
      <w:r w:rsidR="00D16355" w:rsidRPr="005B1CCB">
        <w:rPr>
          <w:rFonts w:ascii="Palatino Linotype" w:hAnsi="Palatino Linotype"/>
          <w:sz w:val="24"/>
          <w:szCs w:val="24"/>
          <w:lang w:bidi="en-US"/>
        </w:rPr>
        <w:t xml:space="preserve"> </w:t>
      </w:r>
      <w:r w:rsidR="00D637C9" w:rsidRPr="005B1CCB">
        <w:rPr>
          <w:rFonts w:ascii="Palatino Linotype" w:hAnsi="Palatino Linotype"/>
          <w:sz w:val="24"/>
          <w:szCs w:val="24"/>
          <w:lang w:bidi="en-US"/>
        </w:rPr>
        <w:t xml:space="preserve">effects </w:t>
      </w:r>
      <w:r w:rsidRPr="005B1CCB">
        <w:rPr>
          <w:rFonts w:ascii="Palatino Linotype" w:hAnsi="Palatino Linotype"/>
          <w:sz w:val="24"/>
          <w:szCs w:val="24"/>
          <w:lang w:bidi="en-US"/>
        </w:rPr>
        <w:t xml:space="preserve">on DNA hybridisation was carried out for </w:t>
      </w:r>
      <w:r w:rsidR="00E2567F" w:rsidRPr="005B1CCB">
        <w:rPr>
          <w:rFonts w:ascii="Palatino Linotype" w:hAnsi="Palatino Linotype"/>
          <w:sz w:val="24"/>
          <w:szCs w:val="24"/>
          <w:lang w:bidi="en-US"/>
        </w:rPr>
        <w:t xml:space="preserve">further </w:t>
      </w:r>
      <w:r w:rsidRPr="005B1CCB">
        <w:rPr>
          <w:rFonts w:ascii="Palatino Linotype" w:hAnsi="Palatino Linotype"/>
          <w:sz w:val="24"/>
          <w:szCs w:val="24"/>
          <w:lang w:bidi="en-US"/>
        </w:rPr>
        <w:t xml:space="preserve">SPCE assay development </w:t>
      </w:r>
      <w:r w:rsidR="00E2567F" w:rsidRPr="005B1CCB">
        <w:rPr>
          <w:rFonts w:ascii="Palatino Linotype" w:hAnsi="Palatino Linotype"/>
          <w:sz w:val="24"/>
          <w:szCs w:val="24"/>
          <w:lang w:bidi="en-US"/>
        </w:rPr>
        <w:t xml:space="preserve">tailored for KRAS pG13D </w:t>
      </w:r>
      <w:r w:rsidR="00D16355" w:rsidRPr="005B1CCB">
        <w:rPr>
          <w:rFonts w:ascii="Palatino Linotype" w:hAnsi="Palatino Linotype"/>
          <w:sz w:val="24"/>
          <w:szCs w:val="24"/>
          <w:lang w:bidi="en-US"/>
        </w:rPr>
        <w:t xml:space="preserve">using </w:t>
      </w:r>
      <w:r w:rsidRPr="005B1CCB">
        <w:rPr>
          <w:rFonts w:ascii="Palatino Linotype" w:hAnsi="Palatino Linotype"/>
          <w:sz w:val="24"/>
          <w:szCs w:val="24"/>
          <w:lang w:bidi="en-US"/>
        </w:rPr>
        <w:t>custom made KRAS pG13D oligonucleotides. These measurements were recorded using SWV.  Sensor reproducibility was explored by recording DPV measurements simultaneously on multi-SPCEs. The assay was optimised by comparing pre-treatment (NaCl and NaOH) effects and redox buffers (1mM ferri-ferrocyanide and 1mM ruthenium hexamine) on DNA hybridisation using pG13D oligonucleotide probes.</w:t>
      </w:r>
      <w:r w:rsidR="00E2567F" w:rsidRPr="005B1CCB">
        <w:rPr>
          <w:rFonts w:ascii="Palatino Linotype" w:hAnsi="Palatino Linotype"/>
          <w:sz w:val="24"/>
          <w:szCs w:val="24"/>
          <w:lang w:bidi="en-US"/>
        </w:rPr>
        <w:t xml:space="preserve"> These measurements were recorded using CV. ddPCR was used to quantify the copies of KRAS pG13D mutant and KRAS wild-type DNA in the representative clinical samples prepared. </w:t>
      </w:r>
      <w:r w:rsidR="00070D11" w:rsidRPr="005B1CCB">
        <w:rPr>
          <w:rFonts w:ascii="Palatino Linotype" w:hAnsi="Palatino Linotype"/>
          <w:sz w:val="24"/>
          <w:szCs w:val="24"/>
          <w:lang w:bidi="en-US"/>
        </w:rPr>
        <w:t xml:space="preserve">Amplification of the mutant KRAS was carried out using </w:t>
      </w:r>
      <w:r w:rsidR="00D245A7" w:rsidRPr="005B1CCB">
        <w:rPr>
          <w:rFonts w:ascii="Palatino Linotype" w:hAnsi="Palatino Linotype"/>
          <w:sz w:val="24"/>
          <w:szCs w:val="24"/>
          <w:lang w:bidi="en-US"/>
        </w:rPr>
        <w:t xml:space="preserve">a </w:t>
      </w:r>
      <w:r w:rsidR="006E182D" w:rsidRPr="005B1CCB">
        <w:rPr>
          <w:rFonts w:ascii="Palatino Linotype" w:hAnsi="Palatino Linotype"/>
          <w:sz w:val="24"/>
          <w:szCs w:val="24"/>
          <w:lang w:bidi="en-US"/>
        </w:rPr>
        <w:t xml:space="preserve">phusion PCR </w:t>
      </w:r>
      <w:r w:rsidR="00D245A7" w:rsidRPr="005B1CCB">
        <w:rPr>
          <w:rFonts w:ascii="Palatino Linotype" w:hAnsi="Palatino Linotype"/>
          <w:sz w:val="24"/>
          <w:szCs w:val="24"/>
          <w:lang w:bidi="en-US"/>
        </w:rPr>
        <w:t>kit</w:t>
      </w:r>
      <w:r w:rsidR="006E182D" w:rsidRPr="005B1CCB">
        <w:rPr>
          <w:rFonts w:ascii="Palatino Linotype" w:hAnsi="Palatino Linotype"/>
          <w:sz w:val="24"/>
          <w:szCs w:val="24"/>
          <w:lang w:bidi="en-US"/>
        </w:rPr>
        <w:t xml:space="preserve"> using the protocol outlined in </w:t>
      </w:r>
      <w:r w:rsidR="00D245A7" w:rsidRPr="005B1CCB">
        <w:rPr>
          <w:rFonts w:ascii="Palatino Linotype" w:hAnsi="Palatino Linotype"/>
          <w:sz w:val="24"/>
          <w:szCs w:val="24"/>
          <w:lang w:bidi="en-US"/>
        </w:rPr>
        <w:t>section 3.2.11</w:t>
      </w:r>
      <w:r w:rsidR="006E182D" w:rsidRPr="005B1CCB">
        <w:rPr>
          <w:rFonts w:ascii="Palatino Linotype" w:hAnsi="Palatino Linotype"/>
          <w:sz w:val="24"/>
          <w:szCs w:val="24"/>
          <w:lang w:bidi="en-US"/>
        </w:rPr>
        <w:t>. Gel electrophoresis and Qubit fluorometer was used to confirm the presence of amplicons</w:t>
      </w:r>
      <w:r w:rsidR="00DB7748" w:rsidRPr="005B1CCB">
        <w:rPr>
          <w:rFonts w:ascii="Palatino Linotype" w:hAnsi="Palatino Linotype"/>
          <w:sz w:val="24"/>
          <w:szCs w:val="24"/>
          <w:lang w:bidi="en-US"/>
        </w:rPr>
        <w:t xml:space="preserve"> and all amplicons were denatured at 95</w:t>
      </w:r>
      <w:r w:rsidR="00DB7748" w:rsidRPr="005B1CCB">
        <w:rPr>
          <w:rFonts w:ascii="Palatino Linotype" w:hAnsi="Palatino Linotype"/>
          <w:sz w:val="24"/>
          <w:szCs w:val="24"/>
          <w:vertAlign w:val="superscript"/>
          <w:lang w:bidi="en-US"/>
        </w:rPr>
        <w:t>O</w:t>
      </w:r>
      <w:r w:rsidR="00DB7748" w:rsidRPr="005B1CCB">
        <w:rPr>
          <w:rFonts w:ascii="Palatino Linotype" w:hAnsi="Palatino Linotype"/>
          <w:sz w:val="24"/>
          <w:szCs w:val="24"/>
          <w:lang w:bidi="en-US"/>
        </w:rPr>
        <w:t xml:space="preserve"> for 5 minutes prior to immobilisation.</w:t>
      </w:r>
    </w:p>
    <w:p w14:paraId="64C70D8A" w14:textId="77777777" w:rsidR="006E182D" w:rsidRPr="005B1CCB" w:rsidRDefault="006E182D" w:rsidP="00D245A7">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KRAS pG13D wild-type and mutant probes were hybridised with genomic KRAS pG13D ssDNA </w:t>
      </w:r>
      <w:r w:rsidR="00D245A7" w:rsidRPr="005B1CCB">
        <w:rPr>
          <w:rFonts w:ascii="Palatino Linotype" w:hAnsi="Palatino Linotype"/>
          <w:sz w:val="24"/>
          <w:szCs w:val="24"/>
          <w:lang w:bidi="en-US"/>
        </w:rPr>
        <w:t xml:space="preserve">and measurements were performed using DPV. </w:t>
      </w:r>
      <w:r w:rsidR="00874F92" w:rsidRPr="005B1CCB">
        <w:rPr>
          <w:rFonts w:ascii="Palatino Linotype" w:hAnsi="Palatino Linotype"/>
          <w:sz w:val="24"/>
          <w:szCs w:val="24"/>
          <w:lang w:bidi="en-US"/>
        </w:rPr>
        <w:t xml:space="preserve">An </w:t>
      </w:r>
      <w:r w:rsidR="00D245A7" w:rsidRPr="005B1CCB">
        <w:rPr>
          <w:rFonts w:ascii="Palatino Linotype" w:hAnsi="Palatino Linotype"/>
          <w:sz w:val="24"/>
          <w:szCs w:val="24"/>
          <w:lang w:bidi="en-US"/>
        </w:rPr>
        <w:t xml:space="preserve">isothermal </w:t>
      </w:r>
      <w:r w:rsidR="00874F92" w:rsidRPr="005B1CCB">
        <w:rPr>
          <w:rFonts w:ascii="Palatino Linotype" w:hAnsi="Palatino Linotype"/>
          <w:sz w:val="24"/>
          <w:szCs w:val="24"/>
          <w:lang w:bidi="en-US"/>
        </w:rPr>
        <w:t xml:space="preserve">amplification of mutant DNA in the representative sample was done using a </w:t>
      </w:r>
      <w:r w:rsidR="00D245A7" w:rsidRPr="005B1CCB">
        <w:rPr>
          <w:rFonts w:ascii="Palatino Linotype" w:hAnsi="Palatino Linotype"/>
          <w:sz w:val="24"/>
          <w:szCs w:val="24"/>
          <w:lang w:bidi="en-US"/>
        </w:rPr>
        <w:t xml:space="preserve">RPA </w:t>
      </w:r>
      <w:r w:rsidR="00874F92" w:rsidRPr="005B1CCB">
        <w:rPr>
          <w:rFonts w:ascii="Palatino Linotype" w:hAnsi="Palatino Linotype"/>
          <w:sz w:val="24"/>
          <w:szCs w:val="24"/>
          <w:lang w:bidi="en-US"/>
        </w:rPr>
        <w:t>kit following protocol outlined in section</w:t>
      </w:r>
      <w:r w:rsidR="00D245A7" w:rsidRPr="005B1CCB">
        <w:rPr>
          <w:rFonts w:ascii="Palatino Linotype" w:hAnsi="Palatino Linotype"/>
          <w:sz w:val="24"/>
          <w:szCs w:val="24"/>
          <w:lang w:bidi="en-US"/>
        </w:rPr>
        <w:t xml:space="preserve"> 3.2.10</w:t>
      </w:r>
      <w:r w:rsidR="00874F92" w:rsidRPr="005B1CCB">
        <w:rPr>
          <w:rFonts w:ascii="Palatino Linotype" w:hAnsi="Palatino Linotype"/>
          <w:sz w:val="24"/>
          <w:szCs w:val="24"/>
          <w:lang w:bidi="en-US"/>
        </w:rPr>
        <w:t xml:space="preserve">. Comparison of </w:t>
      </w:r>
      <w:r w:rsidR="00610A20" w:rsidRPr="005B1CCB">
        <w:rPr>
          <w:rFonts w:ascii="Palatino Linotype" w:hAnsi="Palatino Linotype"/>
          <w:sz w:val="24"/>
          <w:szCs w:val="24"/>
          <w:lang w:bidi="en-US"/>
        </w:rPr>
        <w:t xml:space="preserve">KRAS </w:t>
      </w:r>
      <w:r w:rsidR="00874F92" w:rsidRPr="005B1CCB">
        <w:rPr>
          <w:rFonts w:ascii="Palatino Linotype" w:hAnsi="Palatino Linotype"/>
          <w:sz w:val="24"/>
          <w:szCs w:val="24"/>
          <w:lang w:bidi="en-US"/>
        </w:rPr>
        <w:t>pG13D DNA hybridisation signals using PCR and isothermal amplification was carried out on SPCEs using CV measurements.</w:t>
      </w:r>
      <w:r w:rsidR="00610A20" w:rsidRPr="005B1CCB">
        <w:rPr>
          <w:rFonts w:ascii="Palatino Linotype" w:hAnsi="Palatino Linotype"/>
          <w:sz w:val="24"/>
          <w:szCs w:val="24"/>
          <w:lang w:bidi="en-US"/>
        </w:rPr>
        <w:t xml:space="preserve"> Further </w:t>
      </w:r>
      <w:r w:rsidR="00487ED9" w:rsidRPr="005B1CCB">
        <w:rPr>
          <w:rFonts w:ascii="Palatino Linotype" w:hAnsi="Palatino Linotype"/>
          <w:sz w:val="24"/>
          <w:szCs w:val="24"/>
          <w:lang w:bidi="en-US"/>
        </w:rPr>
        <w:t xml:space="preserve">complementary and non-complementary </w:t>
      </w:r>
      <w:r w:rsidR="00610A20" w:rsidRPr="005B1CCB">
        <w:rPr>
          <w:rFonts w:ascii="Palatino Linotype" w:hAnsi="Palatino Linotype"/>
          <w:sz w:val="24"/>
          <w:szCs w:val="24"/>
          <w:lang w:bidi="en-US"/>
        </w:rPr>
        <w:t xml:space="preserve">DNA hybridisation measurements using PCR amplicons </w:t>
      </w:r>
      <w:r w:rsidR="00487ED9" w:rsidRPr="005B1CCB">
        <w:rPr>
          <w:rFonts w:ascii="Palatino Linotype" w:hAnsi="Palatino Linotype"/>
          <w:sz w:val="24"/>
          <w:szCs w:val="24"/>
          <w:lang w:bidi="en-US"/>
        </w:rPr>
        <w:t>was carried out using DPV measurements. Different concentrations of DNA in samples containing amplified DNA and samples containing non-amplified DNA were hybridised using KRAS pG13D mutant probe and analysed using DPV.</w:t>
      </w:r>
    </w:p>
    <w:p w14:paraId="435F5640" w14:textId="77777777" w:rsidR="006E182D" w:rsidRPr="005B1CCB" w:rsidRDefault="00487ED9" w:rsidP="00CB18A1">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CNT-modified SPCE</w:t>
      </w:r>
      <w:r w:rsidR="00D637C9" w:rsidRPr="005B1CCB">
        <w:rPr>
          <w:rFonts w:ascii="Palatino Linotype" w:hAnsi="Palatino Linotype"/>
          <w:sz w:val="24"/>
          <w:szCs w:val="24"/>
          <w:lang w:bidi="en-US"/>
        </w:rPr>
        <w:t>s</w:t>
      </w:r>
      <w:r w:rsidRPr="005B1CCB">
        <w:rPr>
          <w:rFonts w:ascii="Palatino Linotype" w:hAnsi="Palatino Linotype"/>
          <w:sz w:val="24"/>
          <w:szCs w:val="24"/>
          <w:lang w:bidi="en-US"/>
        </w:rPr>
        <w:t xml:space="preserve"> w</w:t>
      </w:r>
      <w:r w:rsidR="00D637C9" w:rsidRPr="005B1CCB">
        <w:rPr>
          <w:rFonts w:ascii="Palatino Linotype" w:hAnsi="Palatino Linotype"/>
          <w:sz w:val="24"/>
          <w:szCs w:val="24"/>
          <w:lang w:bidi="en-US"/>
        </w:rPr>
        <w:t>ere</w:t>
      </w:r>
      <w:r w:rsidRPr="005B1CCB">
        <w:rPr>
          <w:rFonts w:ascii="Palatino Linotype" w:hAnsi="Palatino Linotype"/>
          <w:sz w:val="24"/>
          <w:szCs w:val="24"/>
          <w:lang w:bidi="en-US"/>
        </w:rPr>
        <w:t xml:space="preserve"> compared to regular SPCE</w:t>
      </w:r>
      <w:r w:rsidR="00D637C9" w:rsidRPr="005B1CCB">
        <w:rPr>
          <w:rFonts w:ascii="Palatino Linotype" w:hAnsi="Palatino Linotype"/>
          <w:sz w:val="24"/>
          <w:szCs w:val="24"/>
          <w:lang w:bidi="en-US"/>
        </w:rPr>
        <w:t>s</w:t>
      </w:r>
      <w:r w:rsidRPr="005B1CCB">
        <w:rPr>
          <w:rFonts w:ascii="Palatino Linotype" w:hAnsi="Palatino Linotype"/>
          <w:sz w:val="24"/>
          <w:szCs w:val="24"/>
          <w:lang w:bidi="en-US"/>
        </w:rPr>
        <w:t xml:space="preserve"> and observations were recorded using CV. DNA hybridisation </w:t>
      </w:r>
      <w:r w:rsidR="001D4AB1" w:rsidRPr="005B1CCB">
        <w:rPr>
          <w:rFonts w:ascii="Palatino Linotype" w:hAnsi="Palatino Linotype"/>
          <w:sz w:val="24"/>
          <w:szCs w:val="24"/>
          <w:lang w:bidi="en-US"/>
        </w:rPr>
        <w:t xml:space="preserve">using KRAS pG13D oligonucleotides was carried out </w:t>
      </w:r>
      <w:r w:rsidRPr="005B1CCB">
        <w:rPr>
          <w:rFonts w:ascii="Palatino Linotype" w:hAnsi="Palatino Linotype"/>
          <w:sz w:val="24"/>
          <w:szCs w:val="24"/>
          <w:lang w:bidi="en-US"/>
        </w:rPr>
        <w:t xml:space="preserve">on different sensor surfaces (NaCl pre-treated, NaOH pre-treated, bare SPCE and CNT-modified SPCE) and their sensitivity was analysed using 1mM ferri-ferrocyanide buffer. Further characterisation was carried out on the CNT-modified SPCE using the three voltammetry measurements that have been </w:t>
      </w:r>
      <w:r w:rsidR="00D637C9" w:rsidRPr="005B1CCB">
        <w:rPr>
          <w:rFonts w:ascii="Palatino Linotype" w:hAnsi="Palatino Linotype"/>
          <w:sz w:val="24"/>
          <w:szCs w:val="24"/>
          <w:lang w:bidi="en-US"/>
        </w:rPr>
        <w:t>used</w:t>
      </w:r>
      <w:r w:rsidRPr="005B1CCB">
        <w:rPr>
          <w:rFonts w:ascii="Palatino Linotype" w:hAnsi="Palatino Linotype"/>
          <w:sz w:val="24"/>
          <w:szCs w:val="24"/>
          <w:lang w:bidi="en-US"/>
        </w:rPr>
        <w:t xml:space="preserve"> so far </w:t>
      </w:r>
      <w:r w:rsidR="00D637C9" w:rsidRPr="005B1CCB">
        <w:rPr>
          <w:rFonts w:ascii="Palatino Linotype" w:hAnsi="Palatino Linotype"/>
          <w:sz w:val="24"/>
          <w:szCs w:val="24"/>
          <w:lang w:bidi="en-US"/>
        </w:rPr>
        <w:t xml:space="preserve">in this study </w:t>
      </w:r>
      <w:r w:rsidRPr="005B1CCB">
        <w:rPr>
          <w:rFonts w:ascii="Palatino Linotype" w:hAnsi="Palatino Linotype"/>
          <w:sz w:val="24"/>
          <w:szCs w:val="24"/>
          <w:lang w:bidi="en-US"/>
        </w:rPr>
        <w:t>(CV, DPV and SWV)</w:t>
      </w:r>
      <w:r w:rsidR="001D4AB1" w:rsidRPr="005B1CCB">
        <w:rPr>
          <w:rFonts w:ascii="Palatino Linotype" w:hAnsi="Palatino Linotype"/>
          <w:sz w:val="24"/>
          <w:szCs w:val="24"/>
          <w:lang w:bidi="en-US"/>
        </w:rPr>
        <w:t xml:space="preserve">. Finally, in order to confirm that the CNT-modified SPCEs were performing as expected, non-complementary and complementary DNA hybridisation was done to observe the effect of single-base </w:t>
      </w:r>
      <w:r w:rsidR="00D637C9" w:rsidRPr="005B1CCB">
        <w:rPr>
          <w:rFonts w:ascii="Palatino Linotype" w:hAnsi="Palatino Linotype"/>
          <w:sz w:val="24"/>
          <w:szCs w:val="24"/>
          <w:lang w:bidi="en-US"/>
        </w:rPr>
        <w:t>mutation</w:t>
      </w:r>
      <w:r w:rsidR="001D4AB1" w:rsidRPr="005B1CCB">
        <w:rPr>
          <w:rFonts w:ascii="Palatino Linotype" w:hAnsi="Palatino Linotype"/>
          <w:sz w:val="24"/>
          <w:szCs w:val="24"/>
          <w:lang w:bidi="en-US"/>
        </w:rPr>
        <w:t xml:space="preserve"> on </w:t>
      </w:r>
      <w:r w:rsidR="00D637C9" w:rsidRPr="005B1CCB">
        <w:rPr>
          <w:rFonts w:ascii="Palatino Linotype" w:hAnsi="Palatino Linotype"/>
          <w:sz w:val="24"/>
          <w:szCs w:val="24"/>
          <w:lang w:bidi="en-US"/>
        </w:rPr>
        <w:t>hybridisation</w:t>
      </w:r>
      <w:r w:rsidR="001D4AB1" w:rsidRPr="005B1CCB">
        <w:rPr>
          <w:rFonts w:ascii="Palatino Linotype" w:hAnsi="Palatino Linotype"/>
          <w:sz w:val="24"/>
          <w:szCs w:val="24"/>
          <w:lang w:bidi="en-US"/>
        </w:rPr>
        <w:t xml:space="preserve"> signal changes</w:t>
      </w:r>
      <w:r w:rsidRPr="005B1CCB">
        <w:rPr>
          <w:rFonts w:ascii="Palatino Linotype" w:hAnsi="Palatino Linotype"/>
          <w:sz w:val="24"/>
          <w:szCs w:val="24"/>
          <w:lang w:bidi="en-US"/>
        </w:rPr>
        <w:t>.</w:t>
      </w:r>
    </w:p>
    <w:p w14:paraId="3B7CBD67" w14:textId="77777777" w:rsidR="00CB18A1" w:rsidRPr="005B1CCB" w:rsidRDefault="00CB18A1" w:rsidP="00CB18A1">
      <w:pPr>
        <w:rPr>
          <w:lang w:bidi="en-US"/>
        </w:rPr>
      </w:pPr>
    </w:p>
    <w:p w14:paraId="3B7ADE54" w14:textId="77777777" w:rsidR="00D1578D" w:rsidRPr="005B1CCB" w:rsidRDefault="00D1578D" w:rsidP="003E37AE">
      <w:pPr>
        <w:pStyle w:val="Heading2"/>
        <w:rPr>
          <w:lang w:bidi="en-US"/>
        </w:rPr>
      </w:pPr>
      <w:bookmarkStart w:id="168" w:name="_Toc84528128"/>
      <w:r w:rsidRPr="005B1CCB">
        <w:rPr>
          <w:lang w:bidi="en-US"/>
        </w:rPr>
        <w:t>Results and Discussion</w:t>
      </w:r>
      <w:bookmarkEnd w:id="168"/>
    </w:p>
    <w:p w14:paraId="73B0020C" w14:textId="77777777" w:rsidR="00D1578D" w:rsidRPr="005B1CCB" w:rsidRDefault="00D1578D" w:rsidP="003E37AE">
      <w:pPr>
        <w:pStyle w:val="Heading3"/>
      </w:pPr>
      <w:bookmarkStart w:id="169" w:name="_Toc84528129"/>
      <w:r w:rsidRPr="005B1CCB">
        <w:t>Assay development</w:t>
      </w:r>
      <w:bookmarkEnd w:id="169"/>
    </w:p>
    <w:p w14:paraId="424B75C7" w14:textId="167DE421" w:rsidR="007E3354" w:rsidRPr="005B1CCB" w:rsidRDefault="003F3114" w:rsidP="007E3354">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7E3354" w:rsidRPr="005B1CCB">
        <w:rPr>
          <w:rFonts w:ascii="Palatino Linotype" w:hAnsi="Palatino Linotype"/>
          <w:sz w:val="24"/>
          <w:szCs w:val="24"/>
          <w:lang w:bidi="en-US"/>
        </w:rPr>
        <w:t xml:space="preserve">Further characterisation showing the comparison between NaCl and NaOH pre-treatment effect on the signal recorded at different stages during DNA hybridisation was carried out. Simultaneous pre and post DNA hybridisation measurements using a multi-electrode device where different regions of the chip were functionalised with complementary DNA </w:t>
      </w:r>
      <w:r w:rsidR="004D3C12" w:rsidRPr="005B1CCB">
        <w:rPr>
          <w:rFonts w:ascii="Palatino Linotype" w:hAnsi="Palatino Linotype"/>
          <w:sz w:val="24"/>
          <w:szCs w:val="24"/>
          <w:lang w:bidi="en-US"/>
        </w:rPr>
        <w:t xml:space="preserve">oligonucleotide </w:t>
      </w:r>
      <w:r w:rsidR="007E3354" w:rsidRPr="005B1CCB">
        <w:rPr>
          <w:rFonts w:ascii="Palatino Linotype" w:hAnsi="Palatino Linotype"/>
          <w:sz w:val="24"/>
          <w:szCs w:val="24"/>
          <w:lang w:bidi="en-US"/>
        </w:rPr>
        <w:t xml:space="preserve">sequences was used to observe the treatment effect. </w:t>
      </w:r>
      <w:r w:rsidR="004D3C12" w:rsidRPr="005B1CCB">
        <w:rPr>
          <w:rFonts w:ascii="Palatino Linotype" w:hAnsi="Palatino Linotype"/>
          <w:sz w:val="24"/>
          <w:szCs w:val="24"/>
          <w:lang w:bidi="en-US"/>
        </w:rPr>
        <w:t xml:space="preserve">From </w:t>
      </w:r>
      <w:r w:rsidR="00396D77" w:rsidRPr="005B1CCB">
        <w:rPr>
          <w:rFonts w:ascii="Palatino Linotype" w:hAnsi="Palatino Linotype"/>
          <w:sz w:val="24"/>
          <w:szCs w:val="24"/>
          <w:lang w:bidi="en-US"/>
        </w:rPr>
        <w:t>F</w:t>
      </w:r>
      <w:r w:rsidR="004D3C12" w:rsidRPr="005B1CCB">
        <w:rPr>
          <w:rFonts w:ascii="Palatino Linotype" w:hAnsi="Palatino Linotype"/>
          <w:sz w:val="24"/>
          <w:szCs w:val="24"/>
          <w:lang w:bidi="en-US"/>
        </w:rPr>
        <w:t xml:space="preserve">igure </w:t>
      </w:r>
      <w:r w:rsidR="007D6386" w:rsidRPr="005B1CCB">
        <w:rPr>
          <w:rFonts w:ascii="Palatino Linotype" w:hAnsi="Palatino Linotype"/>
          <w:sz w:val="24"/>
          <w:szCs w:val="24"/>
          <w:lang w:bidi="en-US"/>
        </w:rPr>
        <w:t>41</w:t>
      </w:r>
      <w:r w:rsidR="004D3C12" w:rsidRPr="005B1CCB">
        <w:rPr>
          <w:rFonts w:ascii="Palatino Linotype" w:hAnsi="Palatino Linotype"/>
          <w:sz w:val="24"/>
          <w:szCs w:val="24"/>
          <w:lang w:bidi="en-US"/>
        </w:rPr>
        <w:t xml:space="preserve">, </w:t>
      </w:r>
      <w:r w:rsidR="007D6386" w:rsidRPr="005B1CCB">
        <w:rPr>
          <w:rFonts w:ascii="Palatino Linotype" w:hAnsi="Palatino Linotype"/>
          <w:sz w:val="24"/>
          <w:szCs w:val="24"/>
          <w:lang w:bidi="en-US"/>
        </w:rPr>
        <w:t>a</w:t>
      </w:r>
      <w:r w:rsidR="004D3C12" w:rsidRPr="005B1CCB">
        <w:rPr>
          <w:rFonts w:ascii="Palatino Linotype" w:hAnsi="Palatino Linotype"/>
          <w:sz w:val="24"/>
          <w:szCs w:val="24"/>
          <w:lang w:bidi="en-US"/>
        </w:rPr>
        <w:t>n expected pattern is observed in the SPCEs pre-treated using NaCl. A rise in oxidative peak current is observed after the introduction of probe and blocking of the remaining active surface. The peak current is then reduced after the DNA target binds to the probe. The reverse is noticed on the surface pre-treated using NaOH.</w:t>
      </w:r>
      <w:r w:rsidR="00121B82" w:rsidRPr="005B1CCB">
        <w:rPr>
          <w:rFonts w:ascii="Palatino Linotype" w:hAnsi="Palatino Linotype"/>
          <w:sz w:val="24"/>
          <w:szCs w:val="24"/>
          <w:lang w:bidi="en-US"/>
        </w:rPr>
        <w:t xml:space="preserve"> In this case, the peak current starts off reduced (1</w:t>
      </w:r>
      <w:r w:rsidR="00C64AD1" w:rsidRPr="005B1CCB">
        <w:rPr>
          <w:rFonts w:ascii="Palatino Linotype" w:hAnsi="Palatino Linotype"/>
          <w:sz w:val="24"/>
          <w:szCs w:val="24"/>
          <w:lang w:bidi="en-US"/>
        </w:rPr>
        <w:t xml:space="preserve"> </w:t>
      </w:r>
      <w:r w:rsidR="00121B82" w:rsidRPr="005B1CCB">
        <w:rPr>
          <w:rFonts w:ascii="Palatino Linotype" w:hAnsi="Palatino Linotype"/>
          <w:sz w:val="24"/>
          <w:szCs w:val="24"/>
          <w:lang w:bidi="en-US"/>
        </w:rPr>
        <w:t>µA) and then goes on to increase after the probe was added and the remaining active surface blocked using ethanolamine. A reduction in peak current is expected after the DNA target is added but this was not observed.</w:t>
      </w:r>
      <w:r w:rsidR="00BD2F21" w:rsidRPr="00BD2F21">
        <w:t xml:space="preserve"> </w:t>
      </w:r>
      <w:r w:rsidR="00BD2F21" w:rsidRPr="00BD2F21">
        <w:rPr>
          <w:rFonts w:ascii="Palatino Linotype" w:hAnsi="Palatino Linotype"/>
          <w:sz w:val="24"/>
          <w:szCs w:val="24"/>
          <w:lang w:bidi="en-US"/>
        </w:rPr>
        <w:t xml:space="preserve">The standard deviation reflects the variation obtained from the experimental replicas.  </w:t>
      </w:r>
    </w:p>
    <w:p w14:paraId="63F23107" w14:textId="77777777" w:rsidR="007E3354" w:rsidRPr="005B1CCB" w:rsidRDefault="007E3354" w:rsidP="007E3354">
      <w:pPr>
        <w:keepNext/>
        <w:spacing w:line="360" w:lineRule="auto"/>
        <w:jc w:val="center"/>
      </w:pPr>
      <w:r w:rsidRPr="005B1CCB">
        <w:rPr>
          <w:rFonts w:ascii="Palatino Linotype" w:hAnsi="Palatino Linotype"/>
          <w:noProof/>
          <w:sz w:val="24"/>
          <w:szCs w:val="24"/>
          <w:lang w:eastAsia="en-GB"/>
        </w:rPr>
        <w:drawing>
          <wp:inline distT="0" distB="0" distL="0" distR="0" wp14:anchorId="56157DF6" wp14:editId="118E363D">
            <wp:extent cx="3345628" cy="256032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9">
                      <a:extLst>
                        <a:ext uri="{28A0092B-C50C-407E-A947-70E740481C1C}">
                          <a14:useLocalDpi xmlns:a14="http://schemas.microsoft.com/office/drawing/2010/main" val="0"/>
                        </a:ext>
                      </a:extLst>
                    </a:blip>
                    <a:srcRect l="8877" t="8220" r="9909" b="10269"/>
                    <a:stretch/>
                  </pic:blipFill>
                  <pic:spPr bwMode="auto">
                    <a:xfrm>
                      <a:off x="0" y="0"/>
                      <a:ext cx="3345931" cy="2560552"/>
                    </a:xfrm>
                    <a:prstGeom prst="rect">
                      <a:avLst/>
                    </a:prstGeom>
                    <a:noFill/>
                    <a:ln>
                      <a:noFill/>
                    </a:ln>
                    <a:extLst>
                      <a:ext uri="{53640926-AAD7-44D8-BBD7-CCE9431645EC}">
                        <a14:shadowObscured xmlns:a14="http://schemas.microsoft.com/office/drawing/2010/main"/>
                      </a:ext>
                    </a:extLst>
                  </pic:spPr>
                </pic:pic>
              </a:graphicData>
            </a:graphic>
          </wp:inline>
        </w:drawing>
      </w:r>
    </w:p>
    <w:p w14:paraId="5D4FBC4C" w14:textId="16920DB6" w:rsidR="007E3354" w:rsidRPr="005B1CCB" w:rsidRDefault="007E3354" w:rsidP="007E3354">
      <w:pPr>
        <w:pStyle w:val="Caption"/>
        <w:jc w:val="center"/>
        <w:rPr>
          <w:sz w:val="22"/>
          <w:szCs w:val="22"/>
        </w:rPr>
      </w:pPr>
      <w:bookmarkStart w:id="170" w:name="_Toc84519636"/>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41</w:t>
      </w:r>
      <w:r w:rsidRPr="005B1CCB">
        <w:rPr>
          <w:sz w:val="22"/>
          <w:szCs w:val="22"/>
        </w:rPr>
        <w:fldChar w:fldCharType="end"/>
      </w:r>
      <w:r w:rsidRPr="005B1CCB">
        <w:rPr>
          <w:sz w:val="22"/>
          <w:szCs w:val="22"/>
        </w:rPr>
        <w:t xml:space="preserve">: SWV results showing </w:t>
      </w:r>
      <w:r w:rsidR="00572868">
        <w:rPr>
          <w:sz w:val="22"/>
          <w:szCs w:val="22"/>
        </w:rPr>
        <w:t xml:space="preserve"> </w:t>
      </w:r>
      <w:r w:rsidR="00572868" w:rsidRPr="005B1CCB">
        <w:rPr>
          <w:sz w:val="22"/>
          <w:szCs w:val="22"/>
        </w:rPr>
        <w:t>the comparison</w:t>
      </w:r>
      <w:r w:rsidRPr="005B1CCB">
        <w:rPr>
          <w:sz w:val="22"/>
          <w:szCs w:val="22"/>
        </w:rPr>
        <w:t xml:space="preserve"> between NaCl and NaOH  pre-treatment effect on the signal recorded at different stages in the assay development</w:t>
      </w:r>
      <w:bookmarkEnd w:id="170"/>
    </w:p>
    <w:p w14:paraId="56F798E2" w14:textId="77777777" w:rsidR="007D6386" w:rsidRPr="005B1CCB" w:rsidRDefault="007D6386" w:rsidP="007D6386"/>
    <w:p w14:paraId="73B0F7CE" w14:textId="77777777" w:rsidR="00D073D3" w:rsidRPr="005B1CCB" w:rsidRDefault="0017142D" w:rsidP="00D425B1">
      <w:pPr>
        <w:spacing w:line="360" w:lineRule="auto"/>
        <w:jc w:val="both"/>
        <w:rPr>
          <w:rFonts w:ascii="Palatino Linotype" w:hAnsi="Palatino Linotype"/>
          <w:sz w:val="24"/>
          <w:szCs w:val="24"/>
          <w:lang w:bidi="en-US"/>
        </w:rPr>
      </w:pPr>
      <w:r w:rsidRPr="005B1CCB">
        <w:rPr>
          <w:rFonts w:ascii="Palatino Linotype" w:hAnsi="Palatino Linotype"/>
          <w:i/>
          <w:iCs/>
          <w:sz w:val="24"/>
          <w:szCs w:val="24"/>
          <w:lang w:bidi="en-US"/>
        </w:rPr>
        <w:t xml:space="preserve">   </w:t>
      </w:r>
      <w:r w:rsidRPr="00572868">
        <w:rPr>
          <w:rFonts w:ascii="Palatino Linotype" w:hAnsi="Palatino Linotype"/>
          <w:sz w:val="24"/>
          <w:szCs w:val="24"/>
          <w:lang w:bidi="en-US"/>
        </w:rPr>
        <w:t xml:space="preserve">This work demonstrated the importance of optimising the conducting path of the SPCEs </w:t>
      </w:r>
      <w:r w:rsidR="00121B82" w:rsidRPr="00572868">
        <w:rPr>
          <w:rFonts w:ascii="Palatino Linotype" w:hAnsi="Palatino Linotype"/>
          <w:sz w:val="24"/>
          <w:szCs w:val="24"/>
          <w:lang w:bidi="en-US"/>
        </w:rPr>
        <w:t xml:space="preserve">for each assay being developed </w:t>
      </w:r>
      <w:r w:rsidRPr="00572868">
        <w:rPr>
          <w:rFonts w:ascii="Palatino Linotype" w:hAnsi="Palatino Linotype"/>
          <w:sz w:val="24"/>
          <w:szCs w:val="24"/>
          <w:lang w:bidi="en-US"/>
        </w:rPr>
        <w:t>as both the choice of redox buffer and the surface being characterised has profound effects on the behaviour of the SPCEs</w:t>
      </w:r>
      <w:r w:rsidRPr="005B1CCB">
        <w:rPr>
          <w:rFonts w:ascii="Palatino Linotype" w:hAnsi="Palatino Linotype"/>
          <w:sz w:val="24"/>
          <w:szCs w:val="24"/>
          <w:lang w:bidi="en-US"/>
        </w:rPr>
        <w:t xml:space="preserve">. </w:t>
      </w:r>
    </w:p>
    <w:p w14:paraId="671F94A4" w14:textId="77777777" w:rsidR="007D6386" w:rsidRPr="005B1CCB" w:rsidRDefault="007D6386" w:rsidP="00D425B1">
      <w:pPr>
        <w:spacing w:line="360" w:lineRule="auto"/>
        <w:jc w:val="both"/>
        <w:rPr>
          <w:rFonts w:ascii="Palatino Linotype" w:hAnsi="Palatino Linotype"/>
          <w:sz w:val="24"/>
          <w:szCs w:val="24"/>
          <w:lang w:bidi="en-US"/>
        </w:rPr>
      </w:pPr>
    </w:p>
    <w:p w14:paraId="41964CB1" w14:textId="77777777" w:rsidR="00D425B1" w:rsidRPr="005B1CCB" w:rsidRDefault="00D425B1" w:rsidP="00D425B1">
      <w:pPr>
        <w:pStyle w:val="Heading3"/>
      </w:pPr>
      <w:bookmarkStart w:id="171" w:name="_Toc84528130"/>
      <w:r w:rsidRPr="005B1CCB">
        <w:t>Sensor reproducibility</w:t>
      </w:r>
      <w:bookmarkEnd w:id="171"/>
    </w:p>
    <w:p w14:paraId="3E08F878" w14:textId="04345A1B" w:rsidR="00B8360F" w:rsidRPr="005B1CCB" w:rsidRDefault="00F2149E" w:rsidP="00B8360F">
      <w:pPr>
        <w:spacing w:line="360" w:lineRule="auto"/>
        <w:jc w:val="both"/>
        <w:rPr>
          <w:rFonts w:ascii="Palatino Linotype" w:hAnsi="Palatino Linotype"/>
          <w:sz w:val="24"/>
          <w:szCs w:val="24"/>
          <w:lang w:bidi="en-US"/>
        </w:rPr>
      </w:pPr>
      <w:r w:rsidRPr="005B1CCB">
        <w:rPr>
          <w:rFonts w:ascii="Palatino Linotype" w:hAnsi="Palatino Linotype"/>
          <w:sz w:val="24"/>
          <w:szCs w:val="24"/>
        </w:rPr>
        <w:t xml:space="preserve">   </w:t>
      </w:r>
      <w:r w:rsidR="00D425B1" w:rsidRPr="005B1CCB">
        <w:rPr>
          <w:rFonts w:ascii="Palatino Linotype" w:hAnsi="Palatino Linotype"/>
          <w:sz w:val="24"/>
          <w:szCs w:val="24"/>
        </w:rPr>
        <w:t xml:space="preserve">A growing demand for reliable detection devices motivates much biosensor development </w:t>
      </w:r>
      <w:r w:rsidR="00D425B1" w:rsidRPr="005B1CCB">
        <w:rPr>
          <w:rFonts w:ascii="Palatino Linotype" w:hAnsi="Palatino Linotype"/>
          <w:i/>
          <w:sz w:val="24"/>
          <w:szCs w:val="24"/>
        </w:rPr>
        <w:fldChar w:fldCharType="begin" w:fldLock="1"/>
      </w:r>
      <w:r w:rsidR="000766C5">
        <w:rPr>
          <w:rFonts w:ascii="Palatino Linotype" w:hAnsi="Palatino Linotype"/>
          <w:sz w:val="24"/>
          <w:szCs w:val="24"/>
        </w:rPr>
        <w:instrText>ADDIN CSL_CITATION {"citationItems":[{"id":"ITEM-1","itemData":{"DOI":"10.18494/SAM.2017.1731","ISSN":"09144935","abstract":"Monitoring blood lactate concentration is important in clinical diagnosis and evaluation of fitness care. Electrochemical enzyme sensors are commonly used for the measurement of lactate owing to their simplicity and sensitivity. Lactate oxidases (LOxs) are widely used for the construction of lactate enzyme sensors, especially the LOx derived from Aerococcus viridans (AvLOx). To minimize interference from redox substances, most lactate sensors utilize artificial mediators. However, reports on the comparison of different mediators in lactate measurements are limited. In this study, the preferences of AvLOx for electron mediators were investigated electrochemically. We concluded that the charge of the mediator plays a significant role in determining its suitability as a mediator for AvLOx. The relatively uncharged 1-methoxy-5-methyl phenazinium methylsulfate (mPMS) was the preferred mediator for AvLOx, the strongly negative ferricyanide was a less preferential mediator, and the strongly positive hexaammineruthenium(III) was not utilized as a mediator by AvLOx. This suggests that the protein scaffold of AvLOx can almost completely block the access to the co-factor for very small electron acceptors, depending on their charge.","author":[{"dropping-particle":"","family":"Loew","given":"Noya","non-dropping-particle":"","parse-names":false,"suffix":""},{"dropping-particle":"","family":"Fitriana","given":"Maya","non-dropping-particle":"","parse-names":false,"suffix":""},{"dropping-particle":"","family":"Hiraka","given":"Kentaro","non-dropping-particle":"","parse-names":false,"suffix":""},{"dropping-particle":"","family":"Sode","given":"Koji","non-dropping-particle":"","parse-names":false,"suffix":""},{"dropping-particle":"","family":"Tsugawa","given":"Wakako","non-dropping-particle":"","parse-names":false,"suffix":""}],"container-title":"Sensors and Materials","id":"ITEM-1","issue":"12","issued":{"date-parts":[["2017"]]},"page":"1703-1711","title":"Characterization of electron mediator preference of aerococcus viridans-derived lactate oxidase for use in disposable enzyme sensor strips","type":"article-journal","volume":"29"},"uris":["http://www.mendeley.com/documents/?uuid=26dbff64-3596-493b-babd-5296966bef25"]}],"mendeley":{"formattedCitation":"[242]","plainTextFormattedCitation":"[242]","previouslyFormattedCitation":"[242]"},"properties":{"noteIndex":0},"schema":"https://github.com/citation-style-language/schema/raw/master/csl-citation.json"}</w:instrText>
      </w:r>
      <w:r w:rsidR="00D425B1" w:rsidRPr="005B1CCB">
        <w:rPr>
          <w:rFonts w:ascii="Palatino Linotype" w:hAnsi="Palatino Linotype"/>
          <w:i/>
          <w:sz w:val="24"/>
          <w:szCs w:val="24"/>
        </w:rPr>
        <w:fldChar w:fldCharType="separate"/>
      </w:r>
      <w:r w:rsidR="005F2946" w:rsidRPr="005F2946">
        <w:rPr>
          <w:rFonts w:ascii="Palatino Linotype" w:hAnsi="Palatino Linotype"/>
          <w:noProof/>
          <w:sz w:val="24"/>
          <w:szCs w:val="24"/>
        </w:rPr>
        <w:t>[242]</w:t>
      </w:r>
      <w:r w:rsidR="00D425B1" w:rsidRPr="005B1CCB">
        <w:rPr>
          <w:rFonts w:ascii="Palatino Linotype" w:hAnsi="Palatino Linotype"/>
          <w:sz w:val="24"/>
          <w:szCs w:val="24"/>
        </w:rPr>
        <w:fldChar w:fldCharType="end"/>
      </w:r>
      <w:r w:rsidR="00D425B1" w:rsidRPr="005B1CCB">
        <w:rPr>
          <w:rFonts w:ascii="Palatino Linotype" w:hAnsi="Palatino Linotype"/>
          <w:sz w:val="24"/>
          <w:szCs w:val="24"/>
        </w:rPr>
        <w:t xml:space="preserve"> so it is therefore necessary to improve assay reproducibility. </w:t>
      </w:r>
      <w:r w:rsidR="00772752" w:rsidRPr="005B1CCB">
        <w:rPr>
          <w:rFonts w:ascii="Palatino Linotype" w:hAnsi="Palatino Linotype"/>
          <w:sz w:val="24"/>
          <w:szCs w:val="24"/>
        </w:rPr>
        <w:t xml:space="preserve">The multiplexed analysis employed greatly reduced analysis time because of high throughput of samples and minimized reagent consumption. </w:t>
      </w:r>
      <w:r w:rsidR="00D425B1" w:rsidRPr="005B1CCB">
        <w:rPr>
          <w:rFonts w:ascii="Palatino Linotype" w:hAnsi="Palatino Linotype"/>
          <w:sz w:val="24"/>
          <w:szCs w:val="24"/>
        </w:rPr>
        <w:t>The reproducibility of this hybridisation sensor was explored by simultaneously analysing all eight WEs using the same SPCE sensor and solution after pre-treatment</w:t>
      </w:r>
      <w:r w:rsidR="00C01963" w:rsidRPr="005B1CCB">
        <w:rPr>
          <w:rFonts w:ascii="Palatino Linotype" w:hAnsi="Palatino Linotype"/>
          <w:sz w:val="24"/>
          <w:szCs w:val="24"/>
        </w:rPr>
        <w:t xml:space="preserve"> (</w:t>
      </w:r>
      <w:r w:rsidR="00ED316C" w:rsidRPr="005B1CCB">
        <w:rPr>
          <w:rFonts w:ascii="Palatino Linotype" w:hAnsi="Palatino Linotype"/>
          <w:sz w:val="24"/>
          <w:szCs w:val="24"/>
        </w:rPr>
        <w:t>F</w:t>
      </w:r>
      <w:r w:rsidR="00C01963" w:rsidRPr="005B1CCB">
        <w:rPr>
          <w:rFonts w:ascii="Palatino Linotype" w:hAnsi="Palatino Linotype"/>
          <w:sz w:val="24"/>
          <w:szCs w:val="24"/>
        </w:rPr>
        <w:t xml:space="preserve">igure </w:t>
      </w:r>
      <w:r w:rsidR="00ED316C" w:rsidRPr="005B1CCB">
        <w:rPr>
          <w:rFonts w:ascii="Palatino Linotype" w:hAnsi="Palatino Linotype"/>
          <w:sz w:val="24"/>
          <w:szCs w:val="24"/>
        </w:rPr>
        <w:t>4</w:t>
      </w:r>
      <w:r w:rsidR="007D6386" w:rsidRPr="005B1CCB">
        <w:rPr>
          <w:rFonts w:ascii="Palatino Linotype" w:hAnsi="Palatino Linotype"/>
          <w:sz w:val="24"/>
          <w:szCs w:val="24"/>
        </w:rPr>
        <w:t>2</w:t>
      </w:r>
      <w:r w:rsidR="00C01963" w:rsidRPr="005B1CCB">
        <w:rPr>
          <w:rFonts w:ascii="Palatino Linotype" w:hAnsi="Palatino Linotype"/>
          <w:sz w:val="24"/>
          <w:szCs w:val="24"/>
        </w:rPr>
        <w:t>)</w:t>
      </w:r>
      <w:r w:rsidR="00D425B1" w:rsidRPr="005B1CCB">
        <w:rPr>
          <w:rFonts w:ascii="Palatino Linotype" w:hAnsi="Palatino Linotype"/>
          <w:sz w:val="24"/>
          <w:szCs w:val="24"/>
        </w:rPr>
        <w:t xml:space="preserve">. </w:t>
      </w:r>
      <w:r w:rsidR="00772752" w:rsidRPr="005B1CCB">
        <w:rPr>
          <w:rFonts w:ascii="Palatino Linotype" w:hAnsi="Palatino Linotype"/>
          <w:sz w:val="24"/>
          <w:szCs w:val="24"/>
          <w:lang w:bidi="en-US"/>
        </w:rPr>
        <w:t>Although the electrodes used are commercially sourced and the screen-printing inks used is not guaranteed to always be deposited in the same way for all electrodes, it was important to note the effect of submerging all eight working electrodes, and a common and reference electrode under the same characterisation buffer.</w:t>
      </w:r>
    </w:p>
    <w:p w14:paraId="7930E915" w14:textId="77777777" w:rsidR="00D425B1" w:rsidRPr="005B1CCB" w:rsidRDefault="00D425B1" w:rsidP="00D425B1">
      <w:pPr>
        <w:keepNext/>
        <w:spacing w:line="360" w:lineRule="auto"/>
        <w:jc w:val="center"/>
        <w:rPr>
          <w:rFonts w:ascii="Palatino Linotype" w:hAnsi="Palatino Linotype"/>
        </w:rPr>
      </w:pPr>
      <w:r w:rsidRPr="005B1CCB">
        <w:rPr>
          <w:noProof/>
          <w:lang w:eastAsia="en-GB"/>
        </w:rPr>
        <w:drawing>
          <wp:inline distT="0" distB="0" distL="0" distR="0" wp14:anchorId="17C37CE8" wp14:editId="419B9358">
            <wp:extent cx="3816626" cy="2573655"/>
            <wp:effectExtent l="0" t="0" r="0" b="0"/>
            <wp:docPr id="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0"/>
                    <a:srcRect l="6838" t="8058" r="6539" b="5100"/>
                    <a:stretch/>
                  </pic:blipFill>
                  <pic:spPr bwMode="auto">
                    <a:xfrm>
                      <a:off x="0" y="0"/>
                      <a:ext cx="3846761" cy="2593976"/>
                    </a:xfrm>
                    <a:prstGeom prst="rect">
                      <a:avLst/>
                    </a:prstGeom>
                    <a:ln>
                      <a:noFill/>
                    </a:ln>
                    <a:extLst>
                      <a:ext uri="{53640926-AAD7-44D8-BBD7-CCE9431645EC}">
                        <a14:shadowObscured xmlns:a14="http://schemas.microsoft.com/office/drawing/2010/main"/>
                      </a:ext>
                    </a:extLst>
                  </pic:spPr>
                </pic:pic>
              </a:graphicData>
            </a:graphic>
          </wp:inline>
        </w:drawing>
      </w:r>
    </w:p>
    <w:p w14:paraId="646AD47F" w14:textId="77777777" w:rsidR="00705743" w:rsidRPr="00863842" w:rsidRDefault="00D425B1" w:rsidP="00863842">
      <w:pPr>
        <w:pStyle w:val="Caption"/>
        <w:spacing w:line="360" w:lineRule="auto"/>
        <w:jc w:val="center"/>
        <w:rPr>
          <w:rFonts w:cstheme="minorHAnsi"/>
          <w:sz w:val="22"/>
          <w:szCs w:val="22"/>
        </w:rPr>
      </w:pPr>
      <w:bookmarkStart w:id="172" w:name="_Toc84519637"/>
      <w:r w:rsidRPr="005B1CCB">
        <w:rPr>
          <w:rFonts w:cstheme="minorHAnsi"/>
          <w:sz w:val="22"/>
          <w:szCs w:val="22"/>
        </w:rPr>
        <w:t xml:space="preserve">Figure </w:t>
      </w:r>
      <w:r w:rsidRPr="005B1CCB">
        <w:rPr>
          <w:rFonts w:cstheme="minorHAnsi"/>
          <w:sz w:val="22"/>
          <w:szCs w:val="22"/>
        </w:rPr>
        <w:fldChar w:fldCharType="begin"/>
      </w:r>
      <w:r w:rsidRPr="005B1CCB">
        <w:rPr>
          <w:rFonts w:cstheme="minorHAnsi"/>
          <w:sz w:val="22"/>
          <w:szCs w:val="22"/>
        </w:rPr>
        <w:instrText xml:space="preserve"> SEQ Figure \* ARABIC </w:instrText>
      </w:r>
      <w:r w:rsidRPr="005B1CCB">
        <w:rPr>
          <w:rFonts w:cstheme="minorHAnsi"/>
          <w:sz w:val="22"/>
          <w:szCs w:val="22"/>
        </w:rPr>
        <w:fldChar w:fldCharType="separate"/>
      </w:r>
      <w:r w:rsidR="009007B4">
        <w:rPr>
          <w:rFonts w:cstheme="minorHAnsi"/>
          <w:noProof/>
          <w:sz w:val="22"/>
          <w:szCs w:val="22"/>
        </w:rPr>
        <w:t>42</w:t>
      </w:r>
      <w:r w:rsidRPr="005B1CCB">
        <w:rPr>
          <w:rFonts w:cstheme="minorHAnsi"/>
          <w:sz w:val="22"/>
          <w:szCs w:val="22"/>
        </w:rPr>
        <w:fldChar w:fldCharType="end"/>
      </w:r>
      <w:r w:rsidRPr="005B1CCB">
        <w:rPr>
          <w:rFonts w:cstheme="minorHAnsi"/>
          <w:sz w:val="22"/>
          <w:szCs w:val="22"/>
        </w:rPr>
        <w:t>: DPV result showing the reproducibility of the oxidative peak currents of the 8-chip multi-SPCEs sensor taken over 8 cycles using the same current and voltage input.</w:t>
      </w:r>
      <w:bookmarkEnd w:id="172"/>
    </w:p>
    <w:p w14:paraId="3A148FE6" w14:textId="7A62F65D" w:rsidR="00C34AC3" w:rsidRDefault="00705743" w:rsidP="00701B05">
      <w:pPr>
        <w:spacing w:line="360" w:lineRule="auto"/>
        <w:jc w:val="both"/>
        <w:rPr>
          <w:rFonts w:ascii="Palatino Linotype" w:hAnsi="Palatino Linotype"/>
          <w:sz w:val="24"/>
          <w:szCs w:val="24"/>
        </w:rPr>
      </w:pPr>
      <w:r w:rsidRPr="005B1CCB">
        <w:rPr>
          <w:rFonts w:ascii="Palatino Linotype" w:hAnsi="Palatino Linotype"/>
          <w:sz w:val="24"/>
          <w:szCs w:val="24"/>
        </w:rPr>
        <w:t xml:space="preserve">   Electrochemical signal changes of </w:t>
      </w:r>
      <w:r w:rsidRPr="00572868">
        <w:rPr>
          <w:rFonts w:ascii="Palatino Linotype" w:hAnsi="Palatino Linotype"/>
          <w:sz w:val="24"/>
          <w:szCs w:val="24"/>
        </w:rPr>
        <w:t>similar amplitude, direction and magnitude were observed</w:t>
      </w:r>
      <w:r w:rsidRPr="005B1CCB">
        <w:rPr>
          <w:rFonts w:ascii="Palatino Linotype" w:hAnsi="Palatino Linotype"/>
          <w:sz w:val="24"/>
          <w:szCs w:val="24"/>
        </w:rPr>
        <w:t xml:space="preserve">. </w:t>
      </w:r>
      <w:r w:rsidRPr="005B1CCB">
        <w:rPr>
          <w:rFonts w:ascii="Palatino Linotype" w:hAnsi="Palatino Linotype"/>
          <w:sz w:val="24"/>
          <w:szCs w:val="24"/>
          <w:lang w:bidi="en-US"/>
        </w:rPr>
        <w:t xml:space="preserve">After selecting the optimum pre-treatment technique and redox buffer for electrochemical measurements, it was important to simultaneously observe the eight working electrodes on the multi-SPCEs prior to functionalisation. </w:t>
      </w:r>
      <w:r w:rsidRPr="005B1CCB">
        <w:rPr>
          <w:rFonts w:ascii="Palatino Linotype" w:hAnsi="Palatino Linotype"/>
          <w:i/>
          <w:iCs/>
          <w:sz w:val="24"/>
          <w:szCs w:val="24"/>
          <w:lang w:bidi="en-US"/>
        </w:rPr>
        <w:t xml:space="preserve">   </w:t>
      </w:r>
      <w:r w:rsidRPr="005B1CCB">
        <w:rPr>
          <w:rFonts w:ascii="Palatino Linotype" w:hAnsi="Palatino Linotype"/>
          <w:sz w:val="24"/>
          <w:szCs w:val="24"/>
        </w:rPr>
        <w:t xml:space="preserve"> All solutions were cycled on the 8-chip multi-electrodes using DPV scans from 0.0 to 0.6V at a scan rate of 100mV/s with current ranges between 10nA and 10mA. </w:t>
      </w:r>
      <w:r w:rsidRPr="005B1CCB">
        <w:rPr>
          <w:rFonts w:ascii="Palatino Linotype" w:hAnsi="Palatino Linotype"/>
          <w:sz w:val="24"/>
          <w:szCs w:val="24"/>
          <w:lang w:bidi="en-US"/>
        </w:rPr>
        <w:t xml:space="preserve">The typical DPV curve shown in </w:t>
      </w:r>
      <w:r w:rsidR="00CA02F5" w:rsidRPr="005B1CCB">
        <w:rPr>
          <w:rFonts w:ascii="Palatino Linotype" w:hAnsi="Palatino Linotype"/>
          <w:sz w:val="24"/>
          <w:szCs w:val="24"/>
          <w:lang w:bidi="en-US"/>
        </w:rPr>
        <w:t>F</w:t>
      </w:r>
      <w:r w:rsidRPr="005B1CCB">
        <w:rPr>
          <w:rFonts w:ascii="Palatino Linotype" w:hAnsi="Palatino Linotype"/>
          <w:sz w:val="24"/>
          <w:szCs w:val="24"/>
          <w:lang w:bidi="en-US"/>
        </w:rPr>
        <w:t>igure</w:t>
      </w:r>
      <w:r w:rsidR="00CA02F5" w:rsidRPr="005B1CCB">
        <w:rPr>
          <w:rFonts w:ascii="Palatino Linotype" w:hAnsi="Palatino Linotype"/>
          <w:sz w:val="24"/>
          <w:szCs w:val="24"/>
          <w:lang w:bidi="en-US"/>
        </w:rPr>
        <w:t xml:space="preserve"> 4</w:t>
      </w:r>
      <w:r w:rsidR="007D6386" w:rsidRPr="005B1CCB">
        <w:rPr>
          <w:rFonts w:ascii="Palatino Linotype" w:hAnsi="Palatino Linotype"/>
          <w:sz w:val="24"/>
          <w:szCs w:val="24"/>
          <w:lang w:bidi="en-US"/>
        </w:rPr>
        <w:t>2</w:t>
      </w:r>
      <w:r w:rsidRPr="005B1CCB">
        <w:rPr>
          <w:rFonts w:ascii="Palatino Linotype" w:hAnsi="Palatino Linotype"/>
          <w:sz w:val="24"/>
          <w:szCs w:val="24"/>
          <w:lang w:bidi="en-US"/>
        </w:rPr>
        <w:t xml:space="preserve"> shows a uniform peak current, magnitude and potential between all electrodes suggesting a high level of consistency. </w:t>
      </w:r>
      <w:r w:rsidR="000323F7">
        <w:rPr>
          <w:rFonts w:ascii="Palatino Linotype" w:hAnsi="Palatino Linotype"/>
          <w:sz w:val="24"/>
          <w:szCs w:val="24"/>
          <w:lang w:bidi="en-US"/>
        </w:rPr>
        <w:t xml:space="preserve">Although sensor-to-sensor variation is taken into account, </w:t>
      </w:r>
      <w:r w:rsidR="000323F7">
        <w:rPr>
          <w:rFonts w:ascii="Palatino Linotype" w:hAnsi="Palatino Linotype"/>
          <w:sz w:val="24"/>
          <w:szCs w:val="24"/>
        </w:rPr>
        <w:t>t</w:t>
      </w:r>
      <w:r w:rsidRPr="00572868">
        <w:rPr>
          <w:rFonts w:ascii="Palatino Linotype" w:hAnsi="Palatino Linotype"/>
          <w:sz w:val="24"/>
          <w:szCs w:val="24"/>
        </w:rPr>
        <w:t xml:space="preserve">his good reproducibility </w:t>
      </w:r>
      <w:r w:rsidR="000323F7">
        <w:rPr>
          <w:rFonts w:ascii="Palatino Linotype" w:hAnsi="Palatino Linotype"/>
          <w:sz w:val="24"/>
          <w:szCs w:val="24"/>
        </w:rPr>
        <w:t xml:space="preserve">is demonstrated, meaning </w:t>
      </w:r>
      <w:r w:rsidRPr="00572868">
        <w:rPr>
          <w:rFonts w:ascii="Palatino Linotype" w:hAnsi="Palatino Linotype"/>
          <w:sz w:val="24"/>
          <w:szCs w:val="24"/>
        </w:rPr>
        <w:t xml:space="preserve">that the measurements </w:t>
      </w:r>
      <w:r w:rsidR="000323F7">
        <w:rPr>
          <w:rFonts w:ascii="Palatino Linotype" w:hAnsi="Palatino Linotype"/>
          <w:sz w:val="24"/>
          <w:szCs w:val="24"/>
        </w:rPr>
        <w:t>will be</w:t>
      </w:r>
      <w:r w:rsidR="000323F7" w:rsidRPr="00572868">
        <w:rPr>
          <w:rFonts w:ascii="Palatino Linotype" w:hAnsi="Palatino Linotype"/>
          <w:sz w:val="24"/>
          <w:szCs w:val="24"/>
        </w:rPr>
        <w:t xml:space="preserve"> </w:t>
      </w:r>
      <w:r w:rsidRPr="00572868">
        <w:rPr>
          <w:rFonts w:ascii="Palatino Linotype" w:hAnsi="Palatino Linotype"/>
          <w:sz w:val="24"/>
          <w:szCs w:val="24"/>
        </w:rPr>
        <w:t>easier to predict</w:t>
      </w:r>
      <w:r w:rsidRPr="005B1CCB">
        <w:rPr>
          <w:rFonts w:ascii="Palatino Linotype" w:hAnsi="Palatino Linotype"/>
          <w:sz w:val="24"/>
          <w:szCs w:val="24"/>
        </w:rPr>
        <w:t>.</w:t>
      </w:r>
    </w:p>
    <w:p w14:paraId="419245E5" w14:textId="239042A0" w:rsidR="00C34AC3" w:rsidRDefault="00C34AC3" w:rsidP="00701B05">
      <w:pPr>
        <w:spacing w:line="360" w:lineRule="auto"/>
        <w:jc w:val="both"/>
        <w:rPr>
          <w:rFonts w:ascii="Palatino Linotype" w:hAnsi="Palatino Linotype"/>
          <w:sz w:val="24"/>
          <w:szCs w:val="24"/>
        </w:rPr>
      </w:pPr>
    </w:p>
    <w:p w14:paraId="7058C532" w14:textId="3D897192" w:rsidR="00C34AC3" w:rsidRDefault="00C34AC3" w:rsidP="00701B05">
      <w:pPr>
        <w:spacing w:line="360" w:lineRule="auto"/>
        <w:jc w:val="both"/>
        <w:rPr>
          <w:rFonts w:ascii="Palatino Linotype" w:hAnsi="Palatino Linotype"/>
          <w:sz w:val="24"/>
          <w:szCs w:val="24"/>
        </w:rPr>
      </w:pPr>
    </w:p>
    <w:p w14:paraId="5CD6D211" w14:textId="77777777" w:rsidR="00C34AC3" w:rsidRPr="005B1CCB" w:rsidRDefault="00C34AC3" w:rsidP="00701B05">
      <w:pPr>
        <w:spacing w:line="360" w:lineRule="auto"/>
        <w:jc w:val="both"/>
        <w:rPr>
          <w:rFonts w:ascii="Palatino Linotype" w:hAnsi="Palatino Linotype"/>
          <w:sz w:val="24"/>
          <w:szCs w:val="24"/>
        </w:rPr>
      </w:pPr>
    </w:p>
    <w:p w14:paraId="0DBD0412" w14:textId="77777777" w:rsidR="00E11004" w:rsidRPr="005B1CCB" w:rsidRDefault="00E11004" w:rsidP="00E11004">
      <w:pPr>
        <w:pStyle w:val="Heading3"/>
      </w:pPr>
      <w:bookmarkStart w:id="173" w:name="_Toc84528131"/>
      <w:r w:rsidRPr="005B1CCB">
        <w:t>Sensor optimisation</w:t>
      </w:r>
      <w:bookmarkEnd w:id="173"/>
      <w:r w:rsidR="003A786A" w:rsidRPr="005B1CCB">
        <w:t xml:space="preserve"> </w:t>
      </w:r>
    </w:p>
    <w:p w14:paraId="2751DFF0" w14:textId="76DDC103" w:rsidR="00C54BF8" w:rsidRPr="005B1CCB" w:rsidRDefault="00526A4F" w:rsidP="00C54BF8">
      <w:pPr>
        <w:pStyle w:val="MDPI31text"/>
        <w:spacing w:line="360" w:lineRule="auto"/>
        <w:ind w:firstLine="0"/>
        <w:rPr>
          <w:noProof/>
          <w:sz w:val="24"/>
          <w:szCs w:val="24"/>
        </w:rPr>
      </w:pPr>
      <w:r w:rsidRPr="005B1CCB">
        <w:rPr>
          <w:sz w:val="24"/>
          <w:szCs w:val="24"/>
          <w:lang w:val="en-GB"/>
        </w:rPr>
        <w:t xml:space="preserve">   </w:t>
      </w:r>
      <w:r w:rsidR="00E11004" w:rsidRPr="005B1CCB">
        <w:rPr>
          <w:sz w:val="24"/>
          <w:szCs w:val="24"/>
          <w:lang w:val="en-GB"/>
        </w:rPr>
        <w:t xml:space="preserve">The use of an SPCE with multiple working electrodes allows each electrode to be individually modified and rapidly carry out simultaneous measurements of peak currents. </w:t>
      </w:r>
      <w:r w:rsidR="00E11004" w:rsidRPr="00572868">
        <w:rPr>
          <w:sz w:val="24"/>
          <w:szCs w:val="24"/>
          <w:lang w:val="en-GB"/>
        </w:rPr>
        <w:t>Electrografting using in situ generated diazonium cations is important for modifying the surface of the SPCE by allowing the formation of covalent bonds between the carbon surface and organic films</w:t>
      </w:r>
      <w:r w:rsidR="00E11004" w:rsidRPr="005B1CCB">
        <w:rPr>
          <w:sz w:val="24"/>
          <w:szCs w:val="24"/>
          <w:lang w:val="en-GB"/>
        </w:rPr>
        <w:t xml:space="preserve"> </w:t>
      </w:r>
      <w:r w:rsidR="00E11004" w:rsidRPr="005B1CCB">
        <w:rPr>
          <w:sz w:val="24"/>
          <w:szCs w:val="24"/>
          <w:lang w:val="en-GB"/>
        </w:rPr>
        <w:fldChar w:fldCharType="begin" w:fldLock="1"/>
      </w:r>
      <w:r w:rsidR="000766C5">
        <w:rPr>
          <w:sz w:val="24"/>
          <w:szCs w:val="24"/>
          <w:lang w:val="en-GB"/>
        </w:rPr>
        <w:instrText>ADDIN CSL_CITATION {"citationItems":[{"id":"ITEM-1","itemData":{"DOI":"10.3390/bios10010004","ISSN":"20796374","PMID":"31952195","abstract":"This review is divided into two parts; the first one summarizes the main features of surface modification by diazonium salts with a focus on most recent advances, while the second part deals with diazonium-based biosensors including small molecules of biological interest, proteins, and nucleic acids.","author":[{"dropping-particle":"","family":"Hetemi","given":"Dardan","non-dropping-particle":"","parse-names":false,"suffix":""},{"dropping-particle":"","family":"Noël","given":"Vincent","non-dropping-particle":"","parse-names":false,"suffix":""},{"dropping-particle":"","family":"Pinson","given":"Jean","non-dropping-particle":"","parse-names":false,"suffix":""}],"container-title":"Biosensors","id":"ITEM-1","issue":"1","issued":{"date-parts":[["2020"]]},"title":"Grafting of diazonium salts on surfaces: Application to biosensors","type":"article-journal","volume":"10"},"uris":["http://www.mendeley.com/documents/?uuid=6b0337df-a481-4dc8-b753-cb17ab175f0e"]}],"mendeley":{"formattedCitation":"[188]","manualFormatting":"[45","plainTextFormattedCitation":"[188]","previouslyFormattedCitation":"[188]"},"properties":{"noteIndex":0},"schema":"https://github.com/citation-style-language/schema/raw/master/csl-citation.json"}</w:instrText>
      </w:r>
      <w:r w:rsidR="00E11004" w:rsidRPr="005B1CCB">
        <w:rPr>
          <w:sz w:val="24"/>
          <w:szCs w:val="24"/>
          <w:lang w:val="en-GB"/>
        </w:rPr>
        <w:fldChar w:fldCharType="separate"/>
      </w:r>
      <w:r w:rsidR="00E11004" w:rsidRPr="005B1CCB">
        <w:rPr>
          <w:noProof/>
          <w:sz w:val="24"/>
          <w:szCs w:val="24"/>
          <w:lang w:val="en-GB"/>
        </w:rPr>
        <w:t>[45</w:t>
      </w:r>
      <w:r w:rsidR="00E11004" w:rsidRPr="005B1CCB">
        <w:rPr>
          <w:sz w:val="24"/>
          <w:szCs w:val="24"/>
          <w:lang w:val="en-GB"/>
        </w:rPr>
        <w:fldChar w:fldCharType="end"/>
      </w:r>
      <w:r w:rsidR="00E11004" w:rsidRPr="005B1CCB">
        <w:rPr>
          <w:sz w:val="24"/>
          <w:szCs w:val="24"/>
          <w:lang w:val="en-GB"/>
        </w:rPr>
        <w:t>-</w:t>
      </w:r>
      <w:r w:rsidR="00E11004" w:rsidRPr="005B1CCB">
        <w:rPr>
          <w:i/>
          <w:sz w:val="24"/>
          <w:szCs w:val="24"/>
          <w:lang w:val="en-GB"/>
        </w:rPr>
        <w:fldChar w:fldCharType="begin" w:fldLock="1"/>
      </w:r>
      <w:r w:rsidR="000766C5">
        <w:rPr>
          <w:i/>
          <w:sz w:val="24"/>
          <w:szCs w:val="24"/>
          <w:lang w:val="en-GB"/>
        </w:rPr>
        <w:instrText>ADDIN CSL_CITATION {"citationItems":[{"id":"ITEM-1","itemData":{"DOI":"10.3390/bios9030088","ISSN":"20796374","PMID":"31319551","abstract":"Altered growth hormone (GH) levels represent a major global health challenge that would benefit from advances in screening methods that are rapid and low cost. Here, we present a miniaturized immunosensor using disposable screen-printed carbon electrodes (SPCEs) for the detection of GH with high sensitivity. The diazonium-based linker layer was electrochemically deposited onto SPCE surfaces, and subsequently activated using covalent agents to immobilize monoclonal anti-GH antibodies as the sensing layer. The surface modifications were monitored using contact angle measurements and X-ray photoelectron spectroscopy (XPS). The dissociation constant, Kd, of the anti-GH antibodies was also determined as 1.44 (±0.15) using surface plasmon resonance (SPR). The immunosensor was able to detect GH in the picomolar range using a 20 μL sample volume in connection with electrochemical impedance spectroscopy (EIS). The selectivity of the SPCE-based immunosensors was also challenged with whole blood and serum samples collected at various development stages of rats, demonstrating the potential applicability for detection in biological samples. Our results demonstrated that SPCEs provided the development of low-cost and single-use electrochemical immunosensors in comparison with glassy carbon electrode (GCE)-based ones.","author":[{"dropping-particle":"","family":"Li","given":"Nan","non-dropping-particle":"","parse-names":false,"suffix":""},{"dropping-particle":"","family":"Chow","given":"Ari M.","non-dropping-particle":"","parse-names":false,"suffix":""},{"dropping-particle":"","family":"Ganesh","given":"Hashwin V.S.","non-dropping-particle":"","parse-names":false,"suffix":""},{"dropping-particle":"","family":"Ratnam","given":"Melanie","non-dropping-particle":"","parse-names":false,"suffix":""},{"dropping-particle":"","family":"Brown","given":"Ian R.","non-dropping-particle":"","parse-names":false,"suffix":""},{"dropping-particle":"","family":"Kerman","given":"Kagan","non-dropping-particle":"","parse-names":false,"suffix":""}],"container-title":"Biosensors","id":"ITEM-1","issue":"3","issued":{"date-parts":[["2019"]]},"title":"Diazonium-modified screen-printed electrodes for immunosensing growth hormone in blood samples","type":"article-journal","volume":"9"},"uris":["http://www.mendeley.com/documents/?uuid=451f13f3-6240-4761-bd90-acd5f6f026cd"]}],"mendeley":{"formattedCitation":"[189]","manualFormatting":"46]","plainTextFormattedCitation":"[189]","previouslyFormattedCitation":"[189]"},"properties":{"noteIndex":0},"schema":"https://github.com/citation-style-language/schema/raw/master/csl-citation.json"}</w:instrText>
      </w:r>
      <w:r w:rsidR="00E11004" w:rsidRPr="005B1CCB">
        <w:rPr>
          <w:i/>
          <w:sz w:val="24"/>
          <w:szCs w:val="24"/>
          <w:lang w:val="en-GB"/>
        </w:rPr>
        <w:fldChar w:fldCharType="separate"/>
      </w:r>
      <w:r w:rsidR="00E11004" w:rsidRPr="005B1CCB">
        <w:rPr>
          <w:noProof/>
          <w:sz w:val="24"/>
          <w:szCs w:val="24"/>
          <w:lang w:val="en-GB"/>
        </w:rPr>
        <w:t>46]</w:t>
      </w:r>
      <w:r w:rsidR="00E11004" w:rsidRPr="005B1CCB">
        <w:rPr>
          <w:i/>
          <w:sz w:val="24"/>
          <w:szCs w:val="24"/>
          <w:lang w:val="en-GB"/>
        </w:rPr>
        <w:fldChar w:fldCharType="end"/>
      </w:r>
      <w:r w:rsidR="00E11004" w:rsidRPr="005B1CCB">
        <w:rPr>
          <w:sz w:val="24"/>
          <w:szCs w:val="24"/>
          <w:lang w:val="en-GB"/>
        </w:rPr>
        <w:t xml:space="preserve">. The EDC molecule is an established zero-length cross-linking agent that has been employed in coupling carboxyl groups to primary amines in various applications </w:t>
      </w:r>
      <w:r w:rsidR="00E11004" w:rsidRPr="005B1CCB">
        <w:rPr>
          <w:i/>
          <w:sz w:val="24"/>
          <w:szCs w:val="24"/>
          <w:lang w:val="en-GB"/>
        </w:rPr>
        <w:fldChar w:fldCharType="begin" w:fldLock="1"/>
      </w:r>
      <w:r w:rsidR="000766C5">
        <w:rPr>
          <w:sz w:val="24"/>
          <w:szCs w:val="24"/>
          <w:lang w:val="en-GB"/>
        </w:rPr>
        <w:instrText>ADDIN CSL_CITATION {"citationItems":[{"id":"ITEM-1","itemData":{"DOI":"10.1002/jin2.16","ISSN":"20583273","author":[{"dropping-particle":"","family":"Obaje","given":"Eleojo A.","non-dropping-particle":"","parse-names":false,"suffix":""},{"dropping-particle":"","family":"Cummins","given":"Gerard","non-dropping-particle":"","parse-names":false,"suffix":""},{"dropping-particle":"","family":"Schulze","given":"Holger","non-dropping-particle":"","parse-names":false,"suffix":""},{"dropping-particle":"","family":"Mahmood","given":"Salman","non-dropping-particle":"","parse-names":false,"suffix":""},{"dropping-particle":"","family":"Desmulliez","given":"Marc P.Y.","non-dropping-particle":"","parse-names":false,"suffix":""},{"dropping-particle":"","family":"Bachmann","given":"Till T.","non-dropping-particle":"","parse-names":false,"suffix":""}],"container-title":"Journal of Interdisciplinary Nanomedicine","id":"ITEM-1","issue":"3","issued":{"date-parts":[["2016"]]},"page":"93-109","title":"Carbon screen-printed electrodes on ceramic substrates for label-free molecular detection of antibiotic resistance","type":"article-journal","volume":"1"},"uris":["http://www.mendeley.com/documents/?uuid=c42a9070-bc63-40d6-b0a1-356e9adc6ec9"]}],"mendeley":{"formattedCitation":"[190]","plainTextFormattedCitation":"[190]","previouslyFormattedCitation":"[190]"},"properties":{"noteIndex":0},"schema":"https://github.com/citation-style-language/schema/raw/master/csl-citation.json"}</w:instrText>
      </w:r>
      <w:r w:rsidR="00E11004" w:rsidRPr="005B1CCB">
        <w:rPr>
          <w:i/>
          <w:sz w:val="24"/>
          <w:szCs w:val="24"/>
          <w:lang w:val="en-GB"/>
        </w:rPr>
        <w:fldChar w:fldCharType="separate"/>
      </w:r>
      <w:r w:rsidR="005F2946" w:rsidRPr="005F2946">
        <w:rPr>
          <w:noProof/>
          <w:sz w:val="24"/>
          <w:szCs w:val="24"/>
          <w:lang w:val="en-GB"/>
        </w:rPr>
        <w:t>[190]</w:t>
      </w:r>
      <w:r w:rsidR="00E11004" w:rsidRPr="005B1CCB">
        <w:rPr>
          <w:i/>
          <w:sz w:val="24"/>
          <w:szCs w:val="24"/>
          <w:lang w:val="en-GB"/>
        </w:rPr>
        <w:fldChar w:fldCharType="end"/>
      </w:r>
      <w:r w:rsidR="00E11004" w:rsidRPr="005B1CCB">
        <w:rPr>
          <w:sz w:val="24"/>
          <w:szCs w:val="24"/>
          <w:lang w:val="en-GB"/>
        </w:rPr>
        <w:t xml:space="preserve">. </w:t>
      </w:r>
      <w:r w:rsidR="00E11004" w:rsidRPr="00572868">
        <w:rPr>
          <w:sz w:val="24"/>
          <w:szCs w:val="24"/>
          <w:lang w:val="en-GB"/>
        </w:rPr>
        <w:t>One of the main benefits of EDC coupling is its water solubility that allows direct bio-conjugation without prior organic solvent dissolution. To improve the stability of the active ester, NHS was introduced to modify the amine-reactive chemical substance by converting it to an active NHS ester, thus maximising the efficiency of the EDC-mediated coupling reactions.</w:t>
      </w:r>
      <w:r w:rsidR="00E11004" w:rsidRPr="005B1CCB">
        <w:rPr>
          <w:sz w:val="24"/>
          <w:szCs w:val="24"/>
          <w:lang w:val="en-GB"/>
        </w:rPr>
        <w:t xml:space="preserve"> </w:t>
      </w:r>
    </w:p>
    <w:p w14:paraId="0B08B2E9" w14:textId="7AE321B2" w:rsidR="00863842" w:rsidRDefault="001A7ACA" w:rsidP="00D412BB">
      <w:pPr>
        <w:keepNext/>
        <w:spacing w:line="360" w:lineRule="auto"/>
        <w:jc w:val="both"/>
        <w:rPr>
          <w:rFonts w:ascii="Palatino Linotype" w:hAnsi="Palatino Linotype"/>
          <w:noProof/>
          <w:sz w:val="24"/>
          <w:szCs w:val="24"/>
          <w:lang w:eastAsia="de-DE" w:bidi="en-US"/>
        </w:rPr>
      </w:pPr>
      <w:r w:rsidRPr="005B1CCB">
        <w:rPr>
          <w:rFonts w:ascii="Palatino Linotype" w:hAnsi="Palatino Linotype"/>
          <w:noProof/>
          <w:sz w:val="24"/>
          <w:szCs w:val="24"/>
          <w:lang w:eastAsia="de-DE" w:bidi="en-US"/>
        </w:rPr>
        <w:t xml:space="preserve">   </w:t>
      </w:r>
      <w:r w:rsidR="00E11004" w:rsidRPr="005B1CCB">
        <w:rPr>
          <w:rFonts w:ascii="Palatino Linotype" w:hAnsi="Palatino Linotype"/>
          <w:noProof/>
          <w:sz w:val="24"/>
          <w:szCs w:val="24"/>
          <w:lang w:eastAsia="de-DE" w:bidi="en-US"/>
        </w:rPr>
        <w:t xml:space="preserve">A high level of consistency in the peak current, potential and width was observed after repeated cycling of each bare electrode however optimisation work was carried out to ensure that our assay was as sensitive as possible. In Figure </w:t>
      </w:r>
      <w:r w:rsidR="00A63EB7" w:rsidRPr="005B1CCB">
        <w:rPr>
          <w:rFonts w:ascii="Palatino Linotype" w:hAnsi="Palatino Linotype"/>
          <w:noProof/>
          <w:sz w:val="24"/>
          <w:szCs w:val="24"/>
          <w:lang w:eastAsia="de-DE" w:bidi="en-US"/>
        </w:rPr>
        <w:t>4</w:t>
      </w:r>
      <w:r w:rsidR="00AE4865" w:rsidRPr="005B1CCB">
        <w:rPr>
          <w:rFonts w:ascii="Palatino Linotype" w:hAnsi="Palatino Linotype"/>
          <w:noProof/>
          <w:sz w:val="24"/>
          <w:szCs w:val="24"/>
          <w:lang w:eastAsia="de-DE" w:bidi="en-US"/>
        </w:rPr>
        <w:t>3</w:t>
      </w:r>
      <w:r w:rsidR="00A63EB7" w:rsidRPr="005B1CCB">
        <w:rPr>
          <w:rFonts w:ascii="Palatino Linotype" w:hAnsi="Palatino Linotype"/>
          <w:noProof/>
          <w:sz w:val="24"/>
          <w:szCs w:val="24"/>
          <w:lang w:eastAsia="de-DE" w:bidi="en-US"/>
        </w:rPr>
        <w:t xml:space="preserve"> (A)</w:t>
      </w:r>
      <w:r w:rsidR="00E11004" w:rsidRPr="005B1CCB">
        <w:rPr>
          <w:rFonts w:ascii="Palatino Linotype" w:hAnsi="Palatino Linotype"/>
          <w:noProof/>
          <w:sz w:val="24"/>
          <w:szCs w:val="24"/>
          <w:lang w:eastAsia="de-DE" w:bidi="en-US"/>
        </w:rPr>
        <w:t xml:space="preserve">, it was noted that although the bare SPCE exhibited </w:t>
      </w:r>
      <w:r w:rsidR="004D55A7" w:rsidRPr="005B1CCB">
        <w:rPr>
          <w:rFonts w:ascii="Palatino Linotype" w:hAnsi="Palatino Linotype"/>
          <w:noProof/>
          <w:sz w:val="24"/>
          <w:szCs w:val="24"/>
          <w:lang w:eastAsia="de-DE" w:bidi="en-US"/>
        </w:rPr>
        <w:t>a notable</w:t>
      </w:r>
      <w:r w:rsidR="00E11004" w:rsidRPr="005B1CCB">
        <w:rPr>
          <w:rFonts w:ascii="Palatino Linotype" w:hAnsi="Palatino Linotype"/>
          <w:noProof/>
          <w:sz w:val="24"/>
          <w:szCs w:val="24"/>
          <w:lang w:eastAsia="de-DE" w:bidi="en-US"/>
        </w:rPr>
        <w:t xml:space="preserve"> sensitivity with the highest peak current of those presented, after all surface modification steps and DNA hybridisation was carried out, </w:t>
      </w:r>
      <w:r w:rsidR="00E11004" w:rsidRPr="00572868">
        <w:rPr>
          <w:rFonts w:ascii="Palatino Linotype" w:hAnsi="Palatino Linotype"/>
          <w:noProof/>
          <w:sz w:val="24"/>
          <w:szCs w:val="24"/>
          <w:lang w:eastAsia="de-DE" w:bidi="en-US"/>
        </w:rPr>
        <w:t>the SPCE pre-treated using acetate buffer containing NaCl showed the most suitable response</w:t>
      </w:r>
      <w:r w:rsidR="00E11004" w:rsidRPr="005B1CCB">
        <w:rPr>
          <w:rFonts w:ascii="Palatino Linotype" w:hAnsi="Palatino Linotype"/>
          <w:noProof/>
          <w:sz w:val="24"/>
          <w:szCs w:val="24"/>
          <w:lang w:eastAsia="de-DE" w:bidi="en-US"/>
        </w:rPr>
        <w:t xml:space="preserve">. </w:t>
      </w:r>
      <w:r w:rsidR="00653D6D" w:rsidRPr="00653D6D">
        <w:rPr>
          <w:rFonts w:ascii="Palatino Linotype" w:hAnsi="Palatino Linotype"/>
          <w:noProof/>
          <w:sz w:val="24"/>
          <w:szCs w:val="24"/>
          <w:lang w:eastAsia="de-DE" w:bidi="en-US"/>
        </w:rPr>
        <w:t xml:space="preserve">The standard deviation reflects the variation obtained from the experimental replicas.  </w:t>
      </w:r>
      <w:r w:rsidR="00E11004" w:rsidRPr="005B1CCB">
        <w:rPr>
          <w:rFonts w:ascii="Palatino Linotype" w:hAnsi="Palatino Linotype"/>
          <w:noProof/>
          <w:sz w:val="24"/>
          <w:szCs w:val="24"/>
          <w:lang w:eastAsia="de-DE" w:bidi="en-US"/>
        </w:rPr>
        <w:t xml:space="preserve">As previous studies have shown an </w:t>
      </w:r>
      <w:r w:rsidR="00E11004" w:rsidRPr="00572868">
        <w:rPr>
          <w:rFonts w:ascii="Palatino Linotype" w:hAnsi="Palatino Linotype"/>
          <w:noProof/>
          <w:sz w:val="24"/>
          <w:szCs w:val="24"/>
          <w:lang w:eastAsia="de-DE" w:bidi="en-US"/>
        </w:rPr>
        <w:t>increase in surface roughness after pretreating screen printed electrodes</w:t>
      </w:r>
      <w:r w:rsidR="00E11004" w:rsidRPr="005B1CCB">
        <w:rPr>
          <w:rFonts w:ascii="Palatino Linotype" w:hAnsi="Palatino Linotype"/>
          <w:noProof/>
          <w:sz w:val="24"/>
          <w:szCs w:val="24"/>
          <w:lang w:eastAsia="de-DE" w:bidi="en-US"/>
        </w:rPr>
        <w:t xml:space="preserve"> </w:t>
      </w:r>
      <w:r w:rsidR="00E11004" w:rsidRPr="005B1CCB">
        <w:rPr>
          <w:rFonts w:ascii="Palatino Linotype" w:hAnsi="Palatino Linotype"/>
          <w:noProof/>
          <w:sz w:val="24"/>
          <w:szCs w:val="24"/>
          <w:lang w:eastAsia="de-DE" w:bidi="en-US"/>
        </w:rPr>
        <w:fldChar w:fldCharType="begin" w:fldLock="1"/>
      </w:r>
      <w:r w:rsidR="000766C5">
        <w:rPr>
          <w:rFonts w:ascii="Palatino Linotype" w:hAnsi="Palatino Linotype"/>
          <w:noProof/>
          <w:sz w:val="24"/>
          <w:szCs w:val="24"/>
          <w:lang w:eastAsia="de-DE" w:bidi="en-US"/>
        </w:rPr>
        <w:instrText>ADDIN CSL_CITATION {"citationItems":[{"id":"ITEM-1","itemData":{"DOI":"10.1016/j.jelechem.2010.11.028","ISSN":"15726657","abstract":"This study reports that disposable, electrochemically pretreated screen-printed carbon electrodes (SPCE*) can be employed for the simultaneous determination of aminophenol isomers in aqueous buffer solution. In sharp contrast to untreated SPCE, voltammetric studies indicate that the oxidation peak potential of each analyte in an aminophenol isomer mixture may be separated at the activated SPCE*. The individual oxidation peak currents are greatly increased by first-order derivative techniques. All experimental parameters were optimized to improve responses. The derivative oxidation peak currents is proportional to the concentration of isomer over the range from 0.2 to 100 μM for 2-aminophenol (2AP), from 3.0 to 200 μM for 3-aminophenol (3AP), and from 0.2 to 200 μM for 4-aminophenol (4AP), with detection limits of 0.07, 0.16 and 0.05 μM, respectively. The proposed methods have excellent analytical characteristics that include ease of handling, high sensitivity, wide linear dynamic range and low detection limits. The assay was applied to the simultaneous determination of aminophenol isomers in river water with good recovery results. © 2010 Elsevier B.V. All rights reserved.","author":[{"dropping-particle":"","family":"Su","given":"Wan Yu","non-dropping-particle":"","parse-names":false,"suffix":""},{"dropping-particle":"","family":"Wang","given":"Sheng Ming","non-dropping-particle":"","parse-names":false,"suffix":""},{"dropping-particle":"","family":"Cheng","given":"Shu Hua","non-dropping-particle":"","parse-names":false,"suffix":""}],"container-title":"Journal of Electroanalytical Chemistry","id":"ITEM-1","issue":"2","issued":{"date-parts":[["2011"]]},"page":"166-172","publisher":"Elsevier B.V.","title":"Electrochemically pretreated screen-printed carbon electrodes for the simultaneous determination of aminophenol isomers","type":"article-journal","volume":"651"},"uris":["http://www.mendeley.com/documents/?uuid=bb40baac-7e8f-4ef3-8829-7e549c30c087"]}],"mendeley":{"formattedCitation":"[243]","manualFormatting":"[34","plainTextFormattedCitation":"[243]","previouslyFormattedCitation":"[243]"},"properties":{"noteIndex":0},"schema":"https://github.com/citation-style-language/schema/raw/master/csl-citation.json"}</w:instrText>
      </w:r>
      <w:r w:rsidR="00E11004" w:rsidRPr="005B1CCB">
        <w:rPr>
          <w:rFonts w:ascii="Palatino Linotype" w:hAnsi="Palatino Linotype"/>
          <w:noProof/>
          <w:sz w:val="24"/>
          <w:szCs w:val="24"/>
          <w:lang w:eastAsia="de-DE" w:bidi="en-US"/>
        </w:rPr>
        <w:fldChar w:fldCharType="separate"/>
      </w:r>
      <w:r w:rsidR="00E11004" w:rsidRPr="005B1CCB">
        <w:rPr>
          <w:rFonts w:ascii="Palatino Linotype" w:hAnsi="Palatino Linotype"/>
          <w:noProof/>
          <w:sz w:val="24"/>
          <w:szCs w:val="24"/>
          <w:lang w:eastAsia="de-DE" w:bidi="en-US"/>
        </w:rPr>
        <w:t>[34</w:t>
      </w:r>
      <w:r w:rsidR="00E11004" w:rsidRPr="005B1CCB">
        <w:rPr>
          <w:rFonts w:ascii="Palatino Linotype" w:hAnsi="Palatino Linotype"/>
          <w:noProof/>
          <w:sz w:val="24"/>
          <w:szCs w:val="24"/>
          <w:lang w:eastAsia="de-DE" w:bidi="en-US"/>
        </w:rPr>
        <w:fldChar w:fldCharType="end"/>
      </w:r>
      <w:r w:rsidR="00E11004" w:rsidRPr="005B1CCB">
        <w:rPr>
          <w:rFonts w:ascii="Palatino Linotype" w:hAnsi="Palatino Linotype"/>
          <w:noProof/>
          <w:sz w:val="24"/>
          <w:szCs w:val="24"/>
          <w:lang w:eastAsia="de-DE" w:bidi="en-US"/>
        </w:rPr>
        <w:t>-</w:t>
      </w:r>
      <w:r w:rsidR="00E11004" w:rsidRPr="005B1CCB">
        <w:rPr>
          <w:rFonts w:ascii="Palatino Linotype" w:hAnsi="Palatino Linotype"/>
          <w:noProof/>
          <w:sz w:val="24"/>
          <w:szCs w:val="24"/>
          <w:lang w:eastAsia="de-DE" w:bidi="en-US"/>
        </w:rPr>
        <w:fldChar w:fldCharType="begin" w:fldLock="1"/>
      </w:r>
      <w:r w:rsidR="000766C5">
        <w:rPr>
          <w:rFonts w:ascii="Palatino Linotype" w:hAnsi="Palatino Linotype"/>
          <w:noProof/>
          <w:sz w:val="24"/>
          <w:szCs w:val="24"/>
          <w:lang w:eastAsia="de-DE" w:bidi="en-US"/>
        </w:rPr>
        <w:instrText>ADDIN CSL_CITATION {"citationItems":[{"id":"ITEM-1","itemData":{"DOI":"10.1088/1757-899X/137/1/012060","ISSN":"1757899X","abstract":"Screen-printed electrodes (SPEs) with improved electrochemical performance were fabricated in this study. The SPEs on hydrophilic surface of polyethylene ethylene terephthalate (PET) film showed better electrochemical behaviour than that on hydrophobic surface. The optimal condition of pretreating fresh SPEs was that alternately dealt with chemical treatment (soaked in 3M NaOH solutions for 1h) and high temperature curing (heated at 120 °C for 15 min) for two times. After chemical treatment, the electrochemical performance of self-made SPEs was better than the commercial three electrodes system. By analyzing cyclic voltammetry (CV) curves, we found that the oxidation peak currents and peak to peak separation reached 407.65 μA and 111.16 mV, which mean the sensitivity and electron transfer rate improved 1.9 times and 3.8 times compared with fresh SPEs, and 2 times and 3 times compared with commercial DropSens (DS) electrodes. The obtained SPEs were stable, convenient and inexpensive, which could be extensively applied for developing novel electrochemical sensors.","author":[{"dropping-particle":"","family":"Du","given":"C. X.","non-dropping-particle":"","parse-names":false,"suffix":""},{"dropping-particle":"","family":"Han","given":"L.","non-dropping-particle":"","parse-names":false,"suffix":""},{"dropping-particle":"","family":"Dong","given":"S. L.","non-dropping-particle":"","parse-names":false,"suffix":""},{"dropping-particle":"","family":"Li","given":"L. H.","non-dropping-particle":"","parse-names":false,"suffix":""},{"dropping-particle":"","family":"Wei","given":"Y.","non-dropping-particle":"","parse-names":false,"suffix":""}],"container-title":"IOP Conference Series: Materials Science and Engineering","id":"ITEM-1","issue":"1","issued":{"date-parts":[["2016"]]},"page":"1-8","title":"A novel procedure for fabricating flexible screen-printed electrodes with improved electrochemical performance","type":"article-journal","volume":"137"},"uris":["http://www.mendeley.com/documents/?uuid=e5966bc0-04f4-4e8d-bb64-3ef1e57eaabd"]}],"mendeley":{"formattedCitation":"[244]","manualFormatting":"35]","plainTextFormattedCitation":"[244]","previouslyFormattedCitation":"[244]"},"properties":{"noteIndex":0},"schema":"https://github.com/citation-style-language/schema/raw/master/csl-citation.json"}</w:instrText>
      </w:r>
      <w:r w:rsidR="00E11004" w:rsidRPr="005B1CCB">
        <w:rPr>
          <w:rFonts w:ascii="Palatino Linotype" w:hAnsi="Palatino Linotype"/>
          <w:noProof/>
          <w:sz w:val="24"/>
          <w:szCs w:val="24"/>
          <w:lang w:eastAsia="de-DE" w:bidi="en-US"/>
        </w:rPr>
        <w:fldChar w:fldCharType="separate"/>
      </w:r>
      <w:r w:rsidR="00E11004" w:rsidRPr="005B1CCB">
        <w:rPr>
          <w:rFonts w:ascii="Palatino Linotype" w:hAnsi="Palatino Linotype"/>
          <w:noProof/>
          <w:sz w:val="24"/>
          <w:szCs w:val="24"/>
          <w:lang w:eastAsia="de-DE" w:bidi="en-US"/>
        </w:rPr>
        <w:t>35]</w:t>
      </w:r>
      <w:r w:rsidR="00E11004" w:rsidRPr="005B1CCB">
        <w:rPr>
          <w:rFonts w:ascii="Palatino Linotype" w:hAnsi="Palatino Linotype"/>
          <w:noProof/>
          <w:sz w:val="24"/>
          <w:szCs w:val="24"/>
          <w:lang w:eastAsia="de-DE" w:bidi="en-US"/>
        </w:rPr>
        <w:fldChar w:fldCharType="end"/>
      </w:r>
      <w:r w:rsidR="00E11004" w:rsidRPr="005B1CCB">
        <w:rPr>
          <w:rFonts w:ascii="Palatino Linotype" w:hAnsi="Palatino Linotype"/>
          <w:noProof/>
          <w:sz w:val="24"/>
          <w:szCs w:val="24"/>
          <w:lang w:eastAsia="de-DE" w:bidi="en-US"/>
        </w:rPr>
        <w:t xml:space="preserve">, we can infer that the </w:t>
      </w:r>
      <w:r w:rsidR="00E11004" w:rsidRPr="00572868">
        <w:rPr>
          <w:rFonts w:ascii="Palatino Linotype" w:hAnsi="Palatino Linotype"/>
          <w:noProof/>
          <w:sz w:val="24"/>
          <w:szCs w:val="24"/>
          <w:lang w:eastAsia="de-DE" w:bidi="en-US"/>
        </w:rPr>
        <w:t>improved electrochemical performance after DNA hybridisation on pre-treated electrodes resulted from the ability of the target DNA strands to bind readily to the surface of the probe modified electrode</w:t>
      </w:r>
      <w:r w:rsidR="00E11004" w:rsidRPr="005B1CCB">
        <w:rPr>
          <w:rFonts w:ascii="Palatino Linotype" w:hAnsi="Palatino Linotype"/>
          <w:noProof/>
          <w:sz w:val="24"/>
          <w:szCs w:val="24"/>
          <w:lang w:eastAsia="de-DE" w:bidi="en-US"/>
        </w:rPr>
        <w:t xml:space="preserve">. A high percentage signal change directly implies that a significant reduction in peak current upon target hybridisation has occured. </w:t>
      </w:r>
      <w:r w:rsidR="00E11004" w:rsidRPr="00572868">
        <w:rPr>
          <w:rFonts w:ascii="Palatino Linotype" w:hAnsi="Palatino Linotype"/>
          <w:noProof/>
          <w:sz w:val="24"/>
          <w:szCs w:val="24"/>
          <w:lang w:eastAsia="de-DE" w:bidi="en-US"/>
        </w:rPr>
        <w:t>For a ferri-ferrocyanide characterisation buffer, this can be attributed to the repulsion between negative charges of target DNA, probe DNA and negative ferriferrocyanide ions</w:t>
      </w:r>
      <w:r w:rsidR="00E11004" w:rsidRPr="005B1CCB">
        <w:rPr>
          <w:rFonts w:ascii="Palatino Linotype" w:hAnsi="Palatino Linotype"/>
          <w:noProof/>
          <w:sz w:val="24"/>
          <w:szCs w:val="24"/>
          <w:lang w:eastAsia="de-DE" w:bidi="en-US"/>
        </w:rPr>
        <w:t xml:space="preserve">. </w:t>
      </w:r>
      <w:r w:rsidR="00E11004" w:rsidRPr="00572868">
        <w:rPr>
          <w:rFonts w:ascii="Palatino Linotype" w:hAnsi="Palatino Linotype"/>
          <w:noProof/>
          <w:sz w:val="24"/>
          <w:szCs w:val="24"/>
          <w:lang w:eastAsia="de-DE" w:bidi="en-US"/>
        </w:rPr>
        <w:t>A wider peak separation (∆E</w:t>
      </w:r>
      <w:r w:rsidR="00E11004" w:rsidRPr="00572868">
        <w:rPr>
          <w:rFonts w:ascii="Palatino Linotype" w:hAnsi="Palatino Linotype"/>
          <w:noProof/>
          <w:sz w:val="24"/>
          <w:szCs w:val="24"/>
          <w:vertAlign w:val="subscript"/>
          <w:lang w:eastAsia="de-DE" w:bidi="en-US"/>
        </w:rPr>
        <w:t>p</w:t>
      </w:r>
      <w:r w:rsidR="00E11004" w:rsidRPr="00572868">
        <w:rPr>
          <w:rFonts w:ascii="Palatino Linotype" w:hAnsi="Palatino Linotype"/>
          <w:noProof/>
          <w:sz w:val="24"/>
          <w:szCs w:val="24"/>
          <w:lang w:eastAsia="de-DE" w:bidi="en-US"/>
        </w:rPr>
        <w:t>) than that predicted by the Nernst equation is also observed in SPCEs characterised by ferri-ferrocyanide (due to surface effects)</w:t>
      </w:r>
      <w:r w:rsidR="00E11004" w:rsidRPr="005B1CCB">
        <w:rPr>
          <w:rFonts w:ascii="Palatino Linotype" w:hAnsi="Palatino Linotype"/>
          <w:noProof/>
          <w:sz w:val="24"/>
          <w:szCs w:val="24"/>
          <w:lang w:eastAsia="de-DE" w:bidi="en-US"/>
        </w:rPr>
        <w:t xml:space="preserve">. Both redox buffers exhibited acceptable reversibility on pre-modified SPCEs. From Figure </w:t>
      </w:r>
      <w:r w:rsidR="00682780" w:rsidRPr="005B1CCB">
        <w:rPr>
          <w:rFonts w:ascii="Palatino Linotype" w:hAnsi="Palatino Linotype"/>
          <w:noProof/>
          <w:sz w:val="24"/>
          <w:szCs w:val="24"/>
          <w:lang w:eastAsia="de-DE" w:bidi="en-US"/>
        </w:rPr>
        <w:t>4</w:t>
      </w:r>
      <w:r w:rsidR="00AE4865" w:rsidRPr="005B1CCB">
        <w:rPr>
          <w:rFonts w:ascii="Palatino Linotype" w:hAnsi="Palatino Linotype"/>
          <w:noProof/>
          <w:sz w:val="24"/>
          <w:szCs w:val="24"/>
          <w:lang w:eastAsia="de-DE" w:bidi="en-US"/>
        </w:rPr>
        <w:t>3</w:t>
      </w:r>
      <w:r w:rsidR="00682780" w:rsidRPr="005B1CCB">
        <w:rPr>
          <w:rFonts w:ascii="Palatino Linotype" w:hAnsi="Palatino Linotype"/>
          <w:noProof/>
          <w:sz w:val="24"/>
          <w:szCs w:val="24"/>
          <w:lang w:eastAsia="de-DE" w:bidi="en-US"/>
        </w:rPr>
        <w:t xml:space="preserve">, </w:t>
      </w:r>
      <w:r w:rsidR="00E11004" w:rsidRPr="005B1CCB">
        <w:rPr>
          <w:rFonts w:ascii="Palatino Linotype" w:hAnsi="Palatino Linotype"/>
          <w:noProof/>
          <w:sz w:val="24"/>
          <w:szCs w:val="24"/>
          <w:lang w:eastAsia="de-DE" w:bidi="en-US"/>
        </w:rPr>
        <w:t xml:space="preserve">the changes in buffer characterisation observed on the DNA modified SPCEs confirms ruthenium hexaminechloride is an outer-sphere electron transfer mediator that is only affected by changes in the electroactive area, while the redox couple ferri-ferrocyanide is useful for determining the existence of functional groups due to its inner sphere sensitivity. The ferri-ferrocyanide buffer gave the most consistent signal change upon DNA hybridisation on the modified SPCEs, particularly when pre-treated with NaCl, therefore giving us a system which could be taken through to a full assay development stage. Upon hybridisation, NaOH pre-treatment indicated a lower sensitivity and a higher variation of sensor surface, thus raising doubts on the suitability of NaOH treatment for SPCEs in DNA hybridisation work. </w:t>
      </w:r>
    </w:p>
    <w:p w14:paraId="67C45B60" w14:textId="77777777" w:rsidR="00D412BB" w:rsidRPr="005B1CCB" w:rsidRDefault="00E11004" w:rsidP="00D412BB">
      <w:pPr>
        <w:keepNext/>
        <w:spacing w:line="360" w:lineRule="auto"/>
        <w:jc w:val="both"/>
      </w:pPr>
      <w:r w:rsidRPr="005B1CCB">
        <w:rPr>
          <w:noProof/>
          <w:lang w:eastAsia="en-GB"/>
        </w:rPr>
        <w:drawing>
          <wp:inline distT="0" distB="0" distL="0" distR="0" wp14:anchorId="08706041" wp14:editId="638F22B7">
            <wp:extent cx="6027353" cy="2493034"/>
            <wp:effectExtent l="0" t="0" r="0" b="2540"/>
            <wp:docPr id="9" name="Picture 9"/>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1"/>
                    <a:srcRect l="2190" t="1638" b="2272"/>
                    <a:stretch/>
                  </pic:blipFill>
                  <pic:spPr bwMode="auto">
                    <a:xfrm>
                      <a:off x="0" y="0"/>
                      <a:ext cx="6070254" cy="2510779"/>
                    </a:xfrm>
                    <a:prstGeom prst="rect">
                      <a:avLst/>
                    </a:prstGeom>
                    <a:ln>
                      <a:noFill/>
                    </a:ln>
                    <a:extLst>
                      <a:ext uri="{53640926-AAD7-44D8-BBD7-CCE9431645EC}">
                        <a14:shadowObscured xmlns:a14="http://schemas.microsoft.com/office/drawing/2010/main"/>
                      </a:ext>
                    </a:extLst>
                  </pic:spPr>
                </pic:pic>
              </a:graphicData>
            </a:graphic>
          </wp:inline>
        </w:drawing>
      </w:r>
    </w:p>
    <w:p w14:paraId="57015E1D" w14:textId="5F47B63E" w:rsidR="00863842" w:rsidRPr="00C34AC3" w:rsidRDefault="00D412BB" w:rsidP="00C34AC3">
      <w:pPr>
        <w:pStyle w:val="Caption"/>
        <w:jc w:val="center"/>
        <w:rPr>
          <w:noProof/>
          <w:sz w:val="22"/>
          <w:szCs w:val="22"/>
          <w:lang w:eastAsia="de-DE" w:bidi="en-US"/>
        </w:rPr>
      </w:pPr>
      <w:bookmarkStart w:id="174" w:name="_Toc84519638"/>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43</w:t>
      </w:r>
      <w:r w:rsidRPr="005B1CCB">
        <w:rPr>
          <w:sz w:val="22"/>
          <w:szCs w:val="22"/>
        </w:rPr>
        <w:fldChar w:fldCharType="end"/>
      </w:r>
      <w:r w:rsidRPr="005B1CCB">
        <w:rPr>
          <w:sz w:val="22"/>
          <w:szCs w:val="22"/>
        </w:rPr>
        <w:t>: CV measurements showing the effect of an inner sphere and outer sphere redox mediator on electron transfer for different SPCE surfaces on (A) non-modified surface and (B) modified and DNA functionalised surfaces</w:t>
      </w:r>
      <w:bookmarkEnd w:id="174"/>
    </w:p>
    <w:p w14:paraId="6A846077" w14:textId="570D0497" w:rsidR="00E11004" w:rsidRPr="005B1CCB" w:rsidRDefault="00E11004" w:rsidP="00E11004">
      <w:pPr>
        <w:spacing w:line="360" w:lineRule="auto"/>
        <w:jc w:val="both"/>
        <w:rPr>
          <w:rFonts w:ascii="Palatino Linotype" w:hAnsi="Palatino Linotype"/>
          <w:sz w:val="24"/>
          <w:szCs w:val="24"/>
        </w:rPr>
      </w:pPr>
      <w:r w:rsidRPr="00572868">
        <w:rPr>
          <w:rFonts w:ascii="Palatino Linotype" w:hAnsi="Palatino Linotype"/>
          <w:sz w:val="24"/>
          <w:szCs w:val="24"/>
        </w:rPr>
        <w:t>Comparing varied cleaning techniques for th</w:t>
      </w:r>
      <w:r w:rsidR="009315BB" w:rsidRPr="00572868">
        <w:rPr>
          <w:rFonts w:ascii="Palatino Linotype" w:hAnsi="Palatino Linotype"/>
          <w:sz w:val="24"/>
          <w:szCs w:val="24"/>
        </w:rPr>
        <w:t xml:space="preserve">is assay </w:t>
      </w:r>
      <w:r w:rsidRPr="00572868">
        <w:rPr>
          <w:rFonts w:ascii="Palatino Linotype" w:hAnsi="Palatino Linotype"/>
          <w:sz w:val="24"/>
          <w:szCs w:val="24"/>
        </w:rPr>
        <w:t>provides a suitable technique that can be adapted for creating high quality monolayers in order to produce a reliable result as exposure to laboratory environment will produce contaminants on the electrode surface</w:t>
      </w:r>
      <w:r w:rsidRPr="005B1CCB">
        <w:rPr>
          <w:rFonts w:ascii="Palatino Linotype" w:hAnsi="Palatino Linotype"/>
          <w:sz w:val="24"/>
          <w:szCs w:val="24"/>
        </w:rPr>
        <w:t xml:space="preserve">. The diffusion coefficient for the clean SPEs were faster than the diffusion coefficients from the probe immobilised SPEs (as expected) and very close to the literature value for the oxidation reaction to ferricyanide (7 x 10-6 cm2s-1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{"citationItems":[{"id":"ITEM-1","itemData":{"DOI":"10.1021/ac50160a042","ISSN":"15206882","abstract":"The diffusion coefficients, DO and DR, of the species ferri- and ferrocyanide, respectively, in aqueous KCI media were determined by twin-electrode thin-layer electrochemistry using a micrometer-type thin-layer cell. The values obtained for DO and DR at 25° C in LOOM KCI were 0.726 (±0.011) × 10-5 and 0.667(±0.014) × 10-5 cm2/sec, respectively, covering a concentration range from 0.61 to 6.36mM in total electroactive species. Identical values within experimental uncertainty were found in 0.10M KCI medium. Criteria for the reliability of this absolute method for measuring the D values of a soluble, stable redox pair are presented, and comparisons of D values with those obtained by other workers are made. © 1970, American Chemical Society. All rights reserved.","author":[{"dropping-particle":"","family":"Konopka","given":"S. J.","non-dropping-particle":"","parse-names":false,"suffix":""},{"dropping-particle":"","family":"McDuffie","given":"Bruce","non-dropping-particle":"","parse-names":false,"suffix":""}],"container-title":"Analytical Chemistry","id":"ITEM-1","issue":"14","issued":{"date-parts":[["1970"]]},"page":"1741-1746","title":"Diffusion Coefficients of Ferri- and Ferrocyanide Ions in Aqueous Media, Using Twin-Electrode Thin-Layer Electrochemistry","type":"article-journal","volume":"42"},"uris":["http://www.mendeley.com/documents/?uuid=5fb650ec-8a6c-491b-ac1b-435dabda4089"]}],"mendeley":{"formattedCitation":"[219]","plainTextFormattedCitation":"[219]","previouslyFormattedCitation":"[219]"},"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[219]</w:t>
      </w:r>
      <w:r w:rsidRPr="005B1CCB">
        <w:rPr>
          <w:rFonts w:ascii="Palatino Linotype" w:hAnsi="Palatino Linotype"/>
          <w:sz w:val="24"/>
          <w:szCs w:val="24"/>
        </w:rPr>
        <w:fldChar w:fldCharType="end"/>
      </w:r>
      <w:r w:rsidRPr="005B1CCB">
        <w:rPr>
          <w:rFonts w:ascii="Palatino Linotype" w:hAnsi="Palatino Linotype"/>
          <w:sz w:val="24"/>
          <w:szCs w:val="24"/>
        </w:rPr>
        <w:t>.</w:t>
      </w:r>
      <w:r w:rsidR="009315BB" w:rsidRPr="005B1CCB">
        <w:rPr>
          <w:rFonts w:ascii="Palatino Linotype" w:hAnsi="Palatino Linotype"/>
          <w:sz w:val="24"/>
          <w:szCs w:val="24"/>
        </w:rPr>
        <w:t xml:space="preserve"> </w:t>
      </w:r>
      <w:r w:rsidR="009315BB" w:rsidRPr="00572868">
        <w:rPr>
          <w:rFonts w:ascii="Palatino Linotype" w:hAnsi="Palatino Linotype"/>
          <w:sz w:val="24"/>
          <w:szCs w:val="24"/>
          <w:lang w:bidi="en-US"/>
        </w:rPr>
        <w:t>For subsequent characterisation, the ferri/ferrocyanide redox couple was the chosen redox system for comparing the voltammetric behaviour of DNA hybridisation using this assay.</w:t>
      </w:r>
    </w:p>
    <w:p w14:paraId="73759E94" w14:textId="77777777" w:rsidR="00CE43EB" w:rsidRPr="005B1CCB" w:rsidRDefault="00CE43EB" w:rsidP="00E11004">
      <w:pPr>
        <w:spacing w:line="360" w:lineRule="auto"/>
        <w:jc w:val="both"/>
        <w:rPr>
          <w:rFonts w:ascii="Palatino Linotype" w:hAnsi="Palatino Linotype"/>
          <w:sz w:val="24"/>
          <w:szCs w:val="24"/>
        </w:rPr>
      </w:pPr>
    </w:p>
    <w:p w14:paraId="02517C72" w14:textId="77777777" w:rsidR="00797E8B" w:rsidRPr="005B1CCB" w:rsidRDefault="00EF23AD" w:rsidP="00D71969">
      <w:pPr>
        <w:pStyle w:val="Heading3"/>
        <w:rPr>
          <w:lang w:val="en-US"/>
        </w:rPr>
      </w:pPr>
      <w:bookmarkStart w:id="175" w:name="_Toc84528132"/>
      <w:r w:rsidRPr="005B1CCB">
        <w:rPr>
          <w:lang w:val="en-US"/>
        </w:rPr>
        <w:t xml:space="preserve">DNA </w:t>
      </w:r>
      <w:r w:rsidR="006D545B" w:rsidRPr="005B1CCB">
        <w:rPr>
          <w:lang w:val="en-US"/>
        </w:rPr>
        <w:t>amplification</w:t>
      </w:r>
      <w:bookmarkEnd w:id="175"/>
      <w:r w:rsidR="009A0664" w:rsidRPr="005B1CCB">
        <w:rPr>
          <w:lang w:val="en-US"/>
        </w:rPr>
        <w:t xml:space="preserve"> </w:t>
      </w:r>
    </w:p>
    <w:p w14:paraId="0B1FCB74" w14:textId="2EAD03CC" w:rsidR="00EF23AD" w:rsidRPr="005B1CCB" w:rsidRDefault="006C766B" w:rsidP="006C766B">
      <w:pPr>
        <w:pStyle w:val="MDPI31text"/>
        <w:spacing w:line="360" w:lineRule="auto"/>
        <w:ind w:firstLine="0"/>
        <w:rPr>
          <w:sz w:val="24"/>
          <w:szCs w:val="24"/>
          <w:lang w:val="en-GB"/>
        </w:rPr>
      </w:pPr>
      <w:r w:rsidRPr="005B1CCB">
        <w:rPr>
          <w:sz w:val="24"/>
          <w:szCs w:val="24"/>
          <w:lang w:val="en-GB"/>
        </w:rPr>
        <w:t xml:space="preserve">    </w:t>
      </w:r>
      <w:r w:rsidR="00EF23AD" w:rsidRPr="005B1CCB">
        <w:rPr>
          <w:sz w:val="24"/>
          <w:szCs w:val="24"/>
          <w:lang w:val="en-GB"/>
        </w:rPr>
        <w:t>Prior to carrying out any work on the electrochemical detection of the KRAS G1</w:t>
      </w:r>
      <w:r w:rsidR="009A0664" w:rsidRPr="005B1CCB">
        <w:rPr>
          <w:sz w:val="24"/>
          <w:szCs w:val="24"/>
          <w:lang w:val="en-GB"/>
        </w:rPr>
        <w:t>3</w:t>
      </w:r>
      <w:r w:rsidR="00EF23AD" w:rsidRPr="005B1CCB">
        <w:rPr>
          <w:sz w:val="24"/>
          <w:szCs w:val="24"/>
          <w:lang w:val="en-GB"/>
        </w:rPr>
        <w:t>D mutation, it was necessary to first confirm the presence of mutated DNA in the representative sample.</w:t>
      </w:r>
      <w:r w:rsidR="00EF23AD" w:rsidRPr="005B1CCB">
        <w:rPr>
          <w:sz w:val="24"/>
          <w:szCs w:val="24"/>
        </w:rPr>
        <w:t xml:space="preserve"> </w:t>
      </w:r>
      <w:r w:rsidR="00EF23AD" w:rsidRPr="005B1CCB">
        <w:rPr>
          <w:color w:val="auto"/>
          <w:sz w:val="24"/>
          <w:szCs w:val="24"/>
          <w:lang w:val="en-GB"/>
        </w:rPr>
        <w:t xml:space="preserve">These samples were clinically derived from cancer patients and were employed for assay development to give confidence that the sensor indeed could work with clinical samples.  </w:t>
      </w:r>
      <w:r w:rsidR="00EF23AD" w:rsidRPr="005B1CCB">
        <w:rPr>
          <w:sz w:val="24"/>
          <w:szCs w:val="24"/>
          <w:lang w:val="en-GB"/>
        </w:rPr>
        <w:t xml:space="preserve">This was done using droplet digital PCR on DNA samples isolated from patients.  From Figure </w:t>
      </w:r>
      <w:r w:rsidR="004F20F3" w:rsidRPr="005B1CCB">
        <w:rPr>
          <w:sz w:val="24"/>
          <w:szCs w:val="24"/>
          <w:lang w:val="en-GB"/>
        </w:rPr>
        <w:t>4</w:t>
      </w:r>
      <w:r w:rsidR="00AE4865" w:rsidRPr="005B1CCB">
        <w:rPr>
          <w:sz w:val="24"/>
          <w:szCs w:val="24"/>
          <w:lang w:val="en-GB"/>
        </w:rPr>
        <w:t>4</w:t>
      </w:r>
      <w:r w:rsidR="00EF23AD" w:rsidRPr="005B1CCB">
        <w:rPr>
          <w:sz w:val="24"/>
          <w:szCs w:val="24"/>
          <w:lang w:val="en-GB"/>
        </w:rPr>
        <w:t>, it can be seen that the levels of mutated KRAS G1</w:t>
      </w:r>
      <w:r w:rsidR="009A0664" w:rsidRPr="005B1CCB">
        <w:rPr>
          <w:sz w:val="24"/>
          <w:szCs w:val="24"/>
          <w:lang w:val="en-GB"/>
        </w:rPr>
        <w:t>3</w:t>
      </w:r>
      <w:r w:rsidR="00EF23AD" w:rsidRPr="005B1CCB">
        <w:rPr>
          <w:sz w:val="24"/>
          <w:szCs w:val="24"/>
          <w:lang w:val="en-GB"/>
        </w:rPr>
        <w:t xml:space="preserve">D gDNA were </w:t>
      </w:r>
      <w:r w:rsidR="00777B52" w:rsidRPr="005B1CCB">
        <w:rPr>
          <w:sz w:val="24"/>
          <w:szCs w:val="24"/>
          <w:lang w:val="en-GB"/>
        </w:rPr>
        <w:t>similar</w:t>
      </w:r>
      <w:r w:rsidR="00EF23AD" w:rsidRPr="005B1CCB">
        <w:rPr>
          <w:sz w:val="24"/>
          <w:szCs w:val="24"/>
          <w:lang w:val="en-GB"/>
        </w:rPr>
        <w:t xml:space="preserve"> (~</w:t>
      </w:r>
      <w:r w:rsidR="00777B52" w:rsidRPr="005B1CCB">
        <w:rPr>
          <w:sz w:val="24"/>
          <w:szCs w:val="24"/>
          <w:lang w:val="en-GB"/>
        </w:rPr>
        <w:t>63</w:t>
      </w:r>
      <w:r w:rsidR="00EF23AD" w:rsidRPr="005B1CCB">
        <w:rPr>
          <w:sz w:val="24"/>
          <w:szCs w:val="24"/>
          <w:lang w:val="en-GB"/>
        </w:rPr>
        <w:t xml:space="preserve"> copies/ng of total DNA) to the wild</w:t>
      </w:r>
      <w:r w:rsidR="00777B52" w:rsidRPr="005B1CCB">
        <w:rPr>
          <w:sz w:val="24"/>
          <w:szCs w:val="24"/>
          <w:lang w:val="en-GB"/>
        </w:rPr>
        <w:t>-</w:t>
      </w:r>
      <w:r w:rsidR="00EF23AD" w:rsidRPr="005B1CCB">
        <w:rPr>
          <w:sz w:val="24"/>
          <w:szCs w:val="24"/>
          <w:lang w:val="en-GB"/>
        </w:rPr>
        <w:t>type KRAS (~</w:t>
      </w:r>
      <w:r w:rsidR="00777B52" w:rsidRPr="005B1CCB">
        <w:rPr>
          <w:sz w:val="24"/>
          <w:szCs w:val="24"/>
          <w:lang w:val="en-GB"/>
        </w:rPr>
        <w:t>64</w:t>
      </w:r>
      <w:r w:rsidR="00EF23AD" w:rsidRPr="005B1CCB">
        <w:rPr>
          <w:sz w:val="24"/>
          <w:szCs w:val="24"/>
          <w:lang w:val="en-GB"/>
        </w:rPr>
        <w:t xml:space="preserve"> copies/ng of total DNA).  This finding was reassuring, i.e. that KRAS </w:t>
      </w:r>
      <w:r w:rsidR="00777B52" w:rsidRPr="005B1CCB">
        <w:rPr>
          <w:sz w:val="24"/>
          <w:szCs w:val="24"/>
          <w:lang w:val="en-GB"/>
        </w:rPr>
        <w:t>p</w:t>
      </w:r>
      <w:r w:rsidR="00EF23AD" w:rsidRPr="005B1CCB">
        <w:rPr>
          <w:sz w:val="24"/>
          <w:szCs w:val="24"/>
          <w:lang w:val="en-GB"/>
        </w:rPr>
        <w:t>G1</w:t>
      </w:r>
      <w:r w:rsidR="00777B52" w:rsidRPr="005B1CCB">
        <w:rPr>
          <w:sz w:val="24"/>
          <w:szCs w:val="24"/>
          <w:lang w:val="en-GB"/>
        </w:rPr>
        <w:t>3</w:t>
      </w:r>
      <w:r w:rsidR="00EF23AD" w:rsidRPr="005B1CCB">
        <w:rPr>
          <w:sz w:val="24"/>
          <w:szCs w:val="24"/>
          <w:lang w:val="en-GB"/>
        </w:rPr>
        <w:t>D mutations were present in the assay samples</w:t>
      </w:r>
      <w:r w:rsidR="00653D6D">
        <w:rPr>
          <w:sz w:val="24"/>
          <w:szCs w:val="24"/>
          <w:lang w:val="en-GB"/>
        </w:rPr>
        <w:t xml:space="preserve">. </w:t>
      </w:r>
      <w:r w:rsidR="00653D6D" w:rsidRPr="00653D6D">
        <w:rPr>
          <w:sz w:val="24"/>
          <w:szCs w:val="24"/>
          <w:lang w:val="en-GB"/>
        </w:rPr>
        <w:t xml:space="preserve">The standard deviation reflects the variation obtained from the experimental replicas.  </w:t>
      </w:r>
    </w:p>
    <w:p w14:paraId="5DCCD0CC" w14:textId="77777777" w:rsidR="007D67A3" w:rsidRPr="005B1CCB" w:rsidRDefault="007D67A3" w:rsidP="008E3D23">
      <w:pPr>
        <w:keepNext/>
        <w:spacing w:line="360" w:lineRule="auto"/>
        <w:jc w:val="center"/>
      </w:pPr>
      <w:r w:rsidRPr="005B1CCB">
        <w:rPr>
          <w:noProof/>
          <w:lang w:eastAsia="en-GB"/>
        </w:rPr>
        <w:drawing>
          <wp:inline distT="0" distB="0" distL="0" distR="0" wp14:anchorId="7C0D8890" wp14:editId="2E3CEAD5">
            <wp:extent cx="3531354" cy="266368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2">
                      <a:extLst>
                        <a:ext uri="{28A0092B-C50C-407E-A947-70E740481C1C}">
                          <a14:useLocalDpi xmlns:a14="http://schemas.microsoft.com/office/drawing/2010/main" val="0"/>
                        </a:ext>
                      </a:extLst>
                    </a:blip>
                    <a:srcRect l="7572" b="8565"/>
                    <a:stretch/>
                  </pic:blipFill>
                  <pic:spPr bwMode="auto">
                    <a:xfrm>
                      <a:off x="0" y="0"/>
                      <a:ext cx="3543816" cy="2673087"/>
                    </a:xfrm>
                    <a:prstGeom prst="rect">
                      <a:avLst/>
                    </a:prstGeom>
                    <a:noFill/>
                    <a:ln>
                      <a:noFill/>
                    </a:ln>
                    <a:extLst>
                      <a:ext uri="{53640926-AAD7-44D8-BBD7-CCE9431645EC}">
                        <a14:shadowObscured xmlns:a14="http://schemas.microsoft.com/office/drawing/2010/main"/>
                      </a:ext>
                    </a:extLst>
                  </pic:spPr>
                </pic:pic>
              </a:graphicData>
            </a:graphic>
          </wp:inline>
        </w:drawing>
      </w:r>
    </w:p>
    <w:p w14:paraId="157300AA" w14:textId="77777777" w:rsidR="004C61DF" w:rsidRPr="005B1CCB" w:rsidRDefault="004C61DF" w:rsidP="004C61DF">
      <w:pPr>
        <w:pStyle w:val="Caption"/>
        <w:jc w:val="center"/>
        <w:rPr>
          <w:sz w:val="22"/>
          <w:szCs w:val="22"/>
        </w:rPr>
      </w:pPr>
      <w:bookmarkStart w:id="176" w:name="_Toc84519639"/>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44</w:t>
      </w:r>
      <w:r w:rsidRPr="005B1CCB">
        <w:rPr>
          <w:sz w:val="22"/>
          <w:szCs w:val="22"/>
        </w:rPr>
        <w:fldChar w:fldCharType="end"/>
      </w:r>
      <w:r w:rsidRPr="005B1CCB">
        <w:rPr>
          <w:sz w:val="22"/>
          <w:szCs w:val="22"/>
        </w:rPr>
        <w:t xml:space="preserve">: </w:t>
      </w:r>
      <w:r w:rsidR="001C5281" w:rsidRPr="005B1CCB">
        <w:rPr>
          <w:sz w:val="22"/>
          <w:szCs w:val="22"/>
        </w:rPr>
        <w:t xml:space="preserve">ddPCR results showing </w:t>
      </w:r>
      <w:r w:rsidRPr="005B1CCB">
        <w:rPr>
          <w:sz w:val="22"/>
          <w:szCs w:val="22"/>
        </w:rPr>
        <w:t>pG13D copies/ng gDNA in genomic cfDNA</w:t>
      </w:r>
      <w:r w:rsidR="001C5281" w:rsidRPr="005B1CCB">
        <w:rPr>
          <w:sz w:val="22"/>
          <w:szCs w:val="22"/>
        </w:rPr>
        <w:t xml:space="preserve"> from HCT116</w:t>
      </w:r>
      <w:r w:rsidR="0093340C" w:rsidRPr="005B1CCB">
        <w:rPr>
          <w:sz w:val="22"/>
          <w:szCs w:val="22"/>
        </w:rPr>
        <w:t xml:space="preserve"> colon cancer</w:t>
      </w:r>
      <w:r w:rsidR="001C5281" w:rsidRPr="005B1CCB">
        <w:rPr>
          <w:sz w:val="22"/>
          <w:szCs w:val="22"/>
        </w:rPr>
        <w:t xml:space="preserve"> cell line</w:t>
      </w:r>
      <w:bookmarkEnd w:id="176"/>
    </w:p>
    <w:p w14:paraId="77ED26C9" w14:textId="77777777" w:rsidR="00EF23AD" w:rsidRPr="005B1CCB" w:rsidRDefault="00AE4865" w:rsidP="006D545B">
      <w:pPr>
        <w:keepNext/>
        <w:spacing w:line="360" w:lineRule="auto"/>
        <w:jc w:val="both"/>
        <w:rPr>
          <w:rFonts w:ascii="Palatino Linotype" w:hAnsi="Palatino Linotype"/>
          <w:sz w:val="24"/>
          <w:szCs w:val="24"/>
          <w:lang w:bidi="en-US"/>
        </w:rPr>
      </w:pPr>
      <w:r w:rsidRPr="005B1CCB">
        <w:t xml:space="preserve">     </w:t>
      </w:r>
      <w:r w:rsidR="006D545B" w:rsidRPr="005B1CCB">
        <w:rPr>
          <w:rFonts w:ascii="Palatino Linotype" w:hAnsi="Palatino Linotype"/>
          <w:sz w:val="24"/>
          <w:szCs w:val="24"/>
          <w:lang w:bidi="en-US"/>
        </w:rPr>
        <w:t xml:space="preserve">Primers used for the PCR amplification were tailored to selectively amplify the mutant target from a pool of mutant and wild-type sequences in a sample by varying the single nucleotide responsible for the mutation in the primer sequence. Adopting this approach allowed us to effectively enrich the number of mutated DNA sequences in the sample without amplifying the wild-type, in order to produce a signal change above the background signal generated by KRAS wild-type DNA non-specifically associating with the oligonucleotide probe sequences for KRAS G13D. </w:t>
      </w:r>
      <w:r w:rsidR="00BD1072" w:rsidRPr="005B1CCB">
        <w:rPr>
          <w:rFonts w:ascii="Palatino Linotype" w:hAnsi="Palatino Linotype"/>
          <w:sz w:val="24"/>
          <w:szCs w:val="24"/>
          <w:lang w:bidi="en-US"/>
        </w:rPr>
        <w:t>Successful amplification</w:t>
      </w:r>
      <w:r w:rsidR="006D545B" w:rsidRPr="005B1CCB">
        <w:rPr>
          <w:rFonts w:ascii="Palatino Linotype" w:hAnsi="Palatino Linotype"/>
          <w:sz w:val="24"/>
          <w:szCs w:val="24"/>
          <w:lang w:bidi="en-US"/>
        </w:rPr>
        <w:t xml:space="preserve"> was confirmed using gel electrophoresis and the qubit 4 fluorometer.</w:t>
      </w:r>
    </w:p>
    <w:p w14:paraId="5FF5F397" w14:textId="77777777" w:rsidR="00701B05" w:rsidRPr="005B1CCB" w:rsidRDefault="00701B05" w:rsidP="006D545B">
      <w:pPr>
        <w:keepNext/>
        <w:spacing w:line="360" w:lineRule="auto"/>
        <w:jc w:val="both"/>
        <w:rPr>
          <w:rFonts w:ascii="Palatino Linotype" w:hAnsi="Palatino Linotype"/>
          <w:sz w:val="24"/>
          <w:szCs w:val="24"/>
        </w:rPr>
      </w:pPr>
    </w:p>
    <w:p w14:paraId="798ECA62" w14:textId="77777777" w:rsidR="00EF23AD" w:rsidRPr="005B1CCB" w:rsidRDefault="005C5394" w:rsidP="00D71969">
      <w:pPr>
        <w:pStyle w:val="Heading3"/>
      </w:pPr>
      <w:bookmarkStart w:id="177" w:name="_Toc84528133"/>
      <w:r w:rsidRPr="005B1CCB">
        <w:t xml:space="preserve">KRAS pG13D </w:t>
      </w:r>
      <w:r w:rsidR="00DB0371" w:rsidRPr="005B1CCB">
        <w:t>DNA</w:t>
      </w:r>
      <w:r w:rsidR="00EF23AD" w:rsidRPr="005B1CCB">
        <w:t xml:space="preserve"> </w:t>
      </w:r>
      <w:r w:rsidR="006D545B" w:rsidRPr="005B1CCB">
        <w:t>hybridisation</w:t>
      </w:r>
      <w:bookmarkEnd w:id="177"/>
      <w:r w:rsidR="00EC275C" w:rsidRPr="005B1CCB">
        <w:t xml:space="preserve"> </w:t>
      </w:r>
    </w:p>
    <w:p w14:paraId="75F70C55" w14:textId="7B1EE541" w:rsidR="007F1DFF" w:rsidRPr="005B1CCB" w:rsidRDefault="00223818" w:rsidP="0017346C">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464A03" w:rsidRPr="005B1CCB">
        <w:rPr>
          <w:rFonts w:ascii="Palatino Linotype" w:hAnsi="Palatino Linotype"/>
          <w:sz w:val="24"/>
          <w:szCs w:val="24"/>
        </w:rPr>
        <w:t>To investigate specificity levels and gain an initial impression of assay sensitivity, a series of electrodes were functionalised with KRAS G13D mutant and wild</w:t>
      </w:r>
      <w:r w:rsidR="00EC275C" w:rsidRPr="005B1CCB">
        <w:rPr>
          <w:rFonts w:ascii="Palatino Linotype" w:hAnsi="Palatino Linotype"/>
          <w:sz w:val="24"/>
          <w:szCs w:val="24"/>
        </w:rPr>
        <w:t>-</w:t>
      </w:r>
      <w:r w:rsidR="00464A03" w:rsidRPr="005B1CCB">
        <w:rPr>
          <w:rFonts w:ascii="Palatino Linotype" w:hAnsi="Palatino Linotype"/>
          <w:sz w:val="24"/>
          <w:szCs w:val="24"/>
        </w:rPr>
        <w:t xml:space="preserve">type probe sequences. </w:t>
      </w:r>
      <w:r w:rsidR="0017346C" w:rsidRPr="005B1CCB">
        <w:rPr>
          <w:rFonts w:ascii="Palatino Linotype" w:hAnsi="Palatino Linotype"/>
          <w:sz w:val="24"/>
          <w:szCs w:val="24"/>
        </w:rPr>
        <w:t xml:space="preserve">After introducing the probe solution to the surface of the modified electrodes, the remaining active groups on the electrode were blocked using ethanolamine to produce a consistent sensing layer in order to enable DNA specificity and stability in terms of the DNA binding response.   Having achieved a consistent behaviour of modified electrodes on the same chip, the next step was to test the assay’s response to incubation in a representative KRAS sample using the designed probes. </w:t>
      </w:r>
      <w:r w:rsidR="00AD277D" w:rsidRPr="005B1CCB">
        <w:rPr>
          <w:rFonts w:ascii="Palatino Linotype" w:hAnsi="Palatino Linotype"/>
          <w:sz w:val="24"/>
          <w:szCs w:val="24"/>
        </w:rPr>
        <w:t xml:space="preserve">   T</w:t>
      </w:r>
      <w:r w:rsidR="0017346C" w:rsidRPr="005B1CCB">
        <w:rPr>
          <w:rFonts w:ascii="Palatino Linotype" w:hAnsi="Palatino Linotype"/>
          <w:sz w:val="24"/>
          <w:szCs w:val="24"/>
        </w:rPr>
        <w:t>he ability of the probe modified electrodes to discriminate between G13D mutant and wild-type KRAS sequences in representative clinical samples</w:t>
      </w:r>
      <w:r w:rsidR="00AD277D" w:rsidRPr="005B1CCB">
        <w:rPr>
          <w:rFonts w:ascii="Palatino Linotype" w:hAnsi="Palatino Linotype"/>
          <w:sz w:val="24"/>
          <w:szCs w:val="24"/>
        </w:rPr>
        <w:t xml:space="preserve"> was explored</w:t>
      </w:r>
      <w:r w:rsidR="0017346C" w:rsidRPr="005B1CCB">
        <w:rPr>
          <w:rFonts w:ascii="Palatino Linotype" w:hAnsi="Palatino Linotype"/>
          <w:sz w:val="24"/>
          <w:szCs w:val="24"/>
        </w:rPr>
        <w:t xml:space="preserve">.  The results of these experiments are summarised in Figure </w:t>
      </w:r>
      <w:r w:rsidR="00B0187F" w:rsidRPr="005B1CCB">
        <w:rPr>
          <w:rFonts w:ascii="Palatino Linotype" w:hAnsi="Palatino Linotype"/>
          <w:sz w:val="24"/>
          <w:szCs w:val="24"/>
        </w:rPr>
        <w:t>4</w:t>
      </w:r>
      <w:r w:rsidR="00AE4865" w:rsidRPr="005B1CCB">
        <w:rPr>
          <w:rFonts w:ascii="Palatino Linotype" w:hAnsi="Palatino Linotype"/>
          <w:sz w:val="24"/>
          <w:szCs w:val="24"/>
        </w:rPr>
        <w:t>5</w:t>
      </w:r>
      <w:r w:rsidR="0017346C" w:rsidRPr="005B1CCB">
        <w:rPr>
          <w:rFonts w:ascii="Palatino Linotype" w:hAnsi="Palatino Linotype"/>
          <w:sz w:val="24"/>
          <w:szCs w:val="24"/>
        </w:rPr>
        <w:t xml:space="preserve">, which shows the percentage change in the DPV peak current following target hybridisation.  </w:t>
      </w:r>
      <w:r w:rsidR="00653D6D" w:rsidRPr="00653D6D">
        <w:rPr>
          <w:rFonts w:ascii="Palatino Linotype" w:hAnsi="Palatino Linotype"/>
          <w:sz w:val="24"/>
          <w:szCs w:val="24"/>
        </w:rPr>
        <w:t xml:space="preserve">The standard deviation reflects the variation obtained from the experimental replicas.  </w:t>
      </w:r>
    </w:p>
    <w:p w14:paraId="21A1071A" w14:textId="77777777" w:rsidR="007F1DFF" w:rsidRPr="005B1CCB" w:rsidRDefault="007F1DFF" w:rsidP="007F1DFF">
      <w:pPr>
        <w:keepNext/>
        <w:spacing w:line="360" w:lineRule="auto"/>
        <w:jc w:val="center"/>
      </w:pPr>
      <w:r w:rsidRPr="005B1CCB">
        <w:rPr>
          <w:rFonts w:ascii="Palatino Linotype" w:hAnsi="Palatino Linotype"/>
          <w:noProof/>
          <w:lang w:eastAsia="en-GB"/>
        </w:rPr>
        <w:drawing>
          <wp:inline distT="0" distB="0" distL="0" distR="0" wp14:anchorId="7209C438" wp14:editId="7BB9862F">
            <wp:extent cx="4203700" cy="2732979"/>
            <wp:effectExtent l="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63"/>
                    <a:srcRect l="1163" t="4867" b="6475"/>
                    <a:stretch/>
                  </pic:blipFill>
                  <pic:spPr bwMode="auto">
                    <a:xfrm>
                      <a:off x="0" y="0"/>
                      <a:ext cx="4214782" cy="2740184"/>
                    </a:xfrm>
                    <a:prstGeom prst="rect">
                      <a:avLst/>
                    </a:prstGeom>
                    <a:ln>
                      <a:noFill/>
                    </a:ln>
                    <a:extLst>
                      <a:ext uri="{53640926-AAD7-44D8-BBD7-CCE9431645EC}">
                        <a14:shadowObscured xmlns:a14="http://schemas.microsoft.com/office/drawing/2010/main"/>
                      </a:ext>
                    </a:extLst>
                  </pic:spPr>
                </pic:pic>
              </a:graphicData>
            </a:graphic>
          </wp:inline>
        </w:drawing>
      </w:r>
    </w:p>
    <w:p w14:paraId="399A2B6A" w14:textId="77777777" w:rsidR="007F1DFF" w:rsidRPr="005B1CCB" w:rsidRDefault="007F1DFF" w:rsidP="007F1DFF">
      <w:pPr>
        <w:pStyle w:val="Caption"/>
        <w:jc w:val="center"/>
        <w:rPr>
          <w:rFonts w:ascii="Palatino Linotype" w:hAnsi="Palatino Linotype"/>
          <w:sz w:val="22"/>
          <w:szCs w:val="22"/>
          <w:lang w:bidi="en-US"/>
        </w:rPr>
      </w:pPr>
      <w:bookmarkStart w:id="178" w:name="_Toc84519640"/>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45</w:t>
      </w:r>
      <w:r w:rsidRPr="005B1CCB">
        <w:rPr>
          <w:sz w:val="22"/>
          <w:szCs w:val="22"/>
        </w:rPr>
        <w:fldChar w:fldCharType="end"/>
      </w:r>
      <w:r w:rsidRPr="005B1CCB">
        <w:rPr>
          <w:sz w:val="22"/>
          <w:szCs w:val="22"/>
        </w:rPr>
        <w:t>: DPV measurement in response to mutant and wild-type KRAS pG13D probes hybridised with genomic KRAS pG13D ssDNA</w:t>
      </w:r>
      <w:bookmarkEnd w:id="178"/>
    </w:p>
    <w:p w14:paraId="6A805979" w14:textId="279B075A" w:rsidR="0017346C" w:rsidRPr="005B1CCB" w:rsidRDefault="007F1DFF" w:rsidP="00F01C20">
      <w:pPr>
        <w:spacing w:line="360" w:lineRule="auto"/>
        <w:jc w:val="both"/>
        <w:rPr>
          <w:rFonts w:ascii="Palatino Linotype" w:hAnsi="Palatino Linotype"/>
          <w:sz w:val="24"/>
          <w:szCs w:val="24"/>
          <w:lang w:bidi="en-US"/>
        </w:rPr>
      </w:pPr>
      <w:r w:rsidRPr="005B1CCB">
        <w:rPr>
          <w:rFonts w:ascii="Palatino Linotype" w:hAnsi="Palatino Linotype"/>
          <w:sz w:val="24"/>
          <w:szCs w:val="24"/>
        </w:rPr>
        <w:t xml:space="preserve">    </w:t>
      </w:r>
      <w:r w:rsidR="0017346C" w:rsidRPr="005B1CCB">
        <w:rPr>
          <w:rFonts w:ascii="Palatino Linotype" w:hAnsi="Palatino Linotype"/>
          <w:sz w:val="24"/>
          <w:szCs w:val="24"/>
        </w:rPr>
        <w:t>For macroscale electrodes functionalised with biological molecules such as DNA or antibodies</w:t>
      </w:r>
      <w:r w:rsidR="004744F8">
        <w:rPr>
          <w:rFonts w:ascii="Palatino Linotype" w:hAnsi="Palatino Linotype"/>
          <w:sz w:val="24"/>
          <w:szCs w:val="24"/>
        </w:rPr>
        <w:t>,</w:t>
      </w:r>
      <w:r w:rsidR="0017346C" w:rsidRPr="005B1CCB">
        <w:rPr>
          <w:rFonts w:ascii="Palatino Linotype" w:hAnsi="Palatino Linotype"/>
          <w:sz w:val="24"/>
          <w:szCs w:val="24"/>
        </w:rPr>
        <w:t xml:space="preserve"> the expectation is that differential pulse voltammetric peak currents will reduce upon target hybridisation. It has been observed that these effects can be reversed when micro or nanoscale electrodes are employed </w:t>
      </w:r>
      <w:r w:rsidR="0017346C"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{"citationItems":[{"id":"ITEM-1","itemData":{"DOI":"10.1016/j.electacta.2016.10.140","ISSN":"00134686","abstract":"DNA detection is still undergoing major innovations in pursuit of low-cost and simple approaches for decentralized applications. Label-free sensing of DNA hybridization via impedance measurements is a popular strategy to fulfil the goals of cost-efficiency and simplicity. Several materials are often reported for electrode modification to improve the sensitivity of impedance-based sensors. Herein we evaluate the electronic properties of copper phthalocyanine tetrasulfonate (CuPcTs) in Layer-by-Layer (LbL) films for impedimetric sensing of DNA hybridization using silanized Fluorine-doped Tin Oxide (FTO) electrodes. 1 to 5 bilayers were prepared by alternate immersion of the substrate in CuPcTs and poly(allylamine hydrochloride) (PAH). DNA probe immobilization was carried out electrostatically onto the last PAH layer, followed by hybridization with the target sequence leading to the formation of a partial double stranded (pds) structure onto the films. Impedance decreased after hybridization proportionally with the concentration of the target sequence at picomolar levels. Not only are these findings useful as a potential biosensing strategy, but also leave an open question about the electronic and synergistic properties of DNA interacting with different materials and surfaces.","author":[{"dropping-particle":"","family":"Manzanares-Palenzuela","given":"C. L.","non-dropping-particle":"","parse-names":false,"suffix":""},{"dropping-particle":"","family":"Fernandes","given":"E. G.R.","non-dropping-particle":"","parse-names":false,"suffix":""},{"dropping-particle":"","family":"Lobo-Castañón","given":"M. J.","non-dropping-particle":"","parse-names":false,"suffix":""},{"dropping-particle":"","family":"López-Ruiz","given":"B.","non-dropping-particle":"","parse-names":false,"suffix":""},{"dropping-particle":"","family":"Zucolotto","given":"V.","non-dropping-particle":"","parse-names":false,"suffix":""}],"container-title":"Electrochimica Acta","id":"ITEM-1","issued":{"date-parts":[["2016"]]},"page":"86-95","publisher":"Elsevier Ltd","title":"Impedance sensing of DNA hybridization onto nanostructured phthalocyanine-modified electrodes","type":"article-journal","volume":"221"},"uris":["http://www.mendeley.com/documents/?uuid=e0166a10-b762-4857-9d5a-186c02a10f60","http://www.mendeley.com/documents/?uuid=a3468724-7aa7-4eb0-b816-2c5cdd7dbd9c"]},{"id":"ITEM-2","itemData":{"DOI":"10.1016/j.bios.2018.11.053","ISSN":"0956-5663","author":[{"dropping-particle":"","family":"Russell","given":"Christopher","non-dropping-particle":"","parse-names":false,"suffix":""},{"dropping-particle":"","family":"Ward","given":"Andrew C","non-dropping-particle":"","parse-names":false,"suffix":""},{"dropping-particle":"","family":"Vezza","given":"Vincent","non-dropping-particle":"","parse-names":false,"suffix":""},{"dropping-particle":"","family":"Hoskisson","given":"Paul","non-dropping-particle":"","parse-names":false,"suffix":""},{"dropping-particle":"","family":"Alcorn","given":"David","non-dropping-particle":"","parse-names":false,"suffix":""}],"container-title":"Biosensors and Bioelectronic","id":"ITEM-2","issue":"September 2018","issued":{"date-parts":[["2019"]]},"page":"806-814","publisher":"Elsevier B.V.","title":"Biosensors and Bioelectronics Development of a needle shaped microelectrode for electrochemical detection of the sepsis biomarker interleukin-6 ( IL-6 ) in real time","type":"article-journal","volume":"126"},"uris":["http://www.mendeley.com/documents/?uuid=77821bc7-6f68-4fb4-9558-49e3749283da","http://www.mendeley.com/documents/?uuid=fed87841-7a71-4c12-bd5e-eeff07362c8d"]}],"mendeley":{"formattedCitation":"[151], [180]","plainTextFormattedCitation":"[151], [180]","previouslyFormattedCitation":"[151], [180]"},"properties":{"noteIndex":0},"schema":"https://github.com/citation-style-language/schema/raw/master/csl-citation.json"}</w:instrText>
      </w:r>
      <w:r w:rsidR="0017346C" w:rsidRPr="005B1CCB">
        <w:rPr>
          <w:rFonts w:ascii="Palatino Linotype" w:hAnsi="Palatino Linotype"/>
          <w:sz w:val="24"/>
          <w:szCs w:val="24"/>
        </w:rPr>
        <w:fldChar w:fldCharType="separate"/>
      </w:r>
      <w:r w:rsidR="005F2946" w:rsidRPr="005F2946">
        <w:rPr>
          <w:rFonts w:ascii="Palatino Linotype" w:hAnsi="Palatino Linotype"/>
          <w:noProof/>
          <w:sz w:val="24"/>
          <w:szCs w:val="24"/>
        </w:rPr>
        <w:t>[151], [180]</w:t>
      </w:r>
      <w:r w:rsidR="0017346C" w:rsidRPr="005B1CCB">
        <w:rPr>
          <w:rFonts w:ascii="Palatino Linotype" w:hAnsi="Palatino Linotype"/>
          <w:sz w:val="24"/>
          <w:szCs w:val="24"/>
        </w:rPr>
        <w:fldChar w:fldCharType="end"/>
      </w:r>
      <w:r w:rsidR="0017346C" w:rsidRPr="005B1CCB">
        <w:rPr>
          <w:rFonts w:ascii="Palatino Linotype" w:hAnsi="Palatino Linotype"/>
          <w:sz w:val="24"/>
          <w:szCs w:val="24"/>
        </w:rPr>
        <w:t xml:space="preserve">, but for this study, the electrodes employed were comfortably on the macro scale (diameter = 2.95 mm).  Therefore, we would expect a reduction in peak current when specific DNA hybridisation had taken place and this was found to be the case for lower concentrations of DNA (pico to low nanomolar concentrations). For nanomolar (&gt;10 nM) and micromolar concentrations, an increase in the peak current following hybridisation was consistently observed (and has also been observed in other unpublished data from our lab involving SPCEs) for carbon electrodes which is likely explained by the high surface density of hybridised DNA amplicons changing the interfacial properties of the electrode and therefore altering the electrochemical response. The underlying physical mechanism of this effect is actively under investigation. </w:t>
      </w:r>
      <w:r w:rsidR="00C61C10" w:rsidRPr="005B1CCB">
        <w:rPr>
          <w:rFonts w:ascii="Palatino Linotype" w:hAnsi="Palatino Linotype"/>
          <w:sz w:val="24"/>
          <w:szCs w:val="24"/>
        </w:rPr>
        <w:t>Figure 4</w:t>
      </w:r>
      <w:r w:rsidR="00E14901" w:rsidRPr="005B1CCB">
        <w:rPr>
          <w:rFonts w:ascii="Palatino Linotype" w:hAnsi="Palatino Linotype"/>
          <w:sz w:val="24"/>
          <w:szCs w:val="24"/>
        </w:rPr>
        <w:t>5</w:t>
      </w:r>
      <w:r w:rsidR="0017346C" w:rsidRPr="005B1CCB">
        <w:rPr>
          <w:rFonts w:ascii="Palatino Linotype" w:hAnsi="Palatino Linotype"/>
          <w:sz w:val="24"/>
          <w:szCs w:val="24"/>
        </w:rPr>
        <w:t xml:space="preserve"> shows that when mutant and wild-type oligonucleotide probe sequences functionalised SPCEs were incubated in a representative sample containing the G13D mutation, there was hybridisation in both cases, the signal change was greater for the wild-type probe because of the high background of wild-type DNA and the comparatively low fraction of mutated KRAS G13D present in the representative clinical sample. Similar behaviour was observed for KRAS G12D probe functionalised electrodes for a representative sample for that particular mutation, showing the wild-type KRAS DNA hybridised strongly to the nucleic acid modified carbon surfaces. </w:t>
      </w:r>
    </w:p>
    <w:p w14:paraId="58F55A3C" w14:textId="77777777" w:rsidR="0017346C" w:rsidRPr="005B1CCB" w:rsidRDefault="00EC366D" w:rsidP="00EF23AD">
      <w:pPr>
        <w:spacing w:line="360" w:lineRule="auto"/>
        <w:jc w:val="both"/>
        <w:rPr>
          <w:rFonts w:ascii="Palatino Linotype" w:hAnsi="Palatino Linotype"/>
          <w:sz w:val="24"/>
          <w:szCs w:val="24"/>
        </w:rPr>
      </w:pPr>
      <w:r w:rsidRPr="005B1CCB">
        <w:rPr>
          <w:rFonts w:ascii="Palatino Linotype" w:hAnsi="Palatino Linotype"/>
          <w:b/>
          <w:iCs/>
          <w:lang w:val="en-US"/>
        </w:rPr>
        <w:t xml:space="preserve">      </w:t>
      </w:r>
      <w:r w:rsidR="0017346C" w:rsidRPr="00572868">
        <w:rPr>
          <w:rFonts w:ascii="Palatino Linotype" w:hAnsi="Palatino Linotype"/>
          <w:sz w:val="24"/>
          <w:szCs w:val="24"/>
        </w:rPr>
        <w:t>As a result of these findings and the inability to electrochemically discriminate between positive and negative samples owing to the strong influence of background DNA in the sample, the DNA amplification strategies developed were tested in order to ensure the production of unequivocal detection of ctDNA mutations</w:t>
      </w:r>
      <w:r w:rsidR="0017346C" w:rsidRPr="005B1CCB">
        <w:rPr>
          <w:rFonts w:ascii="Palatino Linotype" w:hAnsi="Palatino Linotype"/>
          <w:sz w:val="24"/>
          <w:szCs w:val="24"/>
        </w:rPr>
        <w:t xml:space="preserve">. </w:t>
      </w:r>
    </w:p>
    <w:p w14:paraId="5793A37C" w14:textId="77777777" w:rsidR="00E14901" w:rsidRPr="005B1CCB" w:rsidRDefault="00E14901" w:rsidP="00EF23AD">
      <w:pPr>
        <w:spacing w:line="360" w:lineRule="auto"/>
        <w:jc w:val="both"/>
        <w:rPr>
          <w:rFonts w:ascii="Palatino Linotype" w:hAnsi="Palatino Linotype"/>
          <w:sz w:val="24"/>
          <w:szCs w:val="24"/>
        </w:rPr>
      </w:pPr>
    </w:p>
    <w:p w14:paraId="55F3B745" w14:textId="77777777" w:rsidR="00316CDF" w:rsidRPr="005B1CCB" w:rsidRDefault="00316CDF" w:rsidP="00316CDF">
      <w:pPr>
        <w:pStyle w:val="Heading3"/>
      </w:pPr>
      <w:bookmarkStart w:id="179" w:name="_Toc84528134"/>
      <w:r w:rsidRPr="005B1CCB">
        <w:t>Isothermal amplification</w:t>
      </w:r>
      <w:bookmarkEnd w:id="179"/>
    </w:p>
    <w:p w14:paraId="01CAA923" w14:textId="3E777CE1" w:rsidR="00316CDF" w:rsidRPr="005B1CCB" w:rsidRDefault="00316CDF" w:rsidP="00316CDF">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In recent studies, Isothermal amplification has emerged as an alternative to PCR amplification. To produce a working amplification reaction that is isothermal, primer sets were designed which would specifically amplify the KRAS G13D mutated sequence or the wild-type KRAS sequence.  The sequences used are shown in Table </w:t>
      </w:r>
      <w:r w:rsidR="00CD7488">
        <w:rPr>
          <w:rFonts w:ascii="Palatino Linotype" w:hAnsi="Palatino Linotype" w:cs="Times New Roman"/>
          <w:sz w:val="24"/>
          <w:szCs w:val="24"/>
        </w:rPr>
        <w:t>13</w:t>
      </w:r>
      <w:r w:rsidR="00CD7488"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with the reaction being designed to utilise a common reverse primer.  The ability of the primer sets to successfully amplify both the KRAS G13D mutant sequence and the KRAS wild-type sequence was confirmed by gel electrophoresis and through measurement on a Qubit fluorometer.  </w:t>
      </w:r>
    </w:p>
    <w:p w14:paraId="56C759BD" w14:textId="77777777" w:rsidR="00316CDF" w:rsidRPr="005B1CCB" w:rsidRDefault="00316CDF" w:rsidP="00316CDF">
      <w:pPr>
        <w:keepNext/>
        <w:spacing w:line="360" w:lineRule="auto"/>
        <w:jc w:val="both"/>
      </w:pPr>
      <w:r w:rsidRPr="005B1CCB">
        <w:rPr>
          <w:rFonts w:ascii="Palatino Linotype" w:hAnsi="Palatino Linotype"/>
          <w:noProof/>
          <w:lang w:eastAsia="en-GB"/>
        </w:rPr>
        <w:drawing>
          <wp:inline distT="0" distB="0" distL="0" distR="0" wp14:anchorId="175DC45E" wp14:editId="03431767">
            <wp:extent cx="5971009" cy="248478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BEBA8EAE-BF5A-486C-A8C5-ECC9F3942E4B}">
                          <a14:imgProps xmlns:a14="http://schemas.microsoft.com/office/drawing/2010/main">
                            <a14:imgLayer r:embed="rId65">
                              <a14:imgEffect>
                                <a14:sharpenSoften amount="40000"/>
                              </a14:imgEffect>
                              <a14:imgEffect>
                                <a14:brightnessContrast bright="9000"/>
                              </a14:imgEffect>
                            </a14:imgLayer>
                          </a14:imgProps>
                        </a:ext>
                      </a:extLst>
                    </a:blip>
                    <a:srcRect t="5494" b="2902"/>
                    <a:stretch/>
                  </pic:blipFill>
                  <pic:spPr bwMode="auto">
                    <a:xfrm>
                      <a:off x="0" y="0"/>
                      <a:ext cx="5987945" cy="2491831"/>
                    </a:xfrm>
                    <a:prstGeom prst="rect">
                      <a:avLst/>
                    </a:prstGeom>
                    <a:ln>
                      <a:noFill/>
                    </a:ln>
                    <a:extLst>
                      <a:ext uri="{53640926-AAD7-44D8-BBD7-CCE9431645EC}">
                        <a14:shadowObscured xmlns:a14="http://schemas.microsoft.com/office/drawing/2010/main"/>
                      </a:ext>
                    </a:extLst>
                  </pic:spPr>
                </pic:pic>
              </a:graphicData>
            </a:graphic>
          </wp:inline>
        </w:drawing>
      </w:r>
    </w:p>
    <w:p w14:paraId="38CA8014" w14:textId="77777777" w:rsidR="00316CDF" w:rsidRPr="005B1CCB" w:rsidRDefault="00316CDF" w:rsidP="00316CDF">
      <w:pPr>
        <w:pStyle w:val="Caption"/>
        <w:jc w:val="center"/>
        <w:rPr>
          <w:sz w:val="22"/>
          <w:szCs w:val="22"/>
        </w:rPr>
      </w:pPr>
      <w:bookmarkStart w:id="180" w:name="_Toc84519641"/>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46</w:t>
      </w:r>
      <w:r w:rsidRPr="005B1CCB">
        <w:rPr>
          <w:sz w:val="22"/>
          <w:szCs w:val="22"/>
        </w:rPr>
        <w:fldChar w:fldCharType="end"/>
      </w:r>
      <w:r w:rsidRPr="005B1CCB">
        <w:rPr>
          <w:sz w:val="22"/>
          <w:szCs w:val="22"/>
        </w:rPr>
        <w:t>: CV results showing the difference between PCR and RPA isothermal amplification in DNA hybridisation</w:t>
      </w:r>
      <w:r w:rsidR="00A57012">
        <w:rPr>
          <w:sz w:val="22"/>
          <w:szCs w:val="22"/>
        </w:rPr>
        <w:t xml:space="preserve"> (BP= Blocked probe, T= Target)</w:t>
      </w:r>
      <w:bookmarkEnd w:id="180"/>
    </w:p>
    <w:p w14:paraId="4BA056A2" w14:textId="77777777" w:rsidR="00CA6EF0" w:rsidRPr="005B1CCB" w:rsidRDefault="00316CDF" w:rsidP="00EF23A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p>
    <w:p w14:paraId="612856BF" w14:textId="1F48347B" w:rsidR="00D8103F" w:rsidRPr="005B1CCB" w:rsidRDefault="00CA6EF0" w:rsidP="00EF23A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316CDF" w:rsidRPr="00572868">
        <w:rPr>
          <w:rFonts w:ascii="Palatino Linotype" w:hAnsi="Palatino Linotype"/>
          <w:sz w:val="24"/>
          <w:szCs w:val="24"/>
        </w:rPr>
        <w:t>From Figure 4</w:t>
      </w:r>
      <w:r w:rsidRPr="00572868">
        <w:rPr>
          <w:rFonts w:ascii="Palatino Linotype" w:hAnsi="Palatino Linotype"/>
          <w:sz w:val="24"/>
          <w:szCs w:val="24"/>
        </w:rPr>
        <w:t>6</w:t>
      </w:r>
      <w:r w:rsidR="00316CDF" w:rsidRPr="00572868">
        <w:rPr>
          <w:rFonts w:ascii="Palatino Linotype" w:hAnsi="Palatino Linotype"/>
          <w:sz w:val="24"/>
          <w:szCs w:val="24"/>
        </w:rPr>
        <w:t xml:space="preserve">, it is observed that although the KRAS mutant amplicons from the RPA reaction showed a reduction in both oxidative and reductive peak currents on hybridisation, the response was not as </w:t>
      </w:r>
      <w:r w:rsidR="00DE5EE1" w:rsidRPr="00572868">
        <w:rPr>
          <w:rFonts w:ascii="Palatino Linotype" w:hAnsi="Palatino Linotype"/>
          <w:sz w:val="24"/>
          <w:szCs w:val="24"/>
        </w:rPr>
        <w:t>encouraging</w:t>
      </w:r>
      <w:r w:rsidR="00316CDF" w:rsidRPr="00572868">
        <w:rPr>
          <w:rFonts w:ascii="Palatino Linotype" w:hAnsi="Palatino Linotype"/>
          <w:sz w:val="24"/>
          <w:szCs w:val="24"/>
        </w:rPr>
        <w:t xml:space="preserve"> in comparison to the response noted from the PCR amplicons hybridisation. A higher reduction in both oxidative and reductive peak current is observed from the PCR targets</w:t>
      </w:r>
      <w:r w:rsidR="00316CDF" w:rsidRPr="005B1CCB">
        <w:rPr>
          <w:rFonts w:ascii="Palatino Linotype" w:hAnsi="Palatino Linotype"/>
          <w:sz w:val="24"/>
          <w:szCs w:val="24"/>
        </w:rPr>
        <w:t xml:space="preserve">. The result from this work suggested that </w:t>
      </w:r>
      <w:r w:rsidR="00316CDF" w:rsidRPr="00572868">
        <w:rPr>
          <w:rFonts w:ascii="Palatino Linotype" w:hAnsi="Palatino Linotype"/>
          <w:sz w:val="24"/>
          <w:szCs w:val="24"/>
        </w:rPr>
        <w:t>this particular isothermal amplification kit might not be best suited for amplifying single base mutations</w:t>
      </w:r>
      <w:r w:rsidR="00316CDF" w:rsidRPr="005B1CCB">
        <w:rPr>
          <w:rFonts w:ascii="Palatino Linotype" w:hAnsi="Palatino Linotype"/>
          <w:sz w:val="24"/>
          <w:szCs w:val="24"/>
        </w:rPr>
        <w:t xml:space="preserve">. </w:t>
      </w:r>
      <w:r w:rsidR="00D8103F" w:rsidRPr="00572868">
        <w:rPr>
          <w:rFonts w:ascii="Palatino Linotype" w:hAnsi="Palatino Linotype"/>
          <w:sz w:val="24"/>
          <w:szCs w:val="24"/>
        </w:rPr>
        <w:t xml:space="preserve">Given the tremendous advantages of RPA, some limitations to the technique that have been noted include an inhibition by high concentrations of genomic DNA </w:t>
      </w:r>
      <w:r w:rsidR="003B67CD" w:rsidRPr="00572868">
        <w:rPr>
          <w:rFonts w:ascii="Palatino Linotype" w:hAnsi="Palatino Linotype"/>
          <w:sz w:val="24"/>
          <w:szCs w:val="24"/>
        </w:rPr>
        <w:t>and thus, an inability to discriminate between amplicons and primer-dimer artefacts</w:t>
      </w:r>
      <w:r w:rsidR="00D8103F" w:rsidRPr="005B1CCB">
        <w:rPr>
          <w:rFonts w:ascii="Palatino Linotype" w:hAnsi="Palatino Linotype"/>
          <w:sz w:val="24"/>
          <w:szCs w:val="24"/>
        </w:rPr>
        <w:t xml:space="preserve"> </w:t>
      </w:r>
      <w:r w:rsidR="00D8103F"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{"citationItems":[{"id":"ITEM-1","itemData":{"DOI":"https://doi.org/10.1016/j.trac.2017.10.015","ISSN":"0165-9936","abstract":"Recombinase polymerase amplification (RPA) is a highly sensitive and selective isothermal amplification technique, operating at 37–42°C, with minimal sample preparation and capable of amplifying as low as 1–10 DNA target copies in less than 20 min. It has been used to amplify diverse targets, including RNA, miRNA, ssDNA and dsDNA from a wide variety of organisms and samples. An ever increasing number of publications detailing the use of RPA are appearing and amplification has been carried out in solution phase, solid phase as well as in a bridge amplification format. Furthermore, RPA has been successfully integrated with different detection strategies, from end-point lateral flow strips to real-time fluorescent detection amongst others. This review focuses on the different methodologies and advances related to RPA technology, as well as highlighting some of the advantages and drawbacks of the technique.","author":[{"dropping-particle":"","family":"Lobato","given":"Ivan Magriñá","non-dropping-particle":"","parse-names":false,"suffix":""},{"dropping-particle":"","family":"O'Sullivan","given":"Ciara K","non-dropping-particle":"","parse-names":false,"suffix":""}],"container-title":"TrAC Trends in Analytical Chemistry","id":"ITEM-1","issued":{"date-parts":[["2018"]]},"page":"19-35","title":"Recombinase polymerase amplification: Basics, applications and recent advances","type":"article-journal","volume":"98"},"uris":["http://www.mendeley.com/documents/?uuid=7eebe9e6-6965-4734-bbbe-ca889eebf49f"]}],"mendeley":{"formattedCitation":"[192]","plainTextFormattedCitation":"[192]","previouslyFormattedCitation":"[192]"},"properties":{"noteIndex":0},"schema":"https://github.com/citation-style-language/schema/raw/master/csl-citation.json"}</w:instrText>
      </w:r>
      <w:r w:rsidR="00D8103F" w:rsidRPr="005B1CCB">
        <w:rPr>
          <w:rFonts w:ascii="Palatino Linotype" w:hAnsi="Palatino Linotype"/>
          <w:sz w:val="24"/>
          <w:szCs w:val="24"/>
        </w:rPr>
        <w:fldChar w:fldCharType="separate"/>
      </w:r>
      <w:r w:rsidR="005F2946" w:rsidRPr="005F2946">
        <w:rPr>
          <w:rFonts w:ascii="Palatino Linotype" w:hAnsi="Palatino Linotype"/>
          <w:noProof/>
          <w:sz w:val="24"/>
          <w:szCs w:val="24"/>
        </w:rPr>
        <w:t>[192]</w:t>
      </w:r>
      <w:r w:rsidR="00D8103F" w:rsidRPr="005B1CCB">
        <w:rPr>
          <w:rFonts w:ascii="Palatino Linotype" w:hAnsi="Palatino Linotype"/>
          <w:sz w:val="24"/>
          <w:szCs w:val="24"/>
        </w:rPr>
        <w:fldChar w:fldCharType="end"/>
      </w:r>
      <w:r w:rsidR="00FA5269" w:rsidRPr="005B1CCB">
        <w:rPr>
          <w:rFonts w:ascii="Palatino Linotype" w:hAnsi="Palatino Linotype"/>
          <w:sz w:val="24"/>
          <w:szCs w:val="24"/>
        </w:rPr>
        <w:t xml:space="preserve"> </w:t>
      </w:r>
      <w:r w:rsidR="00FA5269"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{"citationItems":[{"id":"ITEM-1","itemData":{"DOI":"10.1039/C8AN01621F","ISSN":"0003-2654","abstract":"Nucleic acid amplification has permeated every field in the life sciences since the introduction of the classic polymerase chain reaction (PCR) method in 1983. Yet, despite its fundamental reach, PCR has been constrained within the walls of a laboratory, due to its requirement for a sophisticated thermocycling machine, limiting external application in low-resource settings. New isothermal amplification strategies are seeking to break through traditional laboratory boundaries by providing nucleic acid replication at constant temperatures. Of these methods, recombinase polymerase amplification (RPA) is one of the fastest developing, experiencing rapid uptake and market, even though it was introduced comparatively late. Critically, RPA's technology potentiates highly accessible and sensitive nucleic acid amplification outside of laboratory, and even self-testing. Here we provide a comprehensive review of the equipment-free simplicity of RPA over its first decade of development. Our review includes key knowledge of RPA technology, such as its reaction components, mechanism, sensitivities and specificities, and distinctive detection methods. The review also provides know-how for developing RPA assays, and information about commercially available RPA reaction kits and accessories. We summarise critical RPA experimental tips and issues available through data mining the published literature, to assist researchers in mastering the RPA reaction. We also outline influential hotspots of RPA development, and conclude with outlooks for future development and implications for eclipsing PCR and further revolutionising the life sciences.","author":[{"dropping-particle":"","family":"Li","given":"Jia","non-dropping-particle":"","parse-names":false,"suffix":""},{"dropping-particle":"","family":"Macdonald","given":"Joanne","non-dropping-particle":"","parse-names":false,"suffix":""},{"dropping-particle":"","family":"Stetten","given":"Felix","non-dropping-particle":"von","parse-names":false,"suffix":""}],"container-title":"Analyst","id":"ITEM-1","issue":"1","issued":{"date-parts":[["2019"]]},"page":"31-67","publisher":"The Royal Society of Chemistry","title":"Review: a comprehensive summary of a decade development of the recombinase polymerase amplification","type":"article-journal","volume":"144"},"uris":["http://www.mendeley.com/documents/?uuid=038df95c-06ee-4292-9e15-944442e02e0c"]}],"mendeley":{"formattedCitation":"[245]","plainTextFormattedCitation":"[245]","previouslyFormattedCitation":"[245]"},"properties":{"noteIndex":0},"schema":"https://github.com/citation-style-language/schema/raw/master/csl-citation.json"}</w:instrText>
      </w:r>
      <w:r w:rsidR="00FA5269" w:rsidRPr="005B1CCB">
        <w:rPr>
          <w:rFonts w:ascii="Palatino Linotype" w:hAnsi="Palatino Linotype"/>
          <w:sz w:val="24"/>
          <w:szCs w:val="24"/>
        </w:rPr>
        <w:fldChar w:fldCharType="separate"/>
      </w:r>
      <w:r w:rsidR="005F2946" w:rsidRPr="005F2946">
        <w:rPr>
          <w:rFonts w:ascii="Palatino Linotype" w:hAnsi="Palatino Linotype"/>
          <w:noProof/>
          <w:sz w:val="24"/>
          <w:szCs w:val="24"/>
        </w:rPr>
        <w:t>[245]</w:t>
      </w:r>
      <w:r w:rsidR="00FA5269" w:rsidRPr="005B1CCB">
        <w:rPr>
          <w:rFonts w:ascii="Palatino Linotype" w:hAnsi="Palatino Linotype"/>
          <w:sz w:val="24"/>
          <w:szCs w:val="24"/>
        </w:rPr>
        <w:fldChar w:fldCharType="end"/>
      </w:r>
      <w:r w:rsidR="003B67CD" w:rsidRPr="005B1CCB">
        <w:rPr>
          <w:rFonts w:ascii="Palatino Linotype" w:hAnsi="Palatino Linotype"/>
          <w:sz w:val="24"/>
          <w:szCs w:val="24"/>
        </w:rPr>
        <w:t>.</w:t>
      </w:r>
    </w:p>
    <w:p w14:paraId="6394CBAE" w14:textId="77777777" w:rsidR="00701B05" w:rsidRDefault="003B67CD" w:rsidP="00EF23A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316CDF" w:rsidRPr="005B1CCB">
        <w:rPr>
          <w:rFonts w:ascii="Palatino Linotype" w:hAnsi="Palatino Linotype"/>
          <w:sz w:val="24"/>
          <w:szCs w:val="24"/>
        </w:rPr>
        <w:t>Having established the specificity of the assay and the nature of the electrochemical changes, the next step involved investigating the sensitivity of the assay and dose response effects for th</w:t>
      </w:r>
      <w:r w:rsidR="00C75D1A">
        <w:rPr>
          <w:rFonts w:ascii="Palatino Linotype" w:hAnsi="Palatino Linotype"/>
          <w:sz w:val="24"/>
          <w:szCs w:val="24"/>
        </w:rPr>
        <w:t>e KRAS G13D mutant PCR product.</w:t>
      </w:r>
    </w:p>
    <w:p w14:paraId="5E56BA6F" w14:textId="77777777" w:rsidR="00C75D1A" w:rsidRPr="005B1CCB" w:rsidRDefault="00C75D1A" w:rsidP="00EF23AD">
      <w:pPr>
        <w:spacing w:line="360" w:lineRule="auto"/>
        <w:jc w:val="both"/>
        <w:rPr>
          <w:rFonts w:ascii="Palatino Linotype" w:hAnsi="Palatino Linotype"/>
          <w:sz w:val="24"/>
          <w:szCs w:val="24"/>
        </w:rPr>
      </w:pPr>
    </w:p>
    <w:p w14:paraId="403B2790" w14:textId="77777777" w:rsidR="00B165F6" w:rsidRPr="005B1CCB" w:rsidRDefault="00B165F6" w:rsidP="00C00C56">
      <w:pPr>
        <w:pStyle w:val="Heading3"/>
      </w:pPr>
      <w:bookmarkStart w:id="181" w:name="_Toc84528135"/>
      <w:r w:rsidRPr="005B1CCB">
        <w:t>KRAS pG13D assay specificity</w:t>
      </w:r>
      <w:bookmarkEnd w:id="181"/>
    </w:p>
    <w:p w14:paraId="3869A717" w14:textId="36428F18" w:rsidR="0039206F" w:rsidRPr="005B1CCB" w:rsidRDefault="00B165F6" w:rsidP="00B165F6">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1316C0" w:rsidRPr="005B1CCB">
        <w:rPr>
          <w:rFonts w:ascii="Palatino Linotype" w:hAnsi="Palatino Linotype"/>
          <w:sz w:val="24"/>
          <w:szCs w:val="24"/>
        </w:rPr>
        <w:t xml:space="preserve">In order to test the assay’s response to KRAS </w:t>
      </w:r>
      <w:r w:rsidR="00B81ECB">
        <w:rPr>
          <w:rFonts w:ascii="Palatino Linotype" w:hAnsi="Palatino Linotype"/>
          <w:sz w:val="24"/>
          <w:szCs w:val="24"/>
        </w:rPr>
        <w:t>p</w:t>
      </w:r>
      <w:r w:rsidR="00207B2F" w:rsidRPr="005B1CCB">
        <w:rPr>
          <w:rFonts w:ascii="Palatino Linotype" w:hAnsi="Palatino Linotype"/>
          <w:sz w:val="24"/>
          <w:szCs w:val="24"/>
        </w:rPr>
        <w:t xml:space="preserve">G13D </w:t>
      </w:r>
      <w:r w:rsidR="001316C0" w:rsidRPr="005B1CCB">
        <w:rPr>
          <w:rFonts w:ascii="Palatino Linotype" w:hAnsi="Palatino Linotype"/>
          <w:sz w:val="24"/>
          <w:szCs w:val="24"/>
        </w:rPr>
        <w:t xml:space="preserve">amplicons after </w:t>
      </w:r>
      <w:r w:rsidR="00E514C6" w:rsidRPr="005B1CCB">
        <w:rPr>
          <w:rFonts w:ascii="Palatino Linotype" w:hAnsi="Palatino Linotype"/>
          <w:sz w:val="24"/>
          <w:szCs w:val="24"/>
        </w:rPr>
        <w:t>functionalising</w:t>
      </w:r>
      <w:r w:rsidR="001316C0" w:rsidRPr="005B1CCB">
        <w:rPr>
          <w:rFonts w:ascii="Palatino Linotype" w:hAnsi="Palatino Linotype"/>
          <w:sz w:val="24"/>
          <w:szCs w:val="24"/>
        </w:rPr>
        <w:t xml:space="preserve"> with KRAS </w:t>
      </w:r>
      <w:r w:rsidR="00B81ECB">
        <w:rPr>
          <w:rFonts w:ascii="Palatino Linotype" w:hAnsi="Palatino Linotype"/>
          <w:sz w:val="24"/>
          <w:szCs w:val="24"/>
        </w:rPr>
        <w:t>p</w:t>
      </w:r>
      <w:r w:rsidR="001316C0" w:rsidRPr="005B1CCB">
        <w:rPr>
          <w:rFonts w:ascii="Palatino Linotype" w:hAnsi="Palatino Linotype"/>
          <w:sz w:val="24"/>
          <w:szCs w:val="24"/>
        </w:rPr>
        <w:t>G13D mutant and wild-type probe sequences and blocking</w:t>
      </w:r>
      <w:r w:rsidR="00E514C6" w:rsidRPr="005B1CCB">
        <w:rPr>
          <w:rFonts w:ascii="Palatino Linotype" w:hAnsi="Palatino Linotype"/>
          <w:sz w:val="24"/>
          <w:szCs w:val="24"/>
        </w:rPr>
        <w:t xml:space="preserve"> the free surface, further DNA hybridisation was carried out. </w:t>
      </w:r>
      <w:r w:rsidR="00207B2F" w:rsidRPr="005B1CCB">
        <w:rPr>
          <w:rFonts w:ascii="Palatino Linotype" w:hAnsi="Palatino Linotype"/>
          <w:sz w:val="24"/>
          <w:szCs w:val="24"/>
        </w:rPr>
        <w:t xml:space="preserve">The </w:t>
      </w:r>
      <w:r w:rsidR="00967860" w:rsidRPr="005B1CCB">
        <w:rPr>
          <w:rFonts w:ascii="Palatino Linotype" w:hAnsi="Palatino Linotype"/>
          <w:sz w:val="24"/>
          <w:szCs w:val="24"/>
        </w:rPr>
        <w:t>DPV measurements were</w:t>
      </w:r>
      <w:r w:rsidR="00207B2F" w:rsidRPr="005B1CCB">
        <w:rPr>
          <w:rFonts w:ascii="Palatino Linotype" w:hAnsi="Palatino Linotype"/>
          <w:sz w:val="24"/>
          <w:szCs w:val="24"/>
        </w:rPr>
        <w:t xml:space="preserve"> </w:t>
      </w:r>
      <w:r w:rsidR="00967860" w:rsidRPr="005B1CCB">
        <w:rPr>
          <w:rFonts w:ascii="Palatino Linotype" w:hAnsi="Palatino Linotype"/>
          <w:sz w:val="24"/>
          <w:szCs w:val="24"/>
        </w:rPr>
        <w:t>analysed</w:t>
      </w:r>
      <w:r w:rsidR="00207B2F" w:rsidRPr="005B1CCB">
        <w:rPr>
          <w:rFonts w:ascii="Palatino Linotype" w:hAnsi="Palatino Linotype"/>
          <w:sz w:val="24"/>
          <w:szCs w:val="24"/>
        </w:rPr>
        <w:t xml:space="preserve"> </w:t>
      </w:r>
      <w:r w:rsidR="00967860" w:rsidRPr="005B1CCB">
        <w:rPr>
          <w:rFonts w:ascii="Palatino Linotype" w:hAnsi="Palatino Linotype"/>
          <w:sz w:val="24"/>
          <w:szCs w:val="24"/>
        </w:rPr>
        <w:t xml:space="preserve">and </w:t>
      </w:r>
      <w:r w:rsidR="00207B2F" w:rsidRPr="005B1CCB">
        <w:rPr>
          <w:rFonts w:ascii="Palatino Linotype" w:hAnsi="Palatino Linotype"/>
          <w:sz w:val="24"/>
          <w:szCs w:val="24"/>
        </w:rPr>
        <w:t xml:space="preserve">are shown in </w:t>
      </w:r>
      <w:r w:rsidR="009528C2" w:rsidRPr="005B1CCB">
        <w:rPr>
          <w:rFonts w:ascii="Palatino Linotype" w:hAnsi="Palatino Linotype"/>
          <w:sz w:val="24"/>
          <w:szCs w:val="24"/>
        </w:rPr>
        <w:t>F</w:t>
      </w:r>
      <w:r w:rsidR="00207B2F" w:rsidRPr="005B1CCB">
        <w:rPr>
          <w:rFonts w:ascii="Palatino Linotype" w:hAnsi="Palatino Linotype"/>
          <w:sz w:val="24"/>
          <w:szCs w:val="24"/>
        </w:rPr>
        <w:t>igure</w:t>
      </w:r>
      <w:r w:rsidR="009528C2" w:rsidRPr="005B1CCB">
        <w:rPr>
          <w:rFonts w:ascii="Palatino Linotype" w:hAnsi="Palatino Linotype"/>
          <w:sz w:val="24"/>
          <w:szCs w:val="24"/>
        </w:rPr>
        <w:t xml:space="preserve"> 4</w:t>
      </w:r>
      <w:r w:rsidR="00CA6EF0" w:rsidRPr="005B1CCB">
        <w:rPr>
          <w:rFonts w:ascii="Palatino Linotype" w:hAnsi="Palatino Linotype"/>
          <w:sz w:val="24"/>
          <w:szCs w:val="24"/>
        </w:rPr>
        <w:t>7</w:t>
      </w:r>
      <w:r w:rsidR="00207B2F" w:rsidRPr="005B1CCB">
        <w:rPr>
          <w:rFonts w:ascii="Palatino Linotype" w:hAnsi="Palatino Linotype"/>
          <w:sz w:val="24"/>
          <w:szCs w:val="24"/>
        </w:rPr>
        <w:t xml:space="preserve">. </w:t>
      </w:r>
      <w:r w:rsidR="0039206F" w:rsidRPr="005B1CCB">
        <w:rPr>
          <w:rFonts w:ascii="Palatino Linotype" w:hAnsi="Palatino Linotype"/>
          <w:sz w:val="24"/>
          <w:szCs w:val="24"/>
        </w:rPr>
        <w:t xml:space="preserve">When the wild-type probe sequence modified electrodes were hybridised with KRAS </w:t>
      </w:r>
      <w:r w:rsidR="00B81ECB">
        <w:rPr>
          <w:rFonts w:ascii="Palatino Linotype" w:hAnsi="Palatino Linotype"/>
          <w:sz w:val="24"/>
          <w:szCs w:val="24"/>
        </w:rPr>
        <w:t>p</w:t>
      </w:r>
      <w:r w:rsidR="0039206F" w:rsidRPr="005B1CCB">
        <w:rPr>
          <w:rFonts w:ascii="Palatino Linotype" w:hAnsi="Palatino Linotype"/>
          <w:sz w:val="24"/>
          <w:szCs w:val="24"/>
        </w:rPr>
        <w:t>G13D amplicons, alterations in the peak current were not observed</w:t>
      </w:r>
      <w:r w:rsidR="0073152E">
        <w:rPr>
          <w:rFonts w:ascii="Palatino Linotype" w:hAnsi="Palatino Linotype"/>
          <w:sz w:val="24"/>
          <w:szCs w:val="24"/>
        </w:rPr>
        <w:t>,</w:t>
      </w:r>
      <w:r w:rsidR="0039206F" w:rsidRPr="005B1CCB">
        <w:rPr>
          <w:rFonts w:ascii="Palatino Linotype" w:hAnsi="Palatino Linotype"/>
          <w:sz w:val="24"/>
          <w:szCs w:val="24"/>
        </w:rPr>
        <w:t xml:space="preserve"> indicating no significant hybridisation.  The mutant amplicons when incubated with mutant probe modified electrodes gave rise to a very significant signal change (~350</w:t>
      </w:r>
      <w:r w:rsidR="00CA6EF0" w:rsidRPr="005B1CCB">
        <w:rPr>
          <w:rFonts w:ascii="Palatino Linotype" w:hAnsi="Palatino Linotype"/>
          <w:sz w:val="24"/>
          <w:szCs w:val="24"/>
        </w:rPr>
        <w:t xml:space="preserve"> </w:t>
      </w:r>
      <w:r w:rsidR="0039206F" w:rsidRPr="005B1CCB">
        <w:rPr>
          <w:rFonts w:ascii="Palatino Linotype" w:hAnsi="Palatino Linotype"/>
          <w:sz w:val="24"/>
          <w:szCs w:val="24"/>
        </w:rPr>
        <w:t xml:space="preserve">%) indicating hybridisation with highly concentrated DNA samples (nano-micromolar concentration ranges) because of the strong positive signal change. </w:t>
      </w:r>
      <w:r w:rsidR="00653D6D" w:rsidRPr="00653D6D">
        <w:rPr>
          <w:rFonts w:ascii="Palatino Linotype" w:hAnsi="Palatino Linotype"/>
          <w:sz w:val="24"/>
          <w:szCs w:val="24"/>
        </w:rPr>
        <w:t xml:space="preserve">The standard deviation reflects the variation obtained from the experimental replicas.  </w:t>
      </w:r>
      <w:r w:rsidR="0039206F" w:rsidRPr="005B1CCB">
        <w:rPr>
          <w:rFonts w:ascii="Palatino Linotype" w:hAnsi="Palatino Linotype"/>
          <w:sz w:val="24"/>
          <w:szCs w:val="24"/>
        </w:rPr>
        <w:t>Subsequent UV-vis measurements on the amplicon confirmed this to be the case with estimated amplicons concentrations being in the range of 250-500 µM.</w:t>
      </w:r>
    </w:p>
    <w:p w14:paraId="483BE6C9" w14:textId="77777777" w:rsidR="00C64AD1" w:rsidRPr="005B1CCB" w:rsidRDefault="00B7557C" w:rsidP="00C64AD1">
      <w:pPr>
        <w:keepNext/>
        <w:spacing w:line="360" w:lineRule="auto"/>
        <w:jc w:val="both"/>
      </w:pPr>
      <w:r w:rsidRPr="005B1CCB">
        <w:rPr>
          <w:noProof/>
          <w:lang w:eastAsia="en-GB"/>
        </w:rPr>
        <w:drawing>
          <wp:inline distT="0" distB="0" distL="0" distR="0" wp14:anchorId="3FE5884F" wp14:editId="63AB19E3">
            <wp:extent cx="6000667" cy="3060408"/>
            <wp:effectExtent l="0" t="0" r="635" b="6985"/>
            <wp:docPr id="30" name="Picture 3"/>
            <wp:cNvGraphicFramePr/>
            <a:graphic xmlns:a="http://schemas.openxmlformats.org/drawingml/2006/main">
              <a:graphicData uri="http://schemas.openxmlformats.org/drawingml/2006/picture">
                <pic:pic xmlns:pic="http://schemas.openxmlformats.org/drawingml/2006/picture">
                  <pic:nvPicPr>
                    <pic:cNvPr id="13" name="Picture 3"/>
                    <pic:cNvPicPr/>
                  </pic:nvPicPr>
                  <pic:blipFill>
                    <a:blip r:embed="rId66"/>
                    <a:stretch>
                      <a:fillRect/>
                    </a:stretch>
                  </pic:blipFill>
                  <pic:spPr>
                    <a:xfrm>
                      <a:off x="0" y="0"/>
                      <a:ext cx="6033731" cy="3077271"/>
                    </a:xfrm>
                    <a:prstGeom prst="rect">
                      <a:avLst/>
                    </a:prstGeom>
                  </pic:spPr>
                </pic:pic>
              </a:graphicData>
            </a:graphic>
          </wp:inline>
        </w:drawing>
      </w:r>
    </w:p>
    <w:p w14:paraId="3D118729" w14:textId="77777777" w:rsidR="00B7557C" w:rsidRPr="005B1CCB" w:rsidRDefault="00C64AD1" w:rsidP="00C64AD1">
      <w:pPr>
        <w:pStyle w:val="Caption"/>
        <w:jc w:val="center"/>
        <w:rPr>
          <w:rFonts w:ascii="Palatino Linotype" w:hAnsi="Palatino Linotype"/>
          <w:sz w:val="22"/>
          <w:szCs w:val="22"/>
        </w:rPr>
      </w:pPr>
      <w:bookmarkStart w:id="182" w:name="_Toc84519642"/>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47</w:t>
      </w:r>
      <w:r w:rsidRPr="005B1CCB">
        <w:rPr>
          <w:sz w:val="22"/>
          <w:szCs w:val="22"/>
        </w:rPr>
        <w:fldChar w:fldCharType="end"/>
      </w:r>
      <w:r w:rsidRPr="005B1CCB">
        <w:rPr>
          <w:sz w:val="22"/>
          <w:szCs w:val="22"/>
        </w:rPr>
        <w:t>:</w:t>
      </w:r>
      <w:r w:rsidR="009F6860" w:rsidRPr="005B1CCB">
        <w:rPr>
          <w:sz w:val="22"/>
          <w:szCs w:val="22"/>
        </w:rPr>
        <w:t xml:space="preserve"> DPV measurements showing s</w:t>
      </w:r>
      <w:r w:rsidR="00B7557C" w:rsidRPr="005B1CCB">
        <w:rPr>
          <w:sz w:val="22"/>
          <w:szCs w:val="22"/>
        </w:rPr>
        <w:t>uccessful amplification of (A) KRAS G13D mutants further confirmed by a large percentage signal change ratio between mutant probe and G13D mutant amplicons (B) KRAS wild-type further confirmed by a large percentage signal ratio between wild-type probe and wild-type DNA</w:t>
      </w:r>
      <w:bookmarkEnd w:id="182"/>
    </w:p>
    <w:p w14:paraId="647AF713" w14:textId="08FEA06E" w:rsidR="00D00AA7" w:rsidRPr="005B1CCB" w:rsidRDefault="0017346C" w:rsidP="00EF23A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EF23AD" w:rsidRPr="005B1CCB">
        <w:rPr>
          <w:rFonts w:ascii="Palatino Linotype" w:hAnsi="Palatino Linotype"/>
          <w:sz w:val="24"/>
          <w:szCs w:val="24"/>
        </w:rPr>
        <w:t xml:space="preserve">These findings were highly satisfying, i.e. that the surface tethered KRAS G13D mutant probe sequence could in fact discriminate between the mutant and </w:t>
      </w:r>
      <w:r w:rsidR="00675E74" w:rsidRPr="005B1CCB">
        <w:rPr>
          <w:rFonts w:ascii="Palatino Linotype" w:hAnsi="Palatino Linotype"/>
          <w:sz w:val="24"/>
          <w:szCs w:val="24"/>
        </w:rPr>
        <w:t>wild</w:t>
      </w:r>
      <w:r w:rsidR="00675E74">
        <w:rPr>
          <w:rFonts w:ascii="Palatino Linotype" w:hAnsi="Palatino Linotype"/>
          <w:sz w:val="24"/>
          <w:szCs w:val="24"/>
        </w:rPr>
        <w:t>-</w:t>
      </w:r>
      <w:r w:rsidR="00EF23AD" w:rsidRPr="005B1CCB">
        <w:rPr>
          <w:rFonts w:ascii="Palatino Linotype" w:hAnsi="Palatino Linotype"/>
          <w:sz w:val="24"/>
          <w:szCs w:val="24"/>
        </w:rPr>
        <w:t xml:space="preserve">type samples based on the presence or absence of PCR amplicons for KRAS G13D high sensitivity. This in fact represented a sort of </w:t>
      </w:r>
      <w:r w:rsidR="00EF23AD" w:rsidRPr="00572868">
        <w:rPr>
          <w:rFonts w:ascii="Palatino Linotype" w:hAnsi="Palatino Linotype"/>
          <w:sz w:val="24"/>
          <w:szCs w:val="24"/>
        </w:rPr>
        <w:t>double specificity for the PCR-based assay because the primer design had already been shown to specifically amplify the mutated sequence so coupling in the specificity of the electrochemical probe sequence meant that the assay would be able to successfully discriminate mutant amplicons from the sample</w:t>
      </w:r>
      <w:r w:rsidR="00EF23AD" w:rsidRPr="005B1CCB">
        <w:rPr>
          <w:rFonts w:ascii="Palatino Linotype" w:hAnsi="Palatino Linotype"/>
          <w:sz w:val="24"/>
          <w:szCs w:val="24"/>
        </w:rPr>
        <w:t xml:space="preserve">.  </w:t>
      </w:r>
    </w:p>
    <w:p w14:paraId="5C65832B" w14:textId="77777777" w:rsidR="007740AC" w:rsidRPr="005B1CCB" w:rsidRDefault="00AA7694" w:rsidP="007740AC">
      <w:pPr>
        <w:pStyle w:val="MDPI31text"/>
        <w:spacing w:line="360" w:lineRule="auto"/>
        <w:ind w:firstLine="0"/>
        <w:rPr>
          <w:sz w:val="24"/>
          <w:szCs w:val="24"/>
        </w:rPr>
      </w:pPr>
      <w:r w:rsidRPr="005B1CCB">
        <w:rPr>
          <w:sz w:val="24"/>
          <w:szCs w:val="24"/>
        </w:rPr>
        <w:t xml:space="preserve">   </w:t>
      </w:r>
      <w:r w:rsidR="00EF23AD" w:rsidRPr="005B1CCB">
        <w:rPr>
          <w:sz w:val="24"/>
          <w:szCs w:val="24"/>
        </w:rPr>
        <w:t xml:space="preserve">An opposite response is noted in Figure </w:t>
      </w:r>
      <w:r w:rsidR="007821F6" w:rsidRPr="005B1CCB">
        <w:rPr>
          <w:sz w:val="24"/>
          <w:szCs w:val="24"/>
        </w:rPr>
        <w:t>4</w:t>
      </w:r>
      <w:r w:rsidR="00CA6EF0" w:rsidRPr="005B1CCB">
        <w:rPr>
          <w:sz w:val="24"/>
          <w:szCs w:val="24"/>
        </w:rPr>
        <w:t>7</w:t>
      </w:r>
      <w:r w:rsidR="00EF23AD" w:rsidRPr="005B1CCB">
        <w:rPr>
          <w:sz w:val="24"/>
          <w:szCs w:val="24"/>
        </w:rPr>
        <w:t xml:space="preserve"> (B) where wild-type amplicons resulting from DNA amplification using wild</w:t>
      </w:r>
      <w:r w:rsidR="00D00AA7" w:rsidRPr="005B1CCB">
        <w:rPr>
          <w:sz w:val="24"/>
          <w:szCs w:val="24"/>
        </w:rPr>
        <w:t>-</w:t>
      </w:r>
      <w:r w:rsidR="00EF23AD" w:rsidRPr="005B1CCB">
        <w:rPr>
          <w:sz w:val="24"/>
          <w:szCs w:val="24"/>
        </w:rPr>
        <w:t xml:space="preserve">type primers are hybridised using wild-type probe modified electrodes. In this case, the wild-type hybridisation exhibited a significant signal change while mutant probe modified electrodes showed no significant hybridisation, representing an additional control. </w:t>
      </w:r>
      <w:r w:rsidR="007740AC" w:rsidRPr="005B1CCB">
        <w:rPr>
          <w:sz w:val="24"/>
          <w:szCs w:val="24"/>
        </w:rPr>
        <w:t xml:space="preserve">It is also noted that the hybridisation data between the mutant probe and the amplified KRAS pG12D mutants (n=8) varies less and showed more consistency in the signal change.  </w:t>
      </w:r>
    </w:p>
    <w:p w14:paraId="3D65FEB5" w14:textId="77777777" w:rsidR="00EF23AD" w:rsidRPr="005B1CCB" w:rsidRDefault="007740AC" w:rsidP="00EF23A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EF23AD" w:rsidRPr="005B1CCB">
        <w:rPr>
          <w:rFonts w:ascii="Palatino Linotype" w:hAnsi="Palatino Linotype"/>
          <w:sz w:val="24"/>
          <w:szCs w:val="24"/>
        </w:rPr>
        <w:t xml:space="preserve">These </w:t>
      </w:r>
      <w:r w:rsidRPr="005B1CCB">
        <w:rPr>
          <w:rFonts w:ascii="Palatino Linotype" w:hAnsi="Palatino Linotype"/>
          <w:sz w:val="24"/>
          <w:szCs w:val="24"/>
        </w:rPr>
        <w:t>discoveries</w:t>
      </w:r>
      <w:r w:rsidR="00EF23AD" w:rsidRPr="005B1CCB">
        <w:rPr>
          <w:rFonts w:ascii="Palatino Linotype" w:hAnsi="Palatino Linotype"/>
          <w:sz w:val="24"/>
          <w:szCs w:val="24"/>
        </w:rPr>
        <w:t xml:space="preserve"> were thoroughly </w:t>
      </w:r>
      <w:r w:rsidR="00CA6EF0" w:rsidRPr="005B1CCB">
        <w:rPr>
          <w:rFonts w:ascii="Palatino Linotype" w:hAnsi="Palatino Linotype"/>
          <w:sz w:val="24"/>
          <w:szCs w:val="24"/>
        </w:rPr>
        <w:t>encouraging</w:t>
      </w:r>
      <w:r w:rsidR="00EF23AD" w:rsidRPr="005B1CCB">
        <w:rPr>
          <w:rFonts w:ascii="Palatino Linotype" w:hAnsi="Palatino Linotype"/>
          <w:sz w:val="24"/>
          <w:szCs w:val="24"/>
        </w:rPr>
        <w:t xml:space="preserve">, i.e., that the surface-tethered KRAS </w:t>
      </w:r>
      <w:r w:rsidRPr="005B1CCB">
        <w:rPr>
          <w:rFonts w:ascii="Palatino Linotype" w:hAnsi="Palatino Linotype"/>
          <w:sz w:val="24"/>
          <w:szCs w:val="24"/>
        </w:rPr>
        <w:t>p</w:t>
      </w:r>
      <w:r w:rsidR="00EF23AD" w:rsidRPr="005B1CCB">
        <w:rPr>
          <w:rFonts w:ascii="Palatino Linotype" w:hAnsi="Palatino Linotype"/>
          <w:sz w:val="24"/>
          <w:szCs w:val="24"/>
        </w:rPr>
        <w:t xml:space="preserve">G13D mutant </w:t>
      </w:r>
      <w:r w:rsidRPr="005B1CCB">
        <w:rPr>
          <w:rFonts w:ascii="Palatino Linotype" w:hAnsi="Palatino Linotype"/>
          <w:sz w:val="24"/>
          <w:szCs w:val="24"/>
        </w:rPr>
        <w:t xml:space="preserve">and wild-type </w:t>
      </w:r>
      <w:r w:rsidR="00EF23AD" w:rsidRPr="005B1CCB">
        <w:rPr>
          <w:rFonts w:ascii="Palatino Linotype" w:hAnsi="Palatino Linotype"/>
          <w:sz w:val="24"/>
          <w:szCs w:val="24"/>
        </w:rPr>
        <w:t>probe sequence</w:t>
      </w:r>
      <w:r w:rsidRPr="005B1CCB">
        <w:rPr>
          <w:rFonts w:ascii="Palatino Linotype" w:hAnsi="Palatino Linotype"/>
          <w:sz w:val="24"/>
          <w:szCs w:val="24"/>
        </w:rPr>
        <w:t>s</w:t>
      </w:r>
      <w:r w:rsidR="00EF23AD" w:rsidRPr="005B1CCB">
        <w:rPr>
          <w:rFonts w:ascii="Palatino Linotype" w:hAnsi="Palatino Linotype"/>
          <w:sz w:val="24"/>
          <w:szCs w:val="24"/>
        </w:rPr>
        <w:t xml:space="preserve"> could, in fact, discriminate between the mutant and wild-type samples based on the presence of </w:t>
      </w:r>
      <w:r w:rsidRPr="005B1CCB">
        <w:rPr>
          <w:rFonts w:ascii="Palatino Linotype" w:hAnsi="Palatino Linotype"/>
          <w:sz w:val="24"/>
          <w:szCs w:val="24"/>
        </w:rPr>
        <w:t xml:space="preserve">either KRAS pG13D or wild-type </w:t>
      </w:r>
      <w:r w:rsidR="00EF23AD" w:rsidRPr="005B1CCB">
        <w:rPr>
          <w:rFonts w:ascii="Palatino Linotype" w:hAnsi="Palatino Linotype"/>
          <w:sz w:val="24"/>
          <w:szCs w:val="24"/>
        </w:rPr>
        <w:t>PCR amplicons with high sensitivity. Having established the specificity of the assay and the nature of the electrochemical change, the next step involved verifying the sensitivity of the assay and dose–response effects for the KRAS G13D mutant PCR product.</w:t>
      </w:r>
    </w:p>
    <w:p w14:paraId="0CE949C9" w14:textId="77777777" w:rsidR="007740AC" w:rsidRPr="005B1CCB" w:rsidRDefault="007740AC" w:rsidP="007740AC">
      <w:pPr>
        <w:pStyle w:val="MDPI31text"/>
        <w:spacing w:line="360" w:lineRule="auto"/>
        <w:ind w:firstLine="0"/>
      </w:pPr>
    </w:p>
    <w:p w14:paraId="6CC06A4D" w14:textId="77777777" w:rsidR="001A0339" w:rsidRPr="005B1CCB" w:rsidRDefault="001A0339" w:rsidP="00D71969">
      <w:pPr>
        <w:pStyle w:val="Heading3"/>
      </w:pPr>
      <w:bookmarkStart w:id="183" w:name="_Toc84528136"/>
      <w:r w:rsidRPr="005B1CCB">
        <w:t>ctDNA response at different concentrations using DPV peak currents</w:t>
      </w:r>
      <w:bookmarkEnd w:id="183"/>
    </w:p>
    <w:p w14:paraId="2CBAF459" w14:textId="2B5D4386" w:rsidR="00D1578D" w:rsidRPr="005B1CCB" w:rsidRDefault="00AA7694" w:rsidP="00ED47F1">
      <w:pPr>
        <w:spacing w:line="360" w:lineRule="auto"/>
        <w:jc w:val="both"/>
        <w:rPr>
          <w:rFonts w:ascii="Palatino Linotype" w:hAnsi="Palatino Linotype"/>
          <w:lang w:bidi="en-US"/>
        </w:rPr>
      </w:pPr>
      <w:r w:rsidRPr="005B1CCB">
        <w:rPr>
          <w:rFonts w:ascii="Palatino Linotype" w:hAnsi="Palatino Linotype"/>
          <w:sz w:val="24"/>
          <w:szCs w:val="24"/>
        </w:rPr>
        <w:t xml:space="preserve">   </w:t>
      </w:r>
      <w:r w:rsidR="00D1578D" w:rsidRPr="005B1CCB">
        <w:rPr>
          <w:rFonts w:ascii="Palatino Linotype" w:hAnsi="Palatino Linotype"/>
          <w:sz w:val="24"/>
          <w:szCs w:val="24"/>
        </w:rPr>
        <w:t xml:space="preserve">After establishing PCR primer specificity, ssDNA probe specificity and electrochemical signal changes of the correct direction and magnitude, it was important to investigate dose response effects. In these experiments, non-amplified and amplified samples were diluted and a dose response curve was constructed (see Figures </w:t>
      </w:r>
      <w:r w:rsidR="0072582B" w:rsidRPr="005B1CCB">
        <w:rPr>
          <w:rFonts w:ascii="Palatino Linotype" w:hAnsi="Palatino Linotype"/>
          <w:sz w:val="24"/>
          <w:szCs w:val="24"/>
        </w:rPr>
        <w:t>4</w:t>
      </w:r>
      <w:r w:rsidR="001B3B79" w:rsidRPr="005B1CCB">
        <w:rPr>
          <w:rFonts w:ascii="Palatino Linotype" w:hAnsi="Palatino Linotype"/>
          <w:sz w:val="24"/>
          <w:szCs w:val="24"/>
        </w:rPr>
        <w:t>8</w:t>
      </w:r>
      <w:r w:rsidR="0072582B" w:rsidRPr="005B1CCB">
        <w:rPr>
          <w:rFonts w:ascii="Palatino Linotype" w:hAnsi="Palatino Linotype"/>
          <w:sz w:val="24"/>
          <w:szCs w:val="24"/>
        </w:rPr>
        <w:t xml:space="preserve"> </w:t>
      </w:r>
      <w:r w:rsidR="00C64AD1" w:rsidRPr="005B1CCB">
        <w:rPr>
          <w:rFonts w:ascii="Palatino Linotype" w:hAnsi="Palatino Linotype"/>
          <w:sz w:val="24"/>
          <w:szCs w:val="24"/>
        </w:rPr>
        <w:t>(</w:t>
      </w:r>
      <w:r w:rsidR="00D1578D" w:rsidRPr="005B1CCB">
        <w:rPr>
          <w:rFonts w:ascii="Palatino Linotype" w:hAnsi="Palatino Linotype"/>
          <w:sz w:val="24"/>
          <w:szCs w:val="24"/>
        </w:rPr>
        <w:t xml:space="preserve">A&amp;B). </w:t>
      </w:r>
      <w:r w:rsidR="00D1578D" w:rsidRPr="00572868">
        <w:rPr>
          <w:rFonts w:ascii="Palatino Linotype" w:hAnsi="Palatino Linotype"/>
          <w:sz w:val="24"/>
          <w:szCs w:val="24"/>
        </w:rPr>
        <w:t>For the unamplified sample, the lowest concentration (0.85</w:t>
      </w:r>
      <w:r w:rsidR="001126C2" w:rsidRPr="00572868">
        <w:rPr>
          <w:rFonts w:ascii="Palatino Linotype" w:hAnsi="Palatino Linotype"/>
          <w:sz w:val="24"/>
          <w:szCs w:val="24"/>
        </w:rPr>
        <w:t xml:space="preserve"> </w:t>
      </w:r>
      <w:r w:rsidR="00D1578D" w:rsidRPr="00572868">
        <w:rPr>
          <w:rFonts w:ascii="Palatino Linotype" w:hAnsi="Palatino Linotype"/>
          <w:sz w:val="24"/>
          <w:szCs w:val="24"/>
        </w:rPr>
        <w:t>ng/µl)</w:t>
      </w:r>
      <w:r w:rsidR="00D1578D" w:rsidRPr="005B1CCB">
        <w:rPr>
          <w:rFonts w:ascii="Palatino Linotype" w:hAnsi="Palatino Linotype"/>
          <w:sz w:val="24"/>
          <w:szCs w:val="24"/>
        </w:rPr>
        <w:t xml:space="preserve"> showed the lowest reduction in oxidative peak current post hybridisation with signal change increasing as sample concentration increased. The issue here, however, is the specificity of the probe-target interaction (as shown earlier) and the relatively small signal change brought about by incubation with unamplified samples. Owing to the fact that these were relatively low concentrations of DNA, leading to limited hybridisation, the signal changes were negative in direction i.e.</w:t>
      </w:r>
      <w:r w:rsidR="0054039C">
        <w:rPr>
          <w:rFonts w:ascii="Palatino Linotype" w:hAnsi="Palatino Linotype"/>
          <w:sz w:val="24"/>
          <w:szCs w:val="24"/>
        </w:rPr>
        <w:t>,</w:t>
      </w:r>
      <w:r w:rsidR="00D1578D" w:rsidRPr="005B1CCB">
        <w:rPr>
          <w:rFonts w:ascii="Palatino Linotype" w:hAnsi="Palatino Linotype"/>
          <w:sz w:val="24"/>
          <w:szCs w:val="24"/>
        </w:rPr>
        <w:t xml:space="preserve"> decreases in DPV peak current. On the other hand, the amplified sample produced a dose-response curve with higher signal changes which were positive in direction due to the specific enrichment of the mutant sequence concentration with smaller standard deviations because of the hybridisation of strands of similar lengths (the unamplified samples contains heterogenous strand lengths because it is unprocessed DNA) and in effect the full fraction of cfDNA from a patient. </w:t>
      </w:r>
      <w:r w:rsidR="00ED47F1" w:rsidRPr="005B1CCB">
        <w:rPr>
          <w:rFonts w:ascii="Palatino Linotype" w:hAnsi="Palatino Linotype"/>
          <w:sz w:val="24"/>
          <w:szCs w:val="24"/>
        </w:rPr>
        <w:t xml:space="preserve">Achieving good sensitivity is very important as the concentration of circulating free DNA released by tumour cells is usually in proportion to the stage of cancer </w:t>
      </w:r>
      <w:r w:rsidR="00ED47F1"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10.1002/cam4.1586","author":[{"dropping-particle":"","family":"Wang","given":"Xisi","non-dropping-particle":"","parse-names":false,"suffix":""},{"dropping-particle":"","family":"Wang","given":"Lijun","non-dropping-particle":"","parse-names":false,"suffix":""},{"dropping-particle":"","family":"Su","given":"Yan","non-dropping-particle":"","parse-names":false,"suffix":""},{"dropping-particle":"","family":"Yue","given":"Zhixia","non-dropping-particle":"","parse-names":false,"suffix":""},{"dropping-particle":"","family":"Xing","given":"Tianyu","non-dropping-particle":"","parse-names":false,"suffix":""}],"id":"ITEM-1","issue":"May","issued":{"date-parts":[["2018"]]},"page":"3022-3030","title":"Plasma cell- ­ free DNA quantification is highly correlated to tumor burden in children with neuroblastoma","type":"article-journal"},"uris":["http://www.mendeley.com/documents/?uuid=586f6c52-3c13-4897-9f21-4b950939a1cf"]}],"mendeley":{"formattedCitation":"[233]","plainTextFormattedCitation":"[233]","previouslyFormattedCitation":"[233]"},"properties":{"noteIndex":0},"schema":"https://github.com/citation-style-language/schema/raw/master/csl-citation.json"}</w:instrText>
      </w:r>
      <w:r w:rsidR="00ED47F1" w:rsidRPr="005B1CCB">
        <w:rPr>
          <w:rFonts w:ascii="Palatino Linotype" w:hAnsi="Palatino Linotype"/>
          <w:sz w:val="24"/>
          <w:szCs w:val="24"/>
        </w:rPr>
        <w:fldChar w:fldCharType="separate"/>
      </w:r>
      <w:r w:rsidR="005F2946" w:rsidRPr="005F2946">
        <w:rPr>
          <w:rFonts w:ascii="Palatino Linotype" w:hAnsi="Palatino Linotype"/>
          <w:noProof/>
          <w:sz w:val="24"/>
          <w:szCs w:val="24"/>
        </w:rPr>
        <w:t>[233]</w:t>
      </w:r>
      <w:r w:rsidR="00ED47F1" w:rsidRPr="005B1CCB">
        <w:rPr>
          <w:rFonts w:ascii="Palatino Linotype" w:hAnsi="Palatino Linotype"/>
          <w:sz w:val="24"/>
          <w:szCs w:val="24"/>
        </w:rPr>
        <w:fldChar w:fldCharType="end"/>
      </w:r>
      <w:r w:rsidR="00ED47F1" w:rsidRPr="00572868">
        <w:rPr>
          <w:rFonts w:ascii="Palatino Linotype" w:hAnsi="Palatino Linotype"/>
          <w:sz w:val="24"/>
          <w:szCs w:val="24"/>
        </w:rPr>
        <w:t>.</w:t>
      </w:r>
      <w:r w:rsidR="00ED47F1" w:rsidRPr="005B1CCB">
        <w:rPr>
          <w:rFonts w:ascii="Palatino Linotype" w:hAnsi="Palatino Linotype"/>
          <w:sz w:val="24"/>
          <w:szCs w:val="24"/>
        </w:rPr>
        <w:t xml:space="preserve">  The specificity and sensitivity results are not complete and cannot be fully stated but the data presented and discussed here show that we can get appreciable changes in the electrochemical signal from relatively low copy numbers of the mutated gene compared to the highly abundant wild</w:t>
      </w:r>
      <w:r w:rsidR="001B3B79" w:rsidRPr="005B1CCB">
        <w:rPr>
          <w:rFonts w:ascii="Palatino Linotype" w:hAnsi="Palatino Linotype"/>
          <w:sz w:val="24"/>
          <w:szCs w:val="24"/>
        </w:rPr>
        <w:t>-</w:t>
      </w:r>
      <w:r w:rsidR="00ED47F1" w:rsidRPr="005B1CCB">
        <w:rPr>
          <w:rFonts w:ascii="Palatino Linotype" w:hAnsi="Palatino Linotype"/>
          <w:sz w:val="24"/>
          <w:szCs w:val="24"/>
        </w:rPr>
        <w:t xml:space="preserve">type gene also present in the sample.  Further work will involve fully defining the assay sensitivity and specificity. As circulating nucleic acids are present in blood at ng/mL levels, which based on the fragment length is analogous to a picomolar concentration, a minimum of femtomolar sensitivity will be beneficial for detection of tumour-specific sequences </w:t>
      </w:r>
      <w:r w:rsidR="00ED47F1" w:rsidRPr="005B1CCB">
        <w:rPr>
          <w:rFonts w:ascii="Palatino Linotype" w:hAnsi="Palatino Linotype"/>
          <w:sz w:val="24"/>
          <w:szCs w:val="24"/>
        </w:rPr>
        <w:fldChar w:fldCharType="begin" w:fldLock="1"/>
      </w:r>
      <w:r w:rsidR="00D8103F" w:rsidRPr="005B1CCB">
        <w:rPr>
          <w:rFonts w:ascii="Palatino Linotype" w:hAnsi="Palatino Linotype"/>
          <w:sz w:val="24"/>
          <w:szCs w:val="24"/>
        </w:rPr>
        <w:instrText>ADDIN CSL_CITATION {"citationItems":[{"id":"ITEM-1","itemData":{"DOI":"10.1021/acssensors.6b00691","ISSN":"23793694","abstract":"The ultimate goal of developing sensors for biomolecular analytes is to offer new tools for the analysis of clinical specimens for biomarkers of disease. It is thus important to understand the types of samples that are routinely used in the clinic for specific indications, and what the typical levels of relevant analytes are in these specimens. This Sensor Issues article summarizes information concerning levels of target molecules and cells that are of interest for the development of new diagnostics for infectious disease and cancer. Having this information in hand helps better define the “needle-in-a-haystack” challenge associated with developing robust sensors with the needed levels of sensitivity and specificity.","author":[{"dropping-particle":"","family":"Kelley","given":"Shana O.","non-dropping-particle":"","parse-names":false,"suffix":""}],"container-title":"ACS Sensors","id":"ITEM-1","issue":"2","issued":{"date-parts":[["2017"]]},"page":"193-197","title":"What Are Clinically Relevant Levels of Cellular and Biomolecular Analytes?","type":"article-journal","volume":"2"},"uris":["http://www.mendeley.com/documents/?uuid=635b2fcb-669b-48b2-9c15-2223a29a8c49"]}],"mendeley":{"formattedCitation":"[20]","plainTextFormattedCitation":"[20]","previouslyFormattedCitation":"[20]"},"properties":{"noteIndex":0},"schema":"https://github.com/citation-style-language/schema/raw/master/csl-citation.json"}</w:instrText>
      </w:r>
      <w:r w:rsidR="00ED47F1" w:rsidRPr="005B1CCB">
        <w:rPr>
          <w:rFonts w:ascii="Palatino Linotype" w:hAnsi="Palatino Linotype"/>
          <w:sz w:val="24"/>
          <w:szCs w:val="24"/>
        </w:rPr>
        <w:fldChar w:fldCharType="separate"/>
      </w:r>
      <w:r w:rsidR="00C46CE8" w:rsidRPr="005B1CCB">
        <w:rPr>
          <w:rFonts w:ascii="Palatino Linotype" w:hAnsi="Palatino Linotype"/>
          <w:noProof/>
          <w:sz w:val="24"/>
          <w:szCs w:val="24"/>
        </w:rPr>
        <w:t>[20]</w:t>
      </w:r>
      <w:r w:rsidR="00ED47F1" w:rsidRPr="005B1CCB">
        <w:rPr>
          <w:rFonts w:ascii="Palatino Linotype" w:hAnsi="Palatino Linotype"/>
          <w:sz w:val="24"/>
          <w:szCs w:val="24"/>
        </w:rPr>
        <w:fldChar w:fldCharType="end"/>
      </w:r>
      <w:r w:rsidR="00ED47F1" w:rsidRPr="005B1CCB">
        <w:rPr>
          <w:rFonts w:ascii="Palatino Linotype" w:hAnsi="Palatino Linotype"/>
          <w:sz w:val="24"/>
          <w:szCs w:val="24"/>
        </w:rPr>
        <w:t xml:space="preserve">. Many published biosensor studies realised such sensitivity levels through the use of exotic electrode modifications, typically involving the fabrication of electrodes modified with graphene, nanoparticles, carbon nanotubes, etc. </w:t>
      </w:r>
      <w:r w:rsidR="00482598" w:rsidRPr="005B1CCB">
        <w:rPr>
          <w:rFonts w:ascii="Palatino Linotype" w:hAnsi="Palatino Linotype"/>
          <w:sz w:val="24"/>
          <w:szCs w:val="24"/>
        </w:rPr>
        <w:t>Although th</w:t>
      </w:r>
      <w:r w:rsidR="002A44B1" w:rsidRPr="005B1CCB">
        <w:rPr>
          <w:rFonts w:ascii="Palatino Linotype" w:hAnsi="Palatino Linotype"/>
          <w:sz w:val="24"/>
          <w:szCs w:val="24"/>
        </w:rPr>
        <w:t>e</w:t>
      </w:r>
      <w:r w:rsidR="00482598" w:rsidRPr="005B1CCB">
        <w:rPr>
          <w:rFonts w:ascii="Palatino Linotype" w:hAnsi="Palatino Linotype"/>
          <w:sz w:val="24"/>
          <w:szCs w:val="24"/>
        </w:rPr>
        <w:t>s</w:t>
      </w:r>
      <w:r w:rsidR="002A44B1" w:rsidRPr="005B1CCB">
        <w:rPr>
          <w:rFonts w:ascii="Palatino Linotype" w:hAnsi="Palatino Linotype"/>
          <w:sz w:val="24"/>
          <w:szCs w:val="24"/>
        </w:rPr>
        <w:t>e modifications</w:t>
      </w:r>
      <w:r w:rsidR="00482598" w:rsidRPr="005B1CCB">
        <w:rPr>
          <w:rFonts w:ascii="Palatino Linotype" w:hAnsi="Palatino Linotype"/>
          <w:sz w:val="24"/>
          <w:szCs w:val="24"/>
        </w:rPr>
        <w:t xml:space="preserve"> may improve responses, i</w:t>
      </w:r>
      <w:r w:rsidR="00ED47F1" w:rsidRPr="005B1CCB">
        <w:rPr>
          <w:rFonts w:ascii="Palatino Linotype" w:hAnsi="Palatino Linotype"/>
          <w:sz w:val="24"/>
          <w:szCs w:val="24"/>
        </w:rPr>
        <w:t xml:space="preserve">n </w:t>
      </w:r>
      <w:r w:rsidR="004520EF" w:rsidRPr="005B1CCB">
        <w:rPr>
          <w:rFonts w:ascii="Palatino Linotype" w:hAnsi="Palatino Linotype"/>
          <w:sz w:val="24"/>
          <w:szCs w:val="24"/>
        </w:rPr>
        <w:t>this</w:t>
      </w:r>
      <w:r w:rsidR="00ED47F1" w:rsidRPr="005B1CCB">
        <w:rPr>
          <w:rFonts w:ascii="Palatino Linotype" w:hAnsi="Palatino Linotype"/>
          <w:sz w:val="24"/>
          <w:szCs w:val="24"/>
        </w:rPr>
        <w:t xml:space="preserve"> case, </w:t>
      </w:r>
      <w:r w:rsidR="004520EF" w:rsidRPr="005B1CCB">
        <w:rPr>
          <w:rFonts w:ascii="Palatino Linotype" w:hAnsi="Palatino Linotype"/>
          <w:sz w:val="24"/>
          <w:szCs w:val="24"/>
        </w:rPr>
        <w:t>the aim was</w:t>
      </w:r>
      <w:r w:rsidR="00ED47F1" w:rsidRPr="005B1CCB">
        <w:rPr>
          <w:rFonts w:ascii="Palatino Linotype" w:hAnsi="Palatino Linotype"/>
          <w:sz w:val="24"/>
          <w:szCs w:val="24"/>
        </w:rPr>
        <w:t xml:space="preserve"> to </w:t>
      </w:r>
      <w:r w:rsidR="00482598" w:rsidRPr="005B1CCB">
        <w:rPr>
          <w:rFonts w:ascii="Palatino Linotype" w:hAnsi="Palatino Linotype"/>
          <w:sz w:val="24"/>
          <w:szCs w:val="24"/>
        </w:rPr>
        <w:t>see if reasonable results could be achieved without modification</w:t>
      </w:r>
      <w:r w:rsidR="00ED47F1" w:rsidRPr="005B1CCB">
        <w:rPr>
          <w:rFonts w:ascii="Palatino Linotype" w:hAnsi="Palatino Linotype"/>
          <w:sz w:val="24"/>
          <w:szCs w:val="24"/>
        </w:rPr>
        <w:t xml:space="preserve">. Whilst </w:t>
      </w:r>
      <w:r w:rsidR="00482598" w:rsidRPr="005B1CCB">
        <w:rPr>
          <w:rFonts w:ascii="Palatino Linotype" w:hAnsi="Palatino Linotype"/>
          <w:sz w:val="24"/>
          <w:szCs w:val="24"/>
        </w:rPr>
        <w:t>this</w:t>
      </w:r>
      <w:r w:rsidR="00ED47F1" w:rsidRPr="005B1CCB">
        <w:rPr>
          <w:rFonts w:ascii="Palatino Linotype" w:hAnsi="Palatino Linotype"/>
          <w:sz w:val="24"/>
          <w:szCs w:val="24"/>
        </w:rPr>
        <w:t xml:space="preserve"> approach leads to a trade-off in terms of time to result, it establishes specific amplification and sensitive and specific hybridisation signals giving confidence in the result whilst achieving an overall time to result which is a significant improvement over the current clinical practice. The ctDNA concentration response shown in Figure </w:t>
      </w:r>
      <w:r w:rsidR="00E26C19" w:rsidRPr="005B1CCB">
        <w:rPr>
          <w:rFonts w:ascii="Palatino Linotype" w:hAnsi="Palatino Linotype"/>
          <w:sz w:val="24"/>
          <w:szCs w:val="24"/>
        </w:rPr>
        <w:t>4</w:t>
      </w:r>
      <w:r w:rsidR="001B3B79" w:rsidRPr="005B1CCB">
        <w:rPr>
          <w:rFonts w:ascii="Palatino Linotype" w:hAnsi="Palatino Linotype"/>
          <w:sz w:val="24"/>
          <w:szCs w:val="24"/>
        </w:rPr>
        <w:t>8</w:t>
      </w:r>
      <w:r w:rsidR="00ED47F1" w:rsidRPr="005B1CCB">
        <w:rPr>
          <w:rFonts w:ascii="Palatino Linotype" w:hAnsi="Palatino Linotype"/>
          <w:sz w:val="24"/>
          <w:szCs w:val="24"/>
        </w:rPr>
        <w:t xml:space="preserve"> shows a clear dose–response effect which predicts that an increase in ctDNA, per unit concentration, will result in a larger electrochemical signal response in the positive direction (i.e., increasing DPV peak current). </w:t>
      </w:r>
      <w:r w:rsidR="00C55509" w:rsidRPr="00C55509">
        <w:rPr>
          <w:rFonts w:ascii="Palatino Linotype" w:hAnsi="Palatino Linotype"/>
          <w:sz w:val="24"/>
          <w:szCs w:val="24"/>
        </w:rPr>
        <w:t xml:space="preserve">The standard deviation reflects the variation obtained from the experimental replicas.  </w:t>
      </w:r>
      <w:r w:rsidR="00ED47F1" w:rsidRPr="005B1CCB">
        <w:rPr>
          <w:rFonts w:ascii="Palatino Linotype" w:hAnsi="Palatino Linotype"/>
          <w:sz w:val="24"/>
          <w:szCs w:val="24"/>
        </w:rPr>
        <w:t xml:space="preserve">Since levels of ctDNA are strongly correlated with tumour stage and response to therapy </w:t>
      </w:r>
      <w:r w:rsidR="00ED47F1"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10.1002/cam4.1586","author":[{"dropping-particle":"","family":"Wang","given":"Xisi","non-dropping-particle":"","parse-names":false,"suffix":""},{"dropping-particle":"","family":"Wang","given":"Lijun","non-dropping-particle":"","parse-names":false,"suffix":""},{"dropping-particle":"","family":"Su","given":"Yan","non-dropping-particle":"","parse-names":false,"suffix":""},{"dropping-particle":"","family":"Yue","given":"Zhixia","non-dropping-particle":"","parse-names":false,"suffix":""},{"dropping-particle":"","family":"Xing","given":"Tianyu","non-dropping-particle":"","parse-names":false,"suffix":""}],"id":"ITEM-1","issue":"May","issued":{"date-parts":[["2018"]]},"page":"3022-3030","title":"Plasma cell- ­ free DNA quantification is highly correlated to tumor burden in children with neuroblastoma","type":"article-journal"},"uris":["http://www.mendeley.com/documents/?uuid=586f6c52-3c13-4897-9f21-4b950939a1cf"]}],"mendeley":{"formattedCitation":"[233]","manualFormatting":"[53","plainTextFormattedCitation":"[233]","previouslyFormattedCitation":"[233]"},"properties":{"noteIndex":0},"schema":"https://github.com/citation-style-language/schema/raw/master/csl-citation.json"}</w:instrText>
      </w:r>
      <w:r w:rsidR="00ED47F1" w:rsidRPr="005B1CCB">
        <w:rPr>
          <w:rFonts w:ascii="Palatino Linotype" w:hAnsi="Palatino Linotype"/>
          <w:sz w:val="24"/>
          <w:szCs w:val="24"/>
        </w:rPr>
        <w:fldChar w:fldCharType="separate"/>
      </w:r>
      <w:r w:rsidR="00ED47F1" w:rsidRPr="005B1CCB">
        <w:rPr>
          <w:rFonts w:ascii="Palatino Linotype" w:hAnsi="Palatino Linotype"/>
          <w:noProof/>
          <w:sz w:val="24"/>
          <w:szCs w:val="24"/>
        </w:rPr>
        <w:t>[53</w:t>
      </w:r>
      <w:r w:rsidR="00ED47F1" w:rsidRPr="005B1CCB">
        <w:rPr>
          <w:rFonts w:ascii="Palatino Linotype" w:hAnsi="Palatino Linotype"/>
          <w:sz w:val="24"/>
          <w:szCs w:val="24"/>
        </w:rPr>
        <w:fldChar w:fldCharType="end"/>
      </w:r>
      <w:r w:rsidR="00ED47F1" w:rsidRPr="005B1CCB">
        <w:rPr>
          <w:rFonts w:ascii="Palatino Linotype" w:hAnsi="Palatino Linotype"/>
          <w:sz w:val="24"/>
          <w:szCs w:val="24"/>
        </w:rPr>
        <w:t>-</w:t>
      </w:r>
      <w:r w:rsidR="00ED47F1" w:rsidRPr="005B1CCB">
        <w:rPr>
          <w:rFonts w:ascii="Palatino Linotype" w:hAnsi="Palatino Linotype"/>
          <w:sz w:val="24"/>
          <w:szCs w:val="24"/>
        </w:rPr>
        <w:fldChar w:fldCharType="begin" w:fldLock="1"/>
      </w:r>
      <w:r w:rsidR="00E53787" w:rsidRPr="005B1CCB">
        <w:rPr>
          <w:rFonts w:ascii="Palatino Linotype" w:hAnsi="Palatino Linotype"/>
          <w:sz w:val="24"/>
          <w:szCs w:val="24"/>
        </w:rPr>
        <w:instrText>ADDIN CSL_CITATION {"citationItems":[{"id":"ITEM-1","itemData":{"DOI":"10.3389/fgene.2019.01118","ISSN":"16648021","abstract":"Background: Colorectal cancer is one of the most common cancers worldwide and has a high mortality rate following disease recurrence. Treatment efficacy is maximized by providing tailored cancer treatment, ideally involving surgical resection and personalized neoadjuvant and adjuvant therapies, including chemotherapy, radiotherapy and increasingly, targeted therapy. Early detection of recurrence or disease progression results in more treatable disease and is essential to improving survival outcomes. Recent advances in the understanding of tumor genetics have resulted in the discovery of circulating tumor DNA (ctDNA). A growing body of evidence supports the use of these sensitive biomarkers in detecting residual disease and diagnosing recurrence as well as enabling targeted and tumor-specific adjuvant therapies. Methods: A literature search in Pubmed was performed to identify all original articles preceding April 2019 that utilize ctDNA for the purpose of monitoring response to colorectal cancer treatment. Results: Ninety-two clinical studies were included. These studies demonstrate that ctDNA is a reliable measure of tumor burden. Studies show the utility of ctDNA in assessing the adequacy of surgical tumor clearance and changes in ctDNA levels reflect response to systemic treatments. ctDNA can be used in the selection of targeted treatments. The reappearance or increase in ctDNA, as well as the emergence of new mutations, correlates with disease recurrence, progression, and resistance to therapy, with ctDNA measurement allowing more sensitive monitoring than currently used clinical tools. Conclusions: ctDNA shows enormous promise as a sensitive biomarker for monitoring response to many treatment modalities and for targeting therapy. Thus, it is emerging as a new way for guiding treatment decisions—initiating, altering, and ceasing treatments, or prompting investigation into the potential for residual disease. However, many potentially useful ctDNA markers are available and more work is needed to determine which are best suited for specific purposes and for improving specific outcomes.","author":[{"dropping-particle":"","family":"Reece","given":"Mifanwy","non-dropping-particle":"","parse-names":false,"suffix":""},{"dropping-particle":"","family":"Saluja","given":"Hariti","non-dropping-particle":"","parse-names":false,"suffix":""},{"dropping-particle":"","family":"Hollington","given":"Paul","non-dropping-particle":"","parse-names":false,"suffix":""},{"dropping-particle":"","family":"Karapetis","given":"Christos S.","non-dropping-particle":"","parse-names":false,"suffix":""},{"dropping-particle":"","family":"Vatandoust","given":"Sina","non-dropping-particle":"","parse-names":false,"suffix":""},{"dropping-particle":"","family":"Young","given":"Graeme P.","non-dropping-particle":"","parse-names":false,"suffix":""},{"dropping-particle":"","family":"Symonds","given":"Erin L.","non-dropping-particle":"","parse-names":false,"suffix":""}],"container-title":"Frontiers in Genetics","id":"ITEM-1","issue":"November","issued":{"date-parts":[["2019"]]},"title":"The Use of Circulating Tumor DNA to Monitor and Predict Response to Treatment in Colorectal Cancer","type":"article-journal","volume":"10"},"uris":["http://www.mendeley.com/documents/?uuid=3aa095af-ca8c-470e-8817-0de71540dfa4"]}],"mendeley":{"formattedCitation":"[3]","manualFormatting":"54]","plainTextFormattedCitation":"[3]","previouslyFormattedCitation":"[3]"},"properties":{"noteIndex":0},"schema":"https://github.com/citation-style-language/schema/raw/master/csl-citation.json"}</w:instrText>
      </w:r>
      <w:r w:rsidR="00ED47F1" w:rsidRPr="005B1CCB">
        <w:rPr>
          <w:rFonts w:ascii="Palatino Linotype" w:hAnsi="Palatino Linotype"/>
          <w:sz w:val="24"/>
          <w:szCs w:val="24"/>
        </w:rPr>
        <w:fldChar w:fldCharType="separate"/>
      </w:r>
      <w:r w:rsidR="00ED47F1" w:rsidRPr="005B1CCB">
        <w:rPr>
          <w:rFonts w:ascii="Palatino Linotype" w:hAnsi="Palatino Linotype"/>
          <w:noProof/>
          <w:sz w:val="24"/>
          <w:szCs w:val="24"/>
        </w:rPr>
        <w:t>54]</w:t>
      </w:r>
      <w:r w:rsidR="00ED47F1" w:rsidRPr="005B1CCB">
        <w:rPr>
          <w:rFonts w:ascii="Palatino Linotype" w:hAnsi="Palatino Linotype"/>
          <w:sz w:val="24"/>
          <w:szCs w:val="24"/>
        </w:rPr>
        <w:fldChar w:fldCharType="end"/>
      </w:r>
      <w:r w:rsidR="00ED47F1" w:rsidRPr="005B1CCB">
        <w:rPr>
          <w:rFonts w:ascii="Palatino Linotype" w:hAnsi="Palatino Linotype"/>
          <w:sz w:val="24"/>
          <w:szCs w:val="24"/>
        </w:rPr>
        <w:t>, there is a clear potential for this system to be applied in measuring how a patient’s cancer treatment is progressing.</w:t>
      </w:r>
    </w:p>
    <w:p w14:paraId="1B3CD539" w14:textId="77777777" w:rsidR="00C64AD1" w:rsidRPr="005B1CCB" w:rsidRDefault="00D1578D" w:rsidP="00C64AD1">
      <w:pPr>
        <w:keepNext/>
        <w:spacing w:line="360" w:lineRule="auto"/>
      </w:pPr>
      <w:r w:rsidRPr="005B1CCB">
        <w:rPr>
          <w:rFonts w:ascii="Palatino Linotype" w:hAnsi="Palatino Linotype"/>
          <w:noProof/>
          <w:lang w:eastAsia="en-GB"/>
        </w:rPr>
        <w:drawing>
          <wp:inline distT="0" distB="0" distL="0" distR="0" wp14:anchorId="360D0C7B" wp14:editId="2DA49D8E">
            <wp:extent cx="5982030" cy="2562639"/>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665" t="1677" b="4354"/>
                    <a:stretch/>
                  </pic:blipFill>
                  <pic:spPr bwMode="auto">
                    <a:xfrm>
                      <a:off x="0" y="0"/>
                      <a:ext cx="6020090" cy="2578944"/>
                    </a:xfrm>
                    <a:prstGeom prst="rect">
                      <a:avLst/>
                    </a:prstGeom>
                    <a:ln>
                      <a:noFill/>
                    </a:ln>
                    <a:extLst>
                      <a:ext uri="{53640926-AAD7-44D8-BBD7-CCE9431645EC}">
                        <a14:shadowObscured xmlns:a14="http://schemas.microsoft.com/office/drawing/2010/main"/>
                      </a:ext>
                    </a:extLst>
                  </pic:spPr>
                </pic:pic>
              </a:graphicData>
            </a:graphic>
          </wp:inline>
        </w:drawing>
      </w:r>
    </w:p>
    <w:p w14:paraId="07CCABD9" w14:textId="77777777" w:rsidR="001B3B79" w:rsidRPr="00B81ECB" w:rsidRDefault="00C64AD1" w:rsidP="00B81ECB">
      <w:pPr>
        <w:pStyle w:val="Caption"/>
        <w:jc w:val="center"/>
        <w:rPr>
          <w:rFonts w:ascii="Palatino Linotype" w:hAnsi="Palatino Linotype"/>
          <w:sz w:val="22"/>
          <w:szCs w:val="22"/>
          <w:lang w:bidi="en-US"/>
        </w:rPr>
      </w:pPr>
      <w:bookmarkStart w:id="184" w:name="_Toc84519643"/>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48</w:t>
      </w:r>
      <w:r w:rsidRPr="005B1CCB">
        <w:rPr>
          <w:sz w:val="22"/>
          <w:szCs w:val="22"/>
        </w:rPr>
        <w:fldChar w:fldCharType="end"/>
      </w:r>
      <w:r w:rsidRPr="005B1CCB">
        <w:rPr>
          <w:sz w:val="22"/>
          <w:szCs w:val="22"/>
        </w:rPr>
        <w:t>:</w:t>
      </w:r>
      <w:r w:rsidR="00E31C55" w:rsidRPr="005B1CCB">
        <w:rPr>
          <w:sz w:val="22"/>
          <w:szCs w:val="22"/>
        </w:rPr>
        <w:t xml:space="preserve"> Dose concentration dilution series using KRAS pG13D mutant probe on (A) non-amplified cfDNA and (B) amplified KRAS pG13D amplicons</w:t>
      </w:r>
      <w:bookmarkEnd w:id="184"/>
    </w:p>
    <w:p w14:paraId="51E969E4" w14:textId="0E84DA51" w:rsidR="0013258A" w:rsidRPr="005B1CCB" w:rsidRDefault="001B3B79" w:rsidP="004E50E3">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D87BF6" w:rsidRPr="005B1CCB">
        <w:rPr>
          <w:rFonts w:ascii="Palatino Linotype" w:hAnsi="Palatino Linotype"/>
          <w:sz w:val="24"/>
          <w:szCs w:val="24"/>
          <w:lang w:bidi="en-US"/>
        </w:rPr>
        <w:t xml:space="preserve"> </w:t>
      </w:r>
      <w:r w:rsidR="00D1578D" w:rsidRPr="005B1CCB">
        <w:rPr>
          <w:rFonts w:ascii="Palatino Linotype" w:hAnsi="Palatino Linotype"/>
          <w:sz w:val="24"/>
          <w:szCs w:val="24"/>
          <w:lang w:bidi="en-US"/>
        </w:rPr>
        <w:t xml:space="preserve">The </w:t>
      </w:r>
      <w:r w:rsidR="00D87BF6" w:rsidRPr="005B1CCB">
        <w:rPr>
          <w:rFonts w:ascii="Palatino Linotype" w:hAnsi="Palatino Linotype"/>
          <w:sz w:val="24"/>
          <w:szCs w:val="24"/>
          <w:lang w:bidi="en-US"/>
        </w:rPr>
        <w:t>discoveries</w:t>
      </w:r>
      <w:r w:rsidR="00D1578D" w:rsidRPr="005B1CCB">
        <w:rPr>
          <w:rFonts w:ascii="Palatino Linotype" w:hAnsi="Palatino Linotype"/>
          <w:sz w:val="24"/>
          <w:szCs w:val="24"/>
          <w:lang w:bidi="en-US"/>
        </w:rPr>
        <w:t xml:space="preserve"> </w:t>
      </w:r>
      <w:r w:rsidR="00D87BF6" w:rsidRPr="005B1CCB">
        <w:rPr>
          <w:rFonts w:ascii="Palatino Linotype" w:hAnsi="Palatino Linotype"/>
          <w:sz w:val="24"/>
          <w:szCs w:val="24"/>
          <w:lang w:bidi="en-US"/>
        </w:rPr>
        <w:t>from</w:t>
      </w:r>
      <w:r w:rsidR="00D1578D" w:rsidRPr="005B1CCB">
        <w:rPr>
          <w:rFonts w:ascii="Palatino Linotype" w:hAnsi="Palatino Linotype"/>
          <w:sz w:val="24"/>
          <w:szCs w:val="24"/>
          <w:lang w:bidi="en-US"/>
        </w:rPr>
        <w:t xml:space="preserve"> this study on ctDNA amplification are in a</w:t>
      </w:r>
      <w:r w:rsidR="00D87BF6" w:rsidRPr="005B1CCB">
        <w:rPr>
          <w:rFonts w:ascii="Palatino Linotype" w:hAnsi="Palatino Linotype"/>
          <w:sz w:val="24"/>
          <w:szCs w:val="24"/>
          <w:lang w:bidi="en-US"/>
        </w:rPr>
        <w:t>ccordance</w:t>
      </w:r>
      <w:r w:rsidR="00D1578D" w:rsidRPr="005B1CCB">
        <w:rPr>
          <w:rFonts w:ascii="Palatino Linotype" w:hAnsi="Palatino Linotype"/>
          <w:sz w:val="24"/>
          <w:szCs w:val="24"/>
          <w:lang w:bidi="en-US"/>
        </w:rPr>
        <w:t xml:space="preserve"> with several pre</w:t>
      </w:r>
      <w:r w:rsidR="00D87BF6" w:rsidRPr="005B1CCB">
        <w:rPr>
          <w:rFonts w:ascii="Palatino Linotype" w:hAnsi="Palatino Linotype"/>
          <w:sz w:val="24"/>
          <w:szCs w:val="24"/>
          <w:lang w:bidi="en-US"/>
        </w:rPr>
        <w:t>ceding</w:t>
      </w:r>
      <w:r w:rsidR="00D1578D" w:rsidRPr="005B1CCB">
        <w:rPr>
          <w:rFonts w:ascii="Palatino Linotype" w:hAnsi="Palatino Linotype"/>
          <w:sz w:val="24"/>
          <w:szCs w:val="24"/>
          <w:lang w:bidi="en-US"/>
        </w:rPr>
        <w:t xml:space="preserve"> studies that were also able to successfully detect ctDNA KRAS mutations in patient samples using ddPCR technique</w:t>
      </w:r>
      <w:r w:rsidR="00D87BF6" w:rsidRPr="005B1CCB">
        <w:rPr>
          <w:rFonts w:ascii="Palatino Linotype" w:hAnsi="Palatino Linotype"/>
          <w:sz w:val="24"/>
          <w:szCs w:val="24"/>
          <w:lang w:bidi="en-US"/>
        </w:rPr>
        <w:t xml:space="preserve"> </w:t>
      </w:r>
      <w:r w:rsidR="00D1578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{"citationItems":[{"id":"ITEM-1","itemData":{"DOI":"10.1016/j.tranon.2018.07.013","ISSN":"19365233","PMID":"30086420","abstract":"Measuring total cell-free DNA (cfDNA) or cancer-specific mutations herein has presented as new tools in aiding the treatment of cancer patients. Studies show that total cfDNA bears prognostic value in metastatic colorectal cancer (mCRC) and that measuring cancer-specific mutations could supplement biopsies. However, limited information is available on the performance of different methods. Blood samples from 28 patients with mCRC and known KRAS mutation status were included. cfDNA was extracted and quantified with droplet digital polymerase chain reaction (ddPCR) measuring Beta-2 Microglobulin. KRAS mutation detection was performed using ddPCR (Bio-Rad) and next-generation sequencing (NGS, Ion Torrent PGM). Comparing KRAS mutation status in plasma and tissue revealed concordance rates of 79% and 89% for NGS and ddPCR. Strong correlation between the methods was observed. Most KRAS mutations were also detectable in 10-fold diluted samples using the ddPCR. We find that for detection of KRAS mutations in ctDNA ddPCR was superior to NGS both in analysis success rate and concordance to tissue. We further present results indicating that lower amount of plasma may be used for detection of KRAS mutations in mCRC.","author":[{"dropping-particle":"","family":"Demuth","given":"Christina","non-dropping-particle":"","parse-names":false,"suffix":""},{"dropping-particle":"","family":"Spindler","given":"Karen Lise Garm","non-dropping-particle":"","parse-names":false,"suffix":""},{"dropping-particle":"","family":"Johansen","given":"Julia S.","non-dropping-particle":"","parse-names":false,"suffix":""},{"dropping-particle":"","family":"Pallisgaard","given":"Niels","non-dropping-particle":"","parse-names":false,"suffix":""},{"dropping-particle":"","family":"Nielsen","given":"Dorte","non-dropping-particle":"","parse-names":false,"suffix":""},{"dropping-particle":"","family":"Hogdall","given":"Estrid","non-dropping-particle":"","parse-names":false,"suffix":""},{"dropping-particle":"","family":"Vittrup","given":"Benny","non-dropping-particle":"","parse-names":false,"suffix":""},{"dropping-particle":"","family":"Sorensen","given":"Boe Sandahl","non-dropping-particle":"","parse-names":false,"suffix":""}],"container-title":"Translational Oncology","id":"ITEM-1","issue":"5","issued":{"date-parts":[["2018"]]},"page":"1220-1224","publisher":"The Authors","title":"Measuring KRAS Mutations in Circulating Tumor DNA by Droplet Digital PCR and Next-Generation Sequencing","type":"article-journal","volume":"11"},"uris":["http://www.mendeley.com/documents/?uuid=44b3004d-f15d-464f-8a1a-200ee57d1fa3"]}],"mendeley":{"formattedCitation":"[234]","plainTextFormattedCitation":"[234]","previouslyFormattedCitation":"[234]"},"properties":{"noteIndex":0},"schema":"https://github.com/citation-style-language/schema/raw/master/csl-citation.json"}</w:instrText>
      </w:r>
      <w:r w:rsidR="00D1578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[234]</w:t>
      </w:r>
      <w:r w:rsidR="00D1578D" w:rsidRPr="005B1CCB">
        <w:rPr>
          <w:rFonts w:ascii="Palatino Linotype" w:hAnsi="Palatino Linotype"/>
          <w:sz w:val="24"/>
          <w:szCs w:val="24"/>
        </w:rPr>
        <w:fldChar w:fldCharType="end"/>
      </w:r>
      <w:r w:rsidR="00D1578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10.1016/j.clcc.2017.10.017","ISSN":"1533-0028","author":[{"dropping-particle":"","family":"Germano","given":"Giovanni","non-dropping-particle":"","parse-names":false,"suffix":""},{"dropping-particle":"","family":"Mauri","given":"Gianluca","non-dropping-particle":"","parse-names":false,"suffix":""},{"dropping-particle":"","family":"Siravegna","given":"Giulia","non-dropping-particle":"","parse-names":false,"suffix":""},{"dropping-particle":"","family":"Dive","given":"Caroline","non-dropping-particle":"","parse-names":false,"suffix":""},{"dropping-particle":"","family":"Pierce","given":"Jackie","non-dropping-particle":"","parse-names":false,"suffix":""},{"dropping-particle":"Di","family":"Nicolantonio","given":"Federica","non-dropping-particle":"","parse-names":false,"suffix":""},{"dropping-particle":"","family":"Incalci","given":"Maurizio D","non-dropping-particle":"","parse-names":false,"suffix":""},{"dropping-particle":"","family":"Bardelli","given":"Alberto","non-dropping-particle":"","parse-names":false,"suffix":""},{"dropping-particle":"","family":"Siena","given":"Salvatore","non-dropping-particle":"","parse-names":false,"suffix":""},{"dropping-particle":"","family":"Sartore-bianchi","given":"Andrea","non-dropping-particle":"","parse-names":false,"suffix":""}],"container-title":"Clinical Colorectal Cancer","id":"ITEM-1","issue":"1","issued":{"date-parts":[["2018"]]},"page":"80-83","publisher":"Elsevier Inc.","title":"Parallel Evaluation of Circulating Tumor DNA and Circulating Tumor Cells in Metastatic Colorectal Cancer","type":"article-journal","volume":"17"},"uris":["http://www.mendeley.com/documents/?uuid=785aa604-8b8a-4f31-87be-d0f577c5fb6c"]},{"id":"ITEM-2","itemData":{"DOI":"10.1038/s41598-018-19212-5","ISSN":"2045-2322","author":[{"dropping-particle":"","family":"Sclafani","given":"Francesco","non-dropping-particle":"","parse-names":false,"suffix":""},{"dropping-particle":"","family":"Chau","given":"Ian","non-dropping-particle":"","parse-names":false,"suffix":""},{"dropping-particle":"","family":"Cunningham","given":"David","non-dropping-particle":"","parse-names":false,"suffix":""},{"dropping-particle":"","family":"Hahne","given":"Jens C","non-dropping-particle":"","parse-names":false,"suffix":""},{"dropping-particle":"","family":"Eltahir","given":"Zakaria","non-dropping-particle":"","parse-names":false,"suffix":""},{"dropping-particle":"","family":"Lampis","given":"Andrea","non-dropping-particle":"","parse-names":false,"suffix":""},{"dropping-particle":"","family":"Braconi","given":"Chiara","non-dropping-particle":"","parse-names":false,"suffix":""},{"dropping-particle":"","family":"Kalaitzaki","given":"Eleftheria","non-dropping-particle":"","parse-names":false,"suffix":""},{"dropping-particle":"De","family":"Castro","given":"David Gonzalez","non-dropping-particle":"","parse-names":false,"suffix":""},{"dropping-particle":"","family":"Wotherspoon","given":"Andrew","non-dropping-particle":"","parse-names":false,"suffix":""},{"dropping-particle":"","family":"Capdevila","given":"Jaume","non-dropping-particle":"","parse-names":false,"suffix":""},{"dropping-particle":"","family":"Glimelius","given":"Bengt","non-dropping-particle":"","parse-names":false,"suffix":""},{"dropping-particle":"","family":"Tarazona","given":"Noelia","non-dropping-particle":"","parse-names":false,"suffix":""},{"dropping-particle":"","family":"Begum","given":"Ruwaida","non-dropping-particle":"","parse-names":false,"suffix":""},{"dropping-particle":"","family":"Lote","given":"Hazel","non-dropping-particle":"","parse-names":false,"suffix":""},{"dropping-particle":"","family":"Wilson","given":"Sanna Hulkki","non-dropping-particle":"","parse-names":false,"suffix":""},{"dropping-particle":"","family":"Mentrasti","given":"Giulia","non-dropping-particle":"","parse-names":false,"suffix":""},{"dropping-particle":"","family":"Brown","given":"Gina","non-dropping-particle":"","parse-names":false,"suffix":""},{"dropping-particle":"","family":"Tait","given":"Diana","non-dropping-particle":"","parse-names":false,"suffix":""},{"dropping-particle":"","family":"Oates","given":"Jacqueline","non-dropping-particle":"","parse-names":false,"suffix":""},{"dropping-particle":"","family":"Valeri","given":"Nicola","non-dropping-particle":"","parse-names":false,"suffix":""}],"container-title":"Scientific Reports","id":"ITEM-2","issue":"1445","issued":{"date-parts":[["2018"]]},"page":"1-9","publisher":"Springer US","title":"OPEN KRAS and BRAF mutations in circulating tumour DNA from locally advanced rectal cancer","type":"article-journal","volume":"8"},"uris":["http://www.mendeley.com/documents/?uuid=4d0c4f51-8e8a-4acb-b870-f20a25510721"]}],"mendeley":{"formattedCitation":"[236], [237]","plainTextFormattedCitation":"[236], [237]","previouslyFormattedCitation":"[236], [237]"},"properties":{"noteIndex":0},"schema":"https://github.com/citation-style-language/schema/raw/master/csl-citation.json"}</w:instrText>
      </w:r>
      <w:r w:rsidR="00D1578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[236], [237]</w:t>
      </w:r>
      <w:r w:rsidR="00D1578D" w:rsidRPr="005B1CCB">
        <w:rPr>
          <w:rFonts w:ascii="Palatino Linotype" w:hAnsi="Palatino Linotype"/>
          <w:sz w:val="24"/>
          <w:szCs w:val="24"/>
        </w:rPr>
        <w:fldChar w:fldCharType="end"/>
      </w:r>
      <w:r w:rsidR="00D1578D"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10.1039/c8lc01399c","author":[{"dropping-particle":"","family":"Ou","given":"Chen-yin","non-dropping-particle":"","parse-names":false,"suffix":""},{"dropping-particle":"","family":"Vu","given":"Tam","non-dropping-particle":"","parse-names":false,"suffix":""},{"dropping-particle":"","family":"Grunwald","given":"Jonathan T","non-dropping-particle":"","parse-names":false,"suffix":""},{"dropping-particle":"","family":"Toledano","given":"Michael","non-dropping-particle":"","parse-names":false,"suffix":""},{"dropping-particle":"","family":"Zimak","given":"Jan","non-dropping-particle":"","parse-names":false,"suffix":""},{"dropping-particle":"","family":"Toosky","given":"Melody","non-dropping-particle":"","parse-names":false,"suffix":""},{"dropping-particle":"","family":"Shen","given":"Byron","non-dropping-particle":"","parse-names":false,"suffix":""},{"dropping-particle":"","family":"Zell","given":"Jason A","non-dropping-particle":"","parse-names":false,"suffix":""},{"dropping-particle":"","family":"Gratton","given":"Enrico","non-dropping-particle":"","parse-names":false,"suffix":""},{"dropping-particle":"","family":"Abram","given":"Timothy J","non-dropping-particle":"","parse-names":false,"suffix":""},{"dropping-particle":"","family":"Zhao","given":"Weian","non-dropping-particle":"","parse-names":false,"suffix":""}],"id":"ITEM-1","issued":{"date-parts":[["2019"]]},"page":"993-1005","publisher":"Royal Society of Chemistry","title":"Lab on a Chip An ultrasensitive test for profiling circulating tumor DNA using integrated comprehensive droplet digital detection †","type":"article-journal"},"uris":["http://www.mendeley.com/documents/?uuid=8e8a9f23-e526-4286-a510-c5a123d02a76"]}],"mendeley":{"formattedCitation":"[238]","plainTextFormattedCitation":"[238]","previouslyFormattedCitation":"[238]"},"properties":{"noteIndex":0},"schema":"https://github.com/citation-style-language/schema/raw/master/csl-citation.json"}</w:instrText>
      </w:r>
      <w:r w:rsidR="00D1578D"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[238]</w:t>
      </w:r>
      <w:r w:rsidR="00D1578D" w:rsidRPr="005B1CCB">
        <w:rPr>
          <w:rFonts w:ascii="Palatino Linotype" w:hAnsi="Palatino Linotype"/>
          <w:sz w:val="24"/>
          <w:szCs w:val="24"/>
        </w:rPr>
        <w:fldChar w:fldCharType="end"/>
      </w:r>
      <w:r w:rsidR="00D1578D" w:rsidRPr="005B1CCB">
        <w:rPr>
          <w:rFonts w:ascii="Palatino Linotype" w:hAnsi="Palatino Linotype"/>
          <w:sz w:val="24"/>
          <w:szCs w:val="24"/>
          <w:lang w:bidi="en-US"/>
        </w:rPr>
        <w:t xml:space="preserve">. </w:t>
      </w:r>
      <w:r w:rsidR="00FD79DD" w:rsidRPr="005B1CCB">
        <w:rPr>
          <w:rFonts w:ascii="Palatino Linotype" w:hAnsi="Palatino Linotype"/>
          <w:sz w:val="24"/>
          <w:szCs w:val="24"/>
          <w:lang w:bidi="en-US"/>
        </w:rPr>
        <w:t xml:space="preserve">This </w:t>
      </w:r>
      <w:r w:rsidR="009F3567" w:rsidRPr="005B1CCB">
        <w:rPr>
          <w:rFonts w:ascii="Palatino Linotype" w:hAnsi="Palatino Linotype"/>
          <w:sz w:val="24"/>
          <w:szCs w:val="24"/>
          <w:lang w:bidi="en-US"/>
        </w:rPr>
        <w:t>analysis</w:t>
      </w:r>
      <w:r w:rsidR="00FD79DD" w:rsidRPr="005B1CCB">
        <w:rPr>
          <w:rFonts w:ascii="Palatino Linotype" w:hAnsi="Palatino Linotype"/>
          <w:sz w:val="24"/>
          <w:szCs w:val="24"/>
          <w:lang w:bidi="en-US"/>
        </w:rPr>
        <w:t xml:space="preserve"> </w:t>
      </w:r>
      <w:r w:rsidR="009F3567" w:rsidRPr="005B1CCB">
        <w:rPr>
          <w:rFonts w:ascii="Palatino Linotype" w:hAnsi="Palatino Linotype"/>
          <w:sz w:val="24"/>
          <w:szCs w:val="24"/>
          <w:lang w:bidi="en-US"/>
        </w:rPr>
        <w:t>indicates that</w:t>
      </w:r>
      <w:r w:rsidR="00FD79DD" w:rsidRPr="005B1CCB">
        <w:rPr>
          <w:rFonts w:ascii="Palatino Linotype" w:hAnsi="Palatino Linotype"/>
          <w:sz w:val="24"/>
          <w:szCs w:val="24"/>
          <w:lang w:bidi="en-US"/>
        </w:rPr>
        <w:t xml:space="preserve"> the electrochemical sensor can be directly </w:t>
      </w:r>
      <w:r w:rsidR="009F3567" w:rsidRPr="005B1CCB">
        <w:rPr>
          <w:rFonts w:ascii="Palatino Linotype" w:hAnsi="Palatino Linotype"/>
          <w:sz w:val="24"/>
          <w:szCs w:val="24"/>
          <w:lang w:bidi="en-US"/>
        </w:rPr>
        <w:t>integrated</w:t>
      </w:r>
      <w:r w:rsidR="00FD79DD" w:rsidRPr="005B1CCB">
        <w:rPr>
          <w:rFonts w:ascii="Palatino Linotype" w:hAnsi="Palatino Linotype"/>
          <w:sz w:val="24"/>
          <w:szCs w:val="24"/>
          <w:lang w:bidi="en-US"/>
        </w:rPr>
        <w:t xml:space="preserve"> to a standard PCR reaction which employs standard primers and reagents, </w:t>
      </w:r>
      <w:r w:rsidR="009F3567" w:rsidRPr="005B1CCB">
        <w:rPr>
          <w:rFonts w:ascii="Palatino Linotype" w:hAnsi="Palatino Linotype"/>
          <w:sz w:val="24"/>
          <w:szCs w:val="24"/>
          <w:lang w:bidi="en-US"/>
        </w:rPr>
        <w:t>so that e</w:t>
      </w:r>
      <w:r w:rsidR="00D1578D" w:rsidRPr="005B1CCB">
        <w:rPr>
          <w:rFonts w:ascii="Palatino Linotype" w:hAnsi="Palatino Linotype"/>
          <w:sz w:val="24"/>
          <w:szCs w:val="24"/>
          <w:lang w:bidi="en-US"/>
        </w:rPr>
        <w:t xml:space="preserve">lectrochemical detection will </w:t>
      </w:r>
      <w:r w:rsidR="00FD79DD" w:rsidRPr="005B1CCB">
        <w:rPr>
          <w:rFonts w:ascii="Palatino Linotype" w:hAnsi="Palatino Linotype"/>
          <w:sz w:val="24"/>
          <w:szCs w:val="24"/>
          <w:lang w:bidi="en-US"/>
        </w:rPr>
        <w:t>swiftly</w:t>
      </w:r>
      <w:r w:rsidR="00D1578D" w:rsidRPr="005B1CCB">
        <w:rPr>
          <w:rFonts w:ascii="Palatino Linotype" w:hAnsi="Palatino Linotype"/>
          <w:sz w:val="24"/>
          <w:szCs w:val="24"/>
          <w:lang w:bidi="en-US"/>
        </w:rPr>
        <w:t xml:space="preserve"> and </w:t>
      </w:r>
      <w:r w:rsidR="00FD79DD" w:rsidRPr="005B1CCB">
        <w:rPr>
          <w:rFonts w:ascii="Palatino Linotype" w:hAnsi="Palatino Linotype"/>
          <w:sz w:val="24"/>
          <w:szCs w:val="24"/>
          <w:lang w:bidi="en-US"/>
        </w:rPr>
        <w:t>precisely</w:t>
      </w:r>
      <w:r w:rsidR="00D1578D" w:rsidRPr="005B1CCB">
        <w:rPr>
          <w:rFonts w:ascii="Palatino Linotype" w:hAnsi="Palatino Linotype"/>
          <w:sz w:val="24"/>
          <w:szCs w:val="24"/>
          <w:lang w:bidi="en-US"/>
        </w:rPr>
        <w:t xml:space="preserve"> screen for cancer so treatment can </w:t>
      </w:r>
      <w:r w:rsidR="00FD79DD" w:rsidRPr="005B1CCB">
        <w:rPr>
          <w:rFonts w:ascii="Palatino Linotype" w:hAnsi="Palatino Linotype"/>
          <w:sz w:val="24"/>
          <w:szCs w:val="24"/>
          <w:lang w:bidi="en-US"/>
        </w:rPr>
        <w:t>commence</w:t>
      </w:r>
      <w:r w:rsidR="00D1578D" w:rsidRPr="005B1CCB">
        <w:rPr>
          <w:rFonts w:ascii="Palatino Linotype" w:hAnsi="Palatino Linotype"/>
          <w:sz w:val="24"/>
          <w:szCs w:val="24"/>
          <w:lang w:bidi="en-US"/>
        </w:rPr>
        <w:t xml:space="preserve"> as quickly as possible. </w:t>
      </w:r>
    </w:p>
    <w:p w14:paraId="0290234D" w14:textId="77777777" w:rsidR="00171681" w:rsidRPr="005B1CCB" w:rsidRDefault="00D1578D" w:rsidP="00B27226">
      <w:pPr>
        <w:pStyle w:val="Heading3"/>
      </w:pPr>
      <w:r w:rsidRPr="005B1CCB">
        <w:t xml:space="preserve">  </w:t>
      </w:r>
      <w:bookmarkStart w:id="185" w:name="_Toc84528137"/>
      <w:r w:rsidR="00171681" w:rsidRPr="005B1CCB">
        <w:t>Sensor modification using carbon nanotubes</w:t>
      </w:r>
      <w:bookmarkEnd w:id="185"/>
    </w:p>
    <w:p w14:paraId="6EA701C8" w14:textId="36771EE5" w:rsidR="00C15767" w:rsidRPr="005B1CCB" w:rsidRDefault="0003731F" w:rsidP="00A92359">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945767" w:rsidRPr="005B1CCB">
        <w:rPr>
          <w:rFonts w:ascii="Palatino Linotype" w:hAnsi="Palatino Linotype"/>
          <w:sz w:val="24"/>
          <w:szCs w:val="24"/>
          <w:lang w:bidi="en-US"/>
        </w:rPr>
        <w:t xml:space="preserve">In order to </w:t>
      </w:r>
      <w:r w:rsidR="00FF691D" w:rsidRPr="005B1CCB">
        <w:rPr>
          <w:rFonts w:ascii="Palatino Linotype" w:hAnsi="Palatino Linotype"/>
          <w:sz w:val="24"/>
          <w:szCs w:val="24"/>
          <w:lang w:bidi="en-US"/>
        </w:rPr>
        <w:t xml:space="preserve">improve assay sensitivity and </w:t>
      </w:r>
      <w:r w:rsidR="00945767" w:rsidRPr="005B1CCB">
        <w:rPr>
          <w:rFonts w:ascii="Palatino Linotype" w:hAnsi="Palatino Linotype"/>
          <w:sz w:val="24"/>
          <w:szCs w:val="24"/>
          <w:lang w:bidi="en-US"/>
        </w:rPr>
        <w:t xml:space="preserve">increase the </w:t>
      </w:r>
      <w:r w:rsidR="00BC6794" w:rsidRPr="005B1CCB">
        <w:rPr>
          <w:rFonts w:ascii="Palatino Linotype" w:hAnsi="Palatino Linotype"/>
          <w:sz w:val="24"/>
          <w:szCs w:val="24"/>
          <w:lang w:bidi="en-US"/>
        </w:rPr>
        <w:t>electrochemical signal by hybridisation of target strands to the surface tethered DNA probes,</w:t>
      </w:r>
      <w:r w:rsidR="00945767" w:rsidRPr="005B1CCB">
        <w:rPr>
          <w:rFonts w:ascii="Palatino Linotype" w:hAnsi="Palatino Linotype"/>
          <w:sz w:val="24"/>
          <w:szCs w:val="24"/>
          <w:lang w:bidi="en-US"/>
        </w:rPr>
        <w:t xml:space="preserve"> </w:t>
      </w:r>
      <w:r w:rsidR="000A77DD" w:rsidRPr="005B1CCB">
        <w:rPr>
          <w:rFonts w:ascii="Palatino Linotype" w:hAnsi="Palatino Linotype"/>
          <w:sz w:val="24"/>
          <w:szCs w:val="24"/>
          <w:lang w:bidi="en-US"/>
        </w:rPr>
        <w:t xml:space="preserve">SPCEs </w:t>
      </w:r>
      <w:r w:rsidR="00204102" w:rsidRPr="005B1CCB">
        <w:rPr>
          <w:rFonts w:ascii="Palatino Linotype" w:hAnsi="Palatino Linotype"/>
          <w:sz w:val="24"/>
          <w:szCs w:val="24"/>
          <w:lang w:bidi="en-US"/>
        </w:rPr>
        <w:t xml:space="preserve">chemically modified </w:t>
      </w:r>
      <w:r w:rsidR="000A77DD" w:rsidRPr="005B1CCB">
        <w:rPr>
          <w:rFonts w:ascii="Palatino Linotype" w:hAnsi="Palatino Linotype"/>
          <w:sz w:val="24"/>
          <w:szCs w:val="24"/>
          <w:lang w:bidi="en-US"/>
        </w:rPr>
        <w:t xml:space="preserve">with carbon nanotubes </w:t>
      </w:r>
      <w:r w:rsidR="00204102" w:rsidRPr="005B1CCB">
        <w:rPr>
          <w:rFonts w:ascii="Palatino Linotype" w:hAnsi="Palatino Linotype"/>
          <w:sz w:val="24"/>
          <w:szCs w:val="24"/>
          <w:lang w:bidi="en-US"/>
        </w:rPr>
        <w:t>were used</w:t>
      </w:r>
      <w:r w:rsidR="000A77DD" w:rsidRPr="005B1CCB">
        <w:rPr>
          <w:rFonts w:ascii="Palatino Linotype" w:hAnsi="Palatino Linotype"/>
          <w:sz w:val="24"/>
          <w:szCs w:val="24"/>
          <w:lang w:bidi="en-US"/>
        </w:rPr>
        <w:t>.</w:t>
      </w:r>
      <w:r w:rsidR="001477C3" w:rsidRPr="005B1CCB">
        <w:rPr>
          <w:rFonts w:ascii="Palatino Linotype" w:hAnsi="Palatino Linotype"/>
          <w:sz w:val="24"/>
          <w:szCs w:val="24"/>
          <w:lang w:bidi="en-US"/>
        </w:rPr>
        <w:t xml:space="preserve"> </w:t>
      </w:r>
      <w:r w:rsidR="001477C3" w:rsidRPr="00572868">
        <w:rPr>
          <w:rFonts w:ascii="Palatino Linotype" w:hAnsi="Palatino Linotype"/>
          <w:sz w:val="24"/>
          <w:szCs w:val="24"/>
          <w:lang w:bidi="en-US"/>
        </w:rPr>
        <w:t xml:space="preserve">Studies show that </w:t>
      </w:r>
      <w:r w:rsidR="00A92359" w:rsidRPr="00572868">
        <w:rPr>
          <w:rFonts w:ascii="Palatino Linotype" w:hAnsi="Palatino Linotype"/>
          <w:sz w:val="24"/>
          <w:szCs w:val="24"/>
          <w:lang w:bidi="en-US"/>
        </w:rPr>
        <w:t xml:space="preserve">this modification greatly improves </w:t>
      </w:r>
      <w:r w:rsidR="001477C3" w:rsidRPr="00572868">
        <w:rPr>
          <w:rFonts w:ascii="Palatino Linotype" w:hAnsi="Palatino Linotype"/>
          <w:sz w:val="24"/>
          <w:szCs w:val="24"/>
          <w:lang w:bidi="en-US"/>
        </w:rPr>
        <w:t xml:space="preserve">the </w:t>
      </w:r>
      <w:r w:rsidR="00A92359" w:rsidRPr="00572868">
        <w:rPr>
          <w:rFonts w:ascii="Palatino Linotype" w:hAnsi="Palatino Linotype"/>
          <w:sz w:val="24"/>
          <w:szCs w:val="24"/>
          <w:lang w:bidi="en-US"/>
        </w:rPr>
        <w:t xml:space="preserve">performance of the SPCEs by increasing its sensitivity and selectivity,  decreasing the response time and providing good </w:t>
      </w:r>
      <w:r w:rsidR="00D17FE7" w:rsidRPr="00572868">
        <w:rPr>
          <w:rFonts w:ascii="Palatino Linotype" w:hAnsi="Palatino Linotype"/>
          <w:sz w:val="24"/>
          <w:szCs w:val="24"/>
          <w:lang w:bidi="en-US"/>
        </w:rPr>
        <w:t xml:space="preserve">chemical </w:t>
      </w:r>
      <w:r w:rsidR="00A92359" w:rsidRPr="00572868">
        <w:rPr>
          <w:rFonts w:ascii="Palatino Linotype" w:hAnsi="Palatino Linotype"/>
          <w:sz w:val="24"/>
          <w:szCs w:val="24"/>
          <w:lang w:bidi="en-US"/>
        </w:rPr>
        <w:t>stability</w:t>
      </w:r>
      <w:r w:rsidR="00CD1E50" w:rsidRPr="005B1CCB">
        <w:rPr>
          <w:rFonts w:ascii="Palatino Linotype" w:hAnsi="Palatino Linotype"/>
          <w:sz w:val="24"/>
          <w:szCs w:val="24"/>
          <w:lang w:bidi="en-US"/>
        </w:rPr>
        <w:t xml:space="preserve"> </w:t>
      </w:r>
      <w:r w:rsidR="00CD1E50"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10.1021/acsanm.0c01800","author":[{"dropping-particle":"","family":"Huang","given":"Xuewen","non-dropping-particle":"","parse-names":false,"suffix":""},{"dropping-particle":"","family":"Xu","given":"Sheng","non-dropping-particle":"","parse-names":false,"suffix":""},{"dropping-particle":"","family":"Zhao","given":"Wei","non-dropping-particle":"","parse-names":false,"suffix":""},{"dropping-particle":"","family":"Xu","given":"Mengyi","non-dropping-particle":"","parse-names":false,"suffix":""},{"dropping-particle":"","family":"Wei","given":"Wei","non-dropping-particle":"","parse-names":false,"suffix":""},{"dropping-particle":"","family":"Luo","given":"Jing","non-dropping-particle":"","parse-names":false,"suffix":""},{"dropping-particle":"","family":"Li","given":"Xiaojie","non-dropping-particle":"","parse-names":false,"suffix":""},{"dropping-particle":"","family":"Liu","given":"Xiaoya","non-dropping-particle":"","parse-names":false,"suffix":""}],"container-title":"ACS Applied Nano Materials","id":"ITEM-1","issue":"9","issued":{"date-parts":[["2020","9","25"]]},"note":"doi: 10.1021/acsanm.0c01800","page":"9158-9166","publisher":"American Chemical Society","title":"Screen-Printed Carbon Electrodes Modified with Polymeric Nanoparticle-Carbon Nanotube Composites for Enzymatic Biosensing","type":"article-journal","volume":"3"},"uris":["http://www.mendeley.com/documents/?uuid=95451f1a-c5af-48a3-a03d-63d793b71018"]}],"mendeley":{"formattedCitation":"[176]","plainTextFormattedCitation":"[176]","previouslyFormattedCitation":"[176]"},"properties":{"noteIndex":0},"schema":"https://github.com/citation-style-language/schema/raw/master/csl-citation.json"}</w:instrText>
      </w:r>
      <w:r w:rsidR="00CD1E50"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[176]</w:t>
      </w:r>
      <w:r w:rsidR="00CD1E50" w:rsidRPr="005B1CCB">
        <w:rPr>
          <w:rFonts w:ascii="Palatino Linotype" w:hAnsi="Palatino Linotype"/>
          <w:sz w:val="24"/>
          <w:szCs w:val="24"/>
          <w:lang w:bidi="en-US"/>
        </w:rPr>
        <w:fldChar w:fldCharType="end"/>
      </w:r>
      <w:r w:rsidR="00A92359" w:rsidRPr="005B1CCB">
        <w:rPr>
          <w:rFonts w:ascii="Palatino Linotype" w:hAnsi="Palatino Linotype"/>
          <w:sz w:val="24"/>
          <w:szCs w:val="24"/>
          <w:lang w:bidi="en-US"/>
        </w:rPr>
        <w:t>.</w:t>
      </w:r>
      <w:r w:rsidR="00537F0E" w:rsidRPr="005B1CCB">
        <w:rPr>
          <w:rFonts w:ascii="Palatino Linotype" w:hAnsi="Palatino Linotype"/>
          <w:sz w:val="24"/>
          <w:szCs w:val="24"/>
          <w:lang w:bidi="en-US"/>
        </w:rPr>
        <w:t xml:space="preserve"> </w:t>
      </w:r>
      <w:r w:rsidR="00470C48" w:rsidRPr="005B1CCB">
        <w:rPr>
          <w:rFonts w:ascii="Palatino Linotype" w:hAnsi="Palatino Linotype"/>
          <w:sz w:val="24"/>
          <w:szCs w:val="24"/>
          <w:lang w:bidi="en-US"/>
        </w:rPr>
        <w:t xml:space="preserve">Figure </w:t>
      </w:r>
      <w:r w:rsidR="002C7390" w:rsidRPr="005B1CCB">
        <w:rPr>
          <w:rFonts w:ascii="Palatino Linotype" w:hAnsi="Palatino Linotype"/>
          <w:sz w:val="24"/>
          <w:szCs w:val="24"/>
          <w:lang w:bidi="en-US"/>
        </w:rPr>
        <w:t>4</w:t>
      </w:r>
      <w:r w:rsidR="0013258A" w:rsidRPr="005B1CCB">
        <w:rPr>
          <w:rFonts w:ascii="Palatino Linotype" w:hAnsi="Palatino Linotype"/>
          <w:sz w:val="24"/>
          <w:szCs w:val="24"/>
          <w:lang w:bidi="en-US"/>
        </w:rPr>
        <w:t>9</w:t>
      </w:r>
      <w:r w:rsidR="00470C48" w:rsidRPr="005B1CCB">
        <w:rPr>
          <w:rFonts w:ascii="Palatino Linotype" w:hAnsi="Palatino Linotype"/>
          <w:sz w:val="24"/>
          <w:szCs w:val="24"/>
          <w:lang w:bidi="en-US"/>
        </w:rPr>
        <w:t xml:space="preserve"> shows the comparison between the electrochemical properties of both the CNT-modified SPCE and the regular SPCE prior to the introduction of probe solutions. </w:t>
      </w:r>
      <w:r w:rsidR="006F22FB" w:rsidRPr="005B1CCB">
        <w:rPr>
          <w:rFonts w:ascii="Palatino Linotype" w:hAnsi="Palatino Linotype"/>
          <w:sz w:val="24"/>
          <w:szCs w:val="24"/>
          <w:lang w:bidi="en-US"/>
        </w:rPr>
        <w:t>It can be observed that t</w:t>
      </w:r>
      <w:r w:rsidR="00C15767" w:rsidRPr="005B1CCB">
        <w:rPr>
          <w:rFonts w:ascii="Palatino Linotype" w:hAnsi="Palatino Linotype"/>
          <w:sz w:val="24"/>
          <w:szCs w:val="24"/>
          <w:lang w:bidi="en-US"/>
        </w:rPr>
        <w:t xml:space="preserve">he characteristic wave-like shape </w:t>
      </w:r>
      <w:r w:rsidR="00177AAC" w:rsidRPr="005B1CCB">
        <w:rPr>
          <w:rFonts w:ascii="Palatino Linotype" w:hAnsi="Palatino Linotype"/>
          <w:sz w:val="24"/>
          <w:szCs w:val="24"/>
          <w:lang w:bidi="en-US"/>
        </w:rPr>
        <w:t>that reflects a larger surface area</w:t>
      </w:r>
      <w:r w:rsidR="00C15767" w:rsidRPr="005B1CCB">
        <w:rPr>
          <w:rFonts w:ascii="Palatino Linotype" w:hAnsi="Palatino Linotype"/>
          <w:sz w:val="24"/>
          <w:szCs w:val="24"/>
          <w:lang w:bidi="en-US"/>
        </w:rPr>
        <w:t xml:space="preserve"> </w:t>
      </w:r>
      <w:r w:rsidR="00177AAC" w:rsidRPr="005B1CCB">
        <w:rPr>
          <w:rFonts w:ascii="Palatino Linotype" w:hAnsi="Palatino Linotype"/>
          <w:sz w:val="24"/>
          <w:szCs w:val="24"/>
          <w:lang w:bidi="en-US"/>
        </w:rPr>
        <w:t>and an increased rate of diffusive mass transport of the PBS buffer to the nanotube surface</w:t>
      </w:r>
      <w:r w:rsidR="00395D8A">
        <w:rPr>
          <w:rFonts w:ascii="Palatino Linotype" w:hAnsi="Palatino Linotype"/>
          <w:sz w:val="24"/>
          <w:szCs w:val="24"/>
          <w:lang w:bidi="en-US"/>
        </w:rPr>
        <w:t xml:space="preserve"> is noted</w:t>
      </w:r>
      <w:r w:rsidR="00177AAC" w:rsidRPr="005B1CCB">
        <w:rPr>
          <w:rFonts w:ascii="Palatino Linotype" w:hAnsi="Palatino Linotype"/>
          <w:sz w:val="24"/>
          <w:szCs w:val="24"/>
          <w:lang w:bidi="en-US"/>
        </w:rPr>
        <w:t xml:space="preserve">. On the other hand, a </w:t>
      </w:r>
      <w:r w:rsidR="00C15767" w:rsidRPr="005B1CCB">
        <w:rPr>
          <w:rFonts w:ascii="Palatino Linotype" w:hAnsi="Palatino Linotype"/>
          <w:sz w:val="24"/>
          <w:szCs w:val="24"/>
          <w:lang w:bidi="en-US"/>
        </w:rPr>
        <w:t xml:space="preserve">steady-state limiting current </w:t>
      </w:r>
      <w:r w:rsidR="00177AAC" w:rsidRPr="005B1CCB">
        <w:rPr>
          <w:rFonts w:ascii="Palatino Linotype" w:hAnsi="Palatino Linotype"/>
          <w:sz w:val="24"/>
          <w:szCs w:val="24"/>
          <w:lang w:bidi="en-US"/>
        </w:rPr>
        <w:t>and</w:t>
      </w:r>
      <w:r w:rsidR="00C15767" w:rsidRPr="005B1CCB">
        <w:rPr>
          <w:rFonts w:ascii="Palatino Linotype" w:hAnsi="Palatino Linotype"/>
          <w:sz w:val="24"/>
          <w:szCs w:val="24"/>
          <w:lang w:bidi="en-US"/>
        </w:rPr>
        <w:t xml:space="preserve"> anodic peaks </w:t>
      </w:r>
      <w:r w:rsidR="00177AAC" w:rsidRPr="005B1CCB">
        <w:rPr>
          <w:rFonts w:ascii="Palatino Linotype" w:hAnsi="Palatino Linotype"/>
          <w:sz w:val="24"/>
          <w:szCs w:val="24"/>
          <w:lang w:bidi="en-US"/>
        </w:rPr>
        <w:t xml:space="preserve">are </w:t>
      </w:r>
      <w:r w:rsidR="00C15767" w:rsidRPr="005B1CCB">
        <w:rPr>
          <w:rFonts w:ascii="Palatino Linotype" w:hAnsi="Palatino Linotype"/>
          <w:sz w:val="24"/>
          <w:szCs w:val="24"/>
          <w:lang w:bidi="en-US"/>
        </w:rPr>
        <w:t xml:space="preserve">observed in the regular SPCE. This </w:t>
      </w:r>
      <w:r w:rsidR="00713E41" w:rsidRPr="005B1CCB">
        <w:rPr>
          <w:rFonts w:ascii="Palatino Linotype" w:hAnsi="Palatino Linotype"/>
          <w:sz w:val="24"/>
          <w:szCs w:val="24"/>
          <w:lang w:bidi="en-US"/>
        </w:rPr>
        <w:t>steady state</w:t>
      </w:r>
      <w:r w:rsidR="00C15767" w:rsidRPr="005B1CCB">
        <w:rPr>
          <w:rFonts w:ascii="Palatino Linotype" w:hAnsi="Palatino Linotype"/>
          <w:sz w:val="24"/>
          <w:szCs w:val="24"/>
          <w:lang w:bidi="en-US"/>
        </w:rPr>
        <w:t xml:space="preserve"> current is due to the very quick establishment of diffusion-limited mass transport toward the surface of the </w:t>
      </w:r>
      <w:r w:rsidR="00177AAC" w:rsidRPr="005B1CCB">
        <w:rPr>
          <w:rFonts w:ascii="Palatino Linotype" w:hAnsi="Palatino Linotype"/>
          <w:sz w:val="24"/>
          <w:szCs w:val="24"/>
          <w:lang w:bidi="en-US"/>
        </w:rPr>
        <w:t>regular</w:t>
      </w:r>
      <w:r w:rsidR="00C15767" w:rsidRPr="005B1CCB">
        <w:rPr>
          <w:rFonts w:ascii="Palatino Linotype" w:hAnsi="Palatino Linotype"/>
          <w:sz w:val="24"/>
          <w:szCs w:val="24"/>
          <w:lang w:bidi="en-US"/>
        </w:rPr>
        <w:t xml:space="preserve"> SPCE.</w:t>
      </w:r>
      <w:r w:rsidR="00A75598">
        <w:rPr>
          <w:rFonts w:ascii="Palatino Linotype" w:hAnsi="Palatino Linotype"/>
          <w:sz w:val="24"/>
          <w:szCs w:val="24"/>
          <w:lang w:bidi="en-US"/>
        </w:rPr>
        <w:t xml:space="preserve"> The oxidative and reductive peaks observed when regular SPCEs were used </w:t>
      </w:r>
      <w:r w:rsidR="0098534B">
        <w:rPr>
          <w:rFonts w:ascii="Palatino Linotype" w:hAnsi="Palatino Linotype"/>
          <w:sz w:val="24"/>
          <w:szCs w:val="24"/>
          <w:lang w:bidi="en-US"/>
        </w:rPr>
        <w:t>might have been as a result of a lower pH in the PBS solution.</w:t>
      </w:r>
    </w:p>
    <w:p w14:paraId="17FC5A6F" w14:textId="77777777" w:rsidR="00C64AD1" w:rsidRPr="005B1CCB" w:rsidRDefault="00171681" w:rsidP="00C64AD1">
      <w:pPr>
        <w:keepNext/>
        <w:spacing w:line="360" w:lineRule="auto"/>
        <w:jc w:val="center"/>
      </w:pPr>
      <w:r w:rsidRPr="005B1CCB">
        <w:rPr>
          <w:rFonts w:ascii="Palatino Linotype" w:hAnsi="Palatino Linotype"/>
          <w:noProof/>
          <w:sz w:val="24"/>
          <w:szCs w:val="24"/>
          <w:lang w:eastAsia="en-GB"/>
        </w:rPr>
        <w:drawing>
          <wp:inline distT="0" distB="0" distL="0" distR="0" wp14:anchorId="1F3D2662" wp14:editId="07F63042">
            <wp:extent cx="4230296" cy="279917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8">
                      <a:extLst>
                        <a:ext uri="{28A0092B-C50C-407E-A947-70E740481C1C}">
                          <a14:useLocalDpi xmlns:a14="http://schemas.microsoft.com/office/drawing/2010/main" val="0"/>
                        </a:ext>
                      </a:extLst>
                    </a:blip>
                    <a:srcRect t="13308"/>
                    <a:stretch/>
                  </pic:blipFill>
                  <pic:spPr bwMode="auto">
                    <a:xfrm>
                      <a:off x="0" y="0"/>
                      <a:ext cx="4259198" cy="2818301"/>
                    </a:xfrm>
                    <a:prstGeom prst="rect">
                      <a:avLst/>
                    </a:prstGeom>
                    <a:noFill/>
                    <a:ln>
                      <a:noFill/>
                    </a:ln>
                    <a:extLst>
                      <a:ext uri="{53640926-AAD7-44D8-BBD7-CCE9431645EC}">
                        <a14:shadowObscured xmlns:a14="http://schemas.microsoft.com/office/drawing/2010/main"/>
                      </a:ext>
                    </a:extLst>
                  </pic:spPr>
                </pic:pic>
              </a:graphicData>
            </a:graphic>
          </wp:inline>
        </w:drawing>
      </w:r>
    </w:p>
    <w:p w14:paraId="472619C8" w14:textId="77777777" w:rsidR="0013258A" w:rsidRPr="00A57012" w:rsidRDefault="00C64AD1" w:rsidP="00A57012">
      <w:pPr>
        <w:pStyle w:val="Caption"/>
        <w:jc w:val="center"/>
        <w:rPr>
          <w:rFonts w:ascii="Palatino Linotype" w:hAnsi="Palatino Linotype"/>
          <w:sz w:val="22"/>
          <w:szCs w:val="22"/>
        </w:rPr>
      </w:pPr>
      <w:bookmarkStart w:id="186" w:name="_Toc84519644"/>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49</w:t>
      </w:r>
      <w:r w:rsidRPr="005B1CCB">
        <w:rPr>
          <w:sz w:val="22"/>
          <w:szCs w:val="22"/>
        </w:rPr>
        <w:fldChar w:fldCharType="end"/>
      </w:r>
      <w:r w:rsidRPr="005B1CCB">
        <w:rPr>
          <w:sz w:val="22"/>
          <w:szCs w:val="22"/>
        </w:rPr>
        <w:t>:</w:t>
      </w:r>
      <w:r w:rsidR="002C7390" w:rsidRPr="005B1CCB">
        <w:rPr>
          <w:sz w:val="22"/>
          <w:szCs w:val="22"/>
        </w:rPr>
        <w:t xml:space="preserve"> </w:t>
      </w:r>
      <w:r w:rsidR="00B21697" w:rsidRPr="005B1CCB">
        <w:rPr>
          <w:sz w:val="22"/>
          <w:szCs w:val="22"/>
        </w:rPr>
        <w:t>Cyclic voltammetry measurement showing regular vs CNT-modified SPCE in 0.1X PBS</w:t>
      </w:r>
      <w:bookmarkEnd w:id="186"/>
    </w:p>
    <w:p w14:paraId="1BB7F61C" w14:textId="77777777" w:rsidR="00323E2E" w:rsidRPr="005B1CCB" w:rsidRDefault="0013258A" w:rsidP="00F73E9B">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88476C" w:rsidRPr="005B1CCB">
        <w:rPr>
          <w:rFonts w:ascii="Palatino Linotype" w:hAnsi="Palatino Linotype"/>
          <w:sz w:val="24"/>
          <w:szCs w:val="24"/>
        </w:rPr>
        <w:t xml:space="preserve">The technique for functionalising the CNT-modified SPCE was quite similar to that of the regular SPCE except that the electrode pre-treatment consisted of an activation using NaOH by etching using chronoamperometry. </w:t>
      </w:r>
      <w:r w:rsidR="00323E2E" w:rsidRPr="005B1CCB">
        <w:rPr>
          <w:rFonts w:ascii="Palatino Linotype" w:hAnsi="Palatino Linotype"/>
          <w:sz w:val="24"/>
          <w:szCs w:val="24"/>
        </w:rPr>
        <w:t>No peaks are observed in the measurement using only PBS and this provides confidence that the pre-treatment technique employed does not negatively affect the CNT-modified layer on the electrode surface</w:t>
      </w:r>
    </w:p>
    <w:p w14:paraId="7B694B96" w14:textId="77777777" w:rsidR="008C2B2C" w:rsidRPr="005B1CCB" w:rsidRDefault="008C2B2C" w:rsidP="00F73E9B">
      <w:pPr>
        <w:spacing w:line="360" w:lineRule="auto"/>
        <w:jc w:val="both"/>
        <w:rPr>
          <w:rFonts w:ascii="Palatino Linotype" w:hAnsi="Palatino Linotype"/>
          <w:sz w:val="24"/>
          <w:szCs w:val="24"/>
        </w:rPr>
      </w:pPr>
    </w:p>
    <w:p w14:paraId="1185BB45" w14:textId="77777777" w:rsidR="00C63CD7" w:rsidRPr="005B1CCB" w:rsidRDefault="00C63CD7" w:rsidP="00C63CD7">
      <w:pPr>
        <w:pStyle w:val="Heading4"/>
      </w:pPr>
      <w:r w:rsidRPr="005B1CCB">
        <w:t xml:space="preserve">DNA hybridisation comparison on different SPCE surfaces </w:t>
      </w:r>
    </w:p>
    <w:p w14:paraId="526E109F" w14:textId="77777777" w:rsidR="00E74FC8" w:rsidRPr="005B1CCB" w:rsidRDefault="00526A4F" w:rsidP="005A4AB9">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807EFE" w:rsidRPr="005B1CCB">
        <w:rPr>
          <w:rFonts w:ascii="Palatino Linotype" w:hAnsi="Palatino Linotype"/>
          <w:sz w:val="24"/>
          <w:szCs w:val="24"/>
        </w:rPr>
        <w:t xml:space="preserve"> </w:t>
      </w:r>
      <w:r w:rsidR="00ED4A48" w:rsidRPr="005B1CCB">
        <w:rPr>
          <w:rFonts w:ascii="Palatino Linotype" w:hAnsi="Palatino Linotype"/>
          <w:sz w:val="24"/>
          <w:szCs w:val="24"/>
        </w:rPr>
        <w:t xml:space="preserve">Focusing on the efficiency of DNA hybridisation, the electrochemical response of the different electrodes employed so far and the influence of their pre-treatment techniques were compared and analysed. </w:t>
      </w:r>
      <w:r w:rsidR="005A4AB9" w:rsidRPr="005B1CCB">
        <w:rPr>
          <w:rFonts w:ascii="Palatino Linotype" w:hAnsi="Palatino Linotype"/>
          <w:sz w:val="24"/>
          <w:szCs w:val="24"/>
        </w:rPr>
        <w:t>The variation observed in each electrode indicates that one cannot rely on a universal ‘calibration curve’ when using multiple electrodes, hence the need to record measurements after the initial probe layer on the electrode has been back-filled, prior to target hybridisation.</w:t>
      </w:r>
    </w:p>
    <w:p w14:paraId="63807355" w14:textId="02B129D2" w:rsidR="00E534FB" w:rsidRPr="005B1CCB" w:rsidRDefault="00E534FB" w:rsidP="005A4AB9">
      <w:pPr>
        <w:spacing w:line="360" w:lineRule="auto"/>
        <w:jc w:val="both"/>
        <w:rPr>
          <w:rFonts w:ascii="Palatino Linotype" w:hAnsi="Palatino Linotype"/>
          <w:sz w:val="24"/>
          <w:szCs w:val="24"/>
        </w:rPr>
      </w:pPr>
      <w:r w:rsidRPr="005B1CCB">
        <w:rPr>
          <w:rFonts w:ascii="Palatino Linotype" w:hAnsi="Palatino Linotype"/>
          <w:sz w:val="24"/>
          <w:szCs w:val="24"/>
        </w:rPr>
        <w:t xml:space="preserve">   It can be seen from </w:t>
      </w:r>
      <w:r w:rsidR="004A5162" w:rsidRPr="005B1CCB">
        <w:rPr>
          <w:rFonts w:ascii="Palatino Linotype" w:hAnsi="Palatino Linotype"/>
          <w:sz w:val="24"/>
          <w:szCs w:val="24"/>
        </w:rPr>
        <w:t>F</w:t>
      </w:r>
      <w:r w:rsidRPr="005B1CCB">
        <w:rPr>
          <w:rFonts w:ascii="Palatino Linotype" w:hAnsi="Palatino Linotype"/>
          <w:sz w:val="24"/>
          <w:szCs w:val="24"/>
        </w:rPr>
        <w:t xml:space="preserve">igure </w:t>
      </w:r>
      <w:r w:rsidR="004C530A" w:rsidRPr="005B1CCB">
        <w:rPr>
          <w:rFonts w:ascii="Palatino Linotype" w:hAnsi="Palatino Linotype"/>
          <w:sz w:val="24"/>
          <w:szCs w:val="24"/>
        </w:rPr>
        <w:t>50</w:t>
      </w:r>
      <w:r w:rsidRPr="005B1CCB">
        <w:rPr>
          <w:rFonts w:ascii="Palatino Linotype" w:hAnsi="Palatino Linotype"/>
          <w:sz w:val="24"/>
          <w:szCs w:val="24"/>
        </w:rPr>
        <w:t xml:space="preserve"> that the CNT-modified SPCE showed a higher percentage signal change upon hybridisation. </w:t>
      </w:r>
      <w:r w:rsidR="00C55509" w:rsidRPr="00C55509">
        <w:rPr>
          <w:rFonts w:ascii="Palatino Linotype" w:hAnsi="Palatino Linotype"/>
          <w:sz w:val="24"/>
          <w:szCs w:val="24"/>
        </w:rPr>
        <w:t xml:space="preserve">The standard deviation reflects the variation obtained from the experimental replicas.  </w:t>
      </w:r>
      <w:r w:rsidR="002440D6" w:rsidRPr="005B1CCB">
        <w:rPr>
          <w:rFonts w:ascii="Palatino Linotype" w:hAnsi="Palatino Linotype"/>
          <w:sz w:val="24"/>
          <w:szCs w:val="24"/>
        </w:rPr>
        <w:t xml:space="preserve">The high variation observed as indicated by the error bar suggests that the deposition of carbon nanotubes during modification may have resulted in a rough and non-uniform surface which can impact on DNA hybridisation.  The observations from the bare electrodes, NaCl, and NaOH pre-treatments are consistent and in-line with previously presented results.  </w:t>
      </w:r>
    </w:p>
    <w:p w14:paraId="51D58056" w14:textId="77777777" w:rsidR="00C64AD1" w:rsidRPr="005B1CCB" w:rsidRDefault="00C63CD7" w:rsidP="00C64AD1">
      <w:pPr>
        <w:keepNext/>
        <w:spacing w:line="360" w:lineRule="auto"/>
        <w:jc w:val="center"/>
      </w:pPr>
      <w:r w:rsidRPr="005B1CCB">
        <w:rPr>
          <w:rFonts w:ascii="Palatino Linotype" w:hAnsi="Palatino Linotype"/>
          <w:noProof/>
          <w:sz w:val="24"/>
          <w:szCs w:val="24"/>
          <w:lang w:eastAsia="en-GB"/>
        </w:rPr>
        <w:drawing>
          <wp:inline distT="0" distB="0" distL="0" distR="0" wp14:anchorId="0AA5FF5D" wp14:editId="1D424CC8">
            <wp:extent cx="4711148" cy="3351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9">
                      <a:extLst>
                        <a:ext uri="{28A0092B-C50C-407E-A947-70E740481C1C}">
                          <a14:useLocalDpi xmlns:a14="http://schemas.microsoft.com/office/drawing/2010/main" val="0"/>
                        </a:ext>
                      </a:extLst>
                    </a:blip>
                    <a:srcRect l="8504" t="17641" r="8575" b="5071"/>
                    <a:stretch/>
                  </pic:blipFill>
                  <pic:spPr bwMode="auto">
                    <a:xfrm>
                      <a:off x="0" y="0"/>
                      <a:ext cx="4731401" cy="3366109"/>
                    </a:xfrm>
                    <a:prstGeom prst="rect">
                      <a:avLst/>
                    </a:prstGeom>
                    <a:noFill/>
                    <a:ln>
                      <a:noFill/>
                    </a:ln>
                    <a:extLst>
                      <a:ext uri="{53640926-AAD7-44D8-BBD7-CCE9431645EC}">
                        <a14:shadowObscured xmlns:a14="http://schemas.microsoft.com/office/drawing/2010/main"/>
                      </a:ext>
                    </a:extLst>
                  </pic:spPr>
                </pic:pic>
              </a:graphicData>
            </a:graphic>
          </wp:inline>
        </w:drawing>
      </w:r>
    </w:p>
    <w:p w14:paraId="06A931C5" w14:textId="77777777" w:rsidR="00C63CD7" w:rsidRPr="005B1CCB" w:rsidRDefault="00C64AD1" w:rsidP="00C64AD1">
      <w:pPr>
        <w:pStyle w:val="Caption"/>
        <w:jc w:val="center"/>
      </w:pPr>
      <w:bookmarkStart w:id="187" w:name="_Toc84519645"/>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50</w:t>
      </w:r>
      <w:r w:rsidRPr="005B1CCB">
        <w:rPr>
          <w:sz w:val="22"/>
          <w:szCs w:val="22"/>
        </w:rPr>
        <w:fldChar w:fldCharType="end"/>
      </w:r>
      <w:r w:rsidRPr="005B1CCB">
        <w:rPr>
          <w:sz w:val="22"/>
          <w:szCs w:val="22"/>
        </w:rPr>
        <w:t>:</w:t>
      </w:r>
      <w:r w:rsidR="00DA3304" w:rsidRPr="005B1CCB">
        <w:rPr>
          <w:sz w:val="24"/>
          <w:szCs w:val="24"/>
        </w:rPr>
        <w:t xml:space="preserve"> Investigating the sensitivity of different SPCE sur</w:t>
      </w:r>
      <w:r w:rsidR="00E534FB" w:rsidRPr="005B1CCB">
        <w:rPr>
          <w:sz w:val="24"/>
          <w:szCs w:val="24"/>
        </w:rPr>
        <w:t>faces using DNA oligonucleotide hybridisation</w:t>
      </w:r>
      <w:r w:rsidR="00DA3304" w:rsidRPr="005B1CCB">
        <w:rPr>
          <w:sz w:val="24"/>
          <w:szCs w:val="24"/>
        </w:rPr>
        <w:t xml:space="preserve"> in 1mM ferricyanide buffer</w:t>
      </w:r>
      <w:bookmarkEnd w:id="187"/>
    </w:p>
    <w:p w14:paraId="23E713D5" w14:textId="77777777" w:rsidR="00526A4F" w:rsidRPr="005B1CCB" w:rsidRDefault="00526A4F" w:rsidP="00526A4F"/>
    <w:p w14:paraId="72F08DDF" w14:textId="77777777" w:rsidR="00171681" w:rsidRPr="005B1CCB" w:rsidRDefault="00171681" w:rsidP="00171681">
      <w:pPr>
        <w:pStyle w:val="Heading4"/>
      </w:pPr>
      <w:r w:rsidRPr="005B1CCB">
        <w:t>CNT modified SPCE sensitivity</w:t>
      </w:r>
    </w:p>
    <w:p w14:paraId="117F8665" w14:textId="5D30AD74" w:rsidR="00171681" w:rsidRPr="005B1CCB" w:rsidRDefault="00526A4F" w:rsidP="000D24A1">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0D24A1" w:rsidRPr="005B1CCB">
        <w:rPr>
          <w:rFonts w:ascii="Palatino Linotype" w:hAnsi="Palatino Linotype"/>
          <w:sz w:val="24"/>
          <w:szCs w:val="24"/>
        </w:rPr>
        <w:t>DNA hybridisation was performed using the activated and NHS-EDC coupled CNT-modified electrode. T</w:t>
      </w:r>
      <w:r w:rsidR="002B0AAF" w:rsidRPr="005B1CCB">
        <w:rPr>
          <w:rFonts w:ascii="Palatino Linotype" w:hAnsi="Palatino Linotype"/>
          <w:sz w:val="24"/>
          <w:szCs w:val="24"/>
        </w:rPr>
        <w:t>o further understand the impact of the electrochemical measurements, t</w:t>
      </w:r>
      <w:r w:rsidR="000D24A1" w:rsidRPr="005B1CCB">
        <w:rPr>
          <w:rFonts w:ascii="Palatino Linotype" w:hAnsi="Palatino Linotype"/>
          <w:sz w:val="24"/>
          <w:szCs w:val="24"/>
        </w:rPr>
        <w:t>he three voltammetry measurements that have been used so far in the study: CV, DPV and SWV were compared using previously specified parameters</w:t>
      </w:r>
      <w:r w:rsidR="00450B08" w:rsidRPr="005B1CCB">
        <w:rPr>
          <w:rFonts w:ascii="Palatino Linotype" w:hAnsi="Palatino Linotype"/>
          <w:sz w:val="24"/>
          <w:szCs w:val="24"/>
        </w:rPr>
        <w:t xml:space="preserve"> and the same </w:t>
      </w:r>
      <w:r w:rsidR="00C10B16" w:rsidRPr="005B1CCB">
        <w:rPr>
          <w:rFonts w:ascii="Palatino Linotype" w:hAnsi="Palatino Linotype"/>
          <w:sz w:val="24"/>
          <w:szCs w:val="24"/>
        </w:rPr>
        <w:t>DNA sample volume</w:t>
      </w:r>
      <w:r w:rsidR="000D24A1" w:rsidRPr="005B1CCB">
        <w:rPr>
          <w:rFonts w:ascii="Palatino Linotype" w:hAnsi="Palatino Linotype"/>
          <w:sz w:val="24"/>
          <w:szCs w:val="24"/>
        </w:rPr>
        <w:t xml:space="preserve">. As shown in </w:t>
      </w:r>
      <w:r w:rsidR="00744101" w:rsidRPr="005B1CCB">
        <w:rPr>
          <w:rFonts w:ascii="Palatino Linotype" w:hAnsi="Palatino Linotype"/>
          <w:sz w:val="24"/>
          <w:szCs w:val="24"/>
        </w:rPr>
        <w:t>F</w:t>
      </w:r>
      <w:r w:rsidR="000D24A1" w:rsidRPr="005B1CCB">
        <w:rPr>
          <w:rFonts w:ascii="Palatino Linotype" w:hAnsi="Palatino Linotype"/>
          <w:sz w:val="24"/>
          <w:szCs w:val="24"/>
        </w:rPr>
        <w:t xml:space="preserve">igure </w:t>
      </w:r>
      <w:r w:rsidR="004C530A" w:rsidRPr="005B1CCB">
        <w:rPr>
          <w:rFonts w:ascii="Palatino Linotype" w:hAnsi="Palatino Linotype"/>
          <w:sz w:val="24"/>
          <w:szCs w:val="24"/>
        </w:rPr>
        <w:t>51</w:t>
      </w:r>
      <w:r w:rsidR="000D24A1" w:rsidRPr="005B1CCB">
        <w:rPr>
          <w:rFonts w:ascii="Palatino Linotype" w:hAnsi="Palatino Linotype"/>
          <w:sz w:val="24"/>
          <w:szCs w:val="24"/>
        </w:rPr>
        <w:t xml:space="preserve">, </w:t>
      </w:r>
      <w:r w:rsidR="00450B08" w:rsidRPr="005B1CCB">
        <w:rPr>
          <w:rFonts w:ascii="Palatino Linotype" w:hAnsi="Palatino Linotype"/>
          <w:sz w:val="24"/>
          <w:szCs w:val="24"/>
        </w:rPr>
        <w:t>SWV showed a higher signal change upon hybridisation</w:t>
      </w:r>
      <w:r w:rsidR="00A4421E" w:rsidRPr="005B1CCB">
        <w:rPr>
          <w:rFonts w:ascii="Palatino Linotype" w:hAnsi="Palatino Linotype"/>
          <w:sz w:val="24"/>
          <w:szCs w:val="24"/>
        </w:rPr>
        <w:t xml:space="preserve"> for CNT-modified SPCEs, proving a great capacity to detect hybridisation signal changes</w:t>
      </w:r>
      <w:r w:rsidR="00A1515A" w:rsidRPr="005B1CCB">
        <w:rPr>
          <w:rFonts w:ascii="Palatino Linotype" w:hAnsi="Palatino Linotype"/>
          <w:sz w:val="24"/>
          <w:szCs w:val="24"/>
        </w:rPr>
        <w:t xml:space="preserve">. </w:t>
      </w:r>
      <w:r w:rsidR="00E63F64" w:rsidRPr="005B1CCB">
        <w:rPr>
          <w:rFonts w:ascii="Palatino Linotype" w:hAnsi="Palatino Linotype"/>
          <w:sz w:val="24"/>
          <w:szCs w:val="24"/>
        </w:rPr>
        <w:t xml:space="preserve">SWV measurement were </w:t>
      </w:r>
      <w:r w:rsidR="00A1515A" w:rsidRPr="005B1CCB">
        <w:rPr>
          <w:rFonts w:ascii="Palatino Linotype" w:hAnsi="Palatino Linotype"/>
          <w:sz w:val="24"/>
          <w:szCs w:val="24"/>
        </w:rPr>
        <w:t xml:space="preserve">recorded and </w:t>
      </w:r>
      <w:r w:rsidR="00E63F64" w:rsidRPr="005B1CCB">
        <w:rPr>
          <w:rFonts w:ascii="Palatino Linotype" w:hAnsi="Palatino Linotype"/>
          <w:sz w:val="24"/>
          <w:szCs w:val="24"/>
        </w:rPr>
        <w:t>analysed subsequently using these electrodes</w:t>
      </w:r>
      <w:r w:rsidR="00A1515A" w:rsidRPr="005B1CCB">
        <w:rPr>
          <w:rFonts w:ascii="Palatino Linotype" w:hAnsi="Palatino Linotype"/>
          <w:sz w:val="24"/>
          <w:szCs w:val="24"/>
        </w:rPr>
        <w:t xml:space="preserve"> due to the increased sensitivity shown</w:t>
      </w:r>
      <w:r w:rsidR="00E63F64" w:rsidRPr="005B1CCB">
        <w:rPr>
          <w:rFonts w:ascii="Palatino Linotype" w:hAnsi="Palatino Linotype"/>
          <w:sz w:val="24"/>
          <w:szCs w:val="24"/>
        </w:rPr>
        <w:t xml:space="preserve">. </w:t>
      </w:r>
      <w:r w:rsidR="0037590C" w:rsidRPr="0037590C">
        <w:rPr>
          <w:rFonts w:ascii="Palatino Linotype" w:hAnsi="Palatino Linotype"/>
          <w:sz w:val="24"/>
          <w:szCs w:val="24"/>
        </w:rPr>
        <w:t xml:space="preserve">The standard deviation reflects the variation obtained from the experimental replicas.  </w:t>
      </w:r>
      <w:r w:rsidR="00E72684" w:rsidRPr="005B1CCB">
        <w:rPr>
          <w:rFonts w:ascii="Palatino Linotype" w:hAnsi="Palatino Linotype"/>
          <w:sz w:val="24"/>
          <w:szCs w:val="24"/>
        </w:rPr>
        <w:t xml:space="preserve">A similar study also shows that SWV proved to be more sensitive than CV in CNT modified electrodes  </w:t>
      </w:r>
      <w:r w:rsidR="00E72684"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electacta.2012.04.006","author":[{"dropping-particle":"","family":"Xiao","given":"Xilin","non-dropping-particle":"","parse-names":false,"suffix":""},{"dropping-particle":"","family":"Zhu","given":"Guizhi","non-dropping-particle":"","parse-names":false,"suffix":""},{"dropping-particle":"","family":"Liao","given":"Lifu","non-dropping-particle":"","parse-names":false,"suffix":""},{"dropping-particle":"","family":"Liu","given":"Bo","non-dropping-particle":"","parse-names":false,"suffix":""},{"dropping-particle":"","family":"Yuan","given":"Yali","non-dropping-particle":"","parse-names":false,"suffix":""},{"dropping-particle":"","family":"Wang","given":"Yongsheng","non-dropping-particle":"","parse-names":false,"suffix":""},{"dropping-particle":"","family":"He","given":"Jun","non-dropping-particle":"","parse-names":false,"suffix":""},{"dropping-particle":"","family":"He","given":"Bo","non-dropping-particle":"","parse-names":false,"suffix":""},{"dropping-particle":"","family":"Wu","given":"Yimou","non-dropping-particle":"","parse-names":false,"suffix":""}],"container-title":"Electrochimica Acta","id":"ITEM-1","issued":{"date-parts":[["2012","7","1"]]},"page":"105–110","title":"A square wave voltammetric method for the detection of microorganism populations using a MWNT-modified glassy carbon electrode","type":"article-journal","volume":"74"},"uris":["http://www.mendeley.com/documents/?uuid=b8d2add8-4cd3-483a-a51f-3a42c443064b"]}],"mendeley":{"formattedCitation":"[246]","plainTextFormattedCitation":"[246]","previouslyFormattedCitation":"[246]"},"properties":{"noteIndex":0},"schema":"https://github.com/citation-style-language/schema/raw/master/csl-citation.json"}</w:instrText>
      </w:r>
      <w:r w:rsidR="00E72684" w:rsidRPr="005B1CCB">
        <w:rPr>
          <w:rFonts w:ascii="Palatino Linotype" w:hAnsi="Palatino Linotype"/>
          <w:sz w:val="24"/>
          <w:szCs w:val="24"/>
        </w:rPr>
        <w:fldChar w:fldCharType="separate"/>
      </w:r>
      <w:r w:rsidR="005F2946" w:rsidRPr="005F2946">
        <w:rPr>
          <w:rFonts w:ascii="Palatino Linotype" w:hAnsi="Palatino Linotype"/>
          <w:noProof/>
          <w:sz w:val="24"/>
          <w:szCs w:val="24"/>
        </w:rPr>
        <w:t>[246]</w:t>
      </w:r>
      <w:r w:rsidR="00E72684" w:rsidRPr="005B1CCB">
        <w:rPr>
          <w:rFonts w:ascii="Palatino Linotype" w:hAnsi="Palatino Linotype"/>
          <w:sz w:val="24"/>
          <w:szCs w:val="24"/>
        </w:rPr>
        <w:fldChar w:fldCharType="end"/>
      </w:r>
      <w:r w:rsidR="00E72684" w:rsidRPr="005B1CCB">
        <w:rPr>
          <w:rFonts w:ascii="Palatino Linotype" w:hAnsi="Palatino Linotype"/>
          <w:sz w:val="24"/>
          <w:szCs w:val="24"/>
        </w:rPr>
        <w:t xml:space="preserve">. </w:t>
      </w:r>
      <w:r w:rsidR="00A4421E" w:rsidRPr="005B1CCB">
        <w:rPr>
          <w:rFonts w:ascii="Palatino Linotype" w:hAnsi="Palatino Linotype"/>
          <w:sz w:val="24"/>
          <w:szCs w:val="24"/>
        </w:rPr>
        <w:t>A different study suggest</w:t>
      </w:r>
      <w:r w:rsidR="00E72684" w:rsidRPr="005B1CCB">
        <w:rPr>
          <w:rFonts w:ascii="Palatino Linotype" w:hAnsi="Palatino Linotype"/>
          <w:sz w:val="24"/>
          <w:szCs w:val="24"/>
        </w:rPr>
        <w:t>s</w:t>
      </w:r>
      <w:r w:rsidR="00A4421E" w:rsidRPr="005B1CCB">
        <w:rPr>
          <w:rFonts w:ascii="Palatino Linotype" w:hAnsi="Palatino Linotype"/>
          <w:sz w:val="24"/>
          <w:szCs w:val="24"/>
        </w:rPr>
        <w:t xml:space="preserve"> that SWV may stand out from other voltammetry measurement techniques in the future of biosensor development </w:t>
      </w:r>
      <w:r w:rsidR="00A4421E"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{"citationItems":[{"id":"ITEM-1","itemData":{"DOI":"10.1016/j.snr.2020.100008","ISSN":"26660539","abstract":"This paper describes improved sensitivity when using biosensors based on microfabricated microelectrodes to detect DNA, with the goal of progressing towards a low cost and mass manufacturable assay for antibiotic resistance in tuberculosis (TB). The microelectrodes gave an improvement in sensitivity compared to polycrystalline macroelectrodes. In addition, experimental parameters such as redox mediator concentration and experimental technique were investigated and optimised. It was found that lower concentrations of redox mediator gave higher signal changes when measuring hybridisation events and, at these lower concentrations, square wave voltammetry was more sensitive and consistent than differential pulse voltammetry. Together, this paper presents a quantifiable comparison of macroelectrode and microelectrode DNA biosensors. The final assay demonstrates enhanced sensitivity through reduction of sensor size, reduction of redox mediator concentration and judicious choice of detection technique, therefore maintaining manufacturability for incorporation into point of care tests and lab-on-a-chip devices.","author":[{"dropping-particle":"","family":"Blair","given":"Ewen O.","non-dropping-particle":"","parse-names":false,"suffix":""},{"dropping-particle":"","family":"Hannah","given":"Stuart","non-dropping-particle":"","parse-names":false,"suffix":""},{"dropping-particle":"","family":"Vezza","given":"Vincent","non-dropping-particle":"","parse-names":false,"suffix":""},{"dropping-particle":"","family":"Avcı","given":"Hüseyin","non-dropping-particle":"","parse-names":false,"suffix":""},{"dropping-particle":"","family":"Kocagoz","given":"Tanil","non-dropping-particle":"","parse-names":false,"suffix":""},{"dropping-particle":"","family":"Hoskisson","given":"Paul A.","non-dropping-particle":"","parse-names":false,"suffix":""},{"dropping-particle":"","family":"Güzel","given":"Fatma D.","non-dropping-particle":"","parse-names":false,"suffix":""},{"dropping-particle":"","family":"Corrigan","given":"Damion K.","non-dropping-particle":"","parse-names":false,"suffix":""}],"container-title":"Sensors and Actuators Reports","id":"ITEM-1","issue":"1","issued":{"date-parts":[["2020"]]},"page":"100008","title":"Biologically modified microelectrode sensors provide enhanced sensitivity for detection of nucleic acid sequences from Mycobacterium tuberculosis","type":"article-journal","volume":"2"},"uris":["http://www.mendeley.com/documents/?uuid=70dc1e5a-ddef-4874-80f5-be90681d7871"]}],"mendeley":{"formattedCitation":"[183]","plainTextFormattedCitation":"[183]","previouslyFormattedCitation":"[183]"},"properties":{"noteIndex":0},"schema":"https://github.com/citation-style-language/schema/raw/master/csl-citation.json"}</w:instrText>
      </w:r>
      <w:r w:rsidR="00A4421E" w:rsidRPr="005B1CCB">
        <w:rPr>
          <w:rFonts w:ascii="Palatino Linotype" w:hAnsi="Palatino Linotype"/>
          <w:sz w:val="24"/>
          <w:szCs w:val="24"/>
        </w:rPr>
        <w:fldChar w:fldCharType="separate"/>
      </w:r>
      <w:r w:rsidR="005F2946" w:rsidRPr="005F2946">
        <w:rPr>
          <w:rFonts w:ascii="Palatino Linotype" w:hAnsi="Palatino Linotype"/>
          <w:noProof/>
          <w:sz w:val="24"/>
          <w:szCs w:val="24"/>
        </w:rPr>
        <w:t>[183]</w:t>
      </w:r>
      <w:r w:rsidR="00A4421E" w:rsidRPr="005B1CCB">
        <w:rPr>
          <w:rFonts w:ascii="Palatino Linotype" w:hAnsi="Palatino Linotype"/>
          <w:sz w:val="24"/>
          <w:szCs w:val="24"/>
        </w:rPr>
        <w:fldChar w:fldCharType="end"/>
      </w:r>
      <w:r w:rsidR="00A4421E" w:rsidRPr="005B1CCB">
        <w:rPr>
          <w:rFonts w:ascii="Palatino Linotype" w:hAnsi="Palatino Linotype"/>
          <w:sz w:val="24"/>
          <w:szCs w:val="24"/>
        </w:rPr>
        <w:t>.</w:t>
      </w:r>
    </w:p>
    <w:p w14:paraId="64539732" w14:textId="77777777" w:rsidR="00C64AD1" w:rsidRPr="005B1CCB" w:rsidRDefault="00171681" w:rsidP="00C64AD1">
      <w:pPr>
        <w:keepNext/>
        <w:jc w:val="center"/>
      </w:pPr>
      <w:r w:rsidRPr="005B1CCB">
        <w:rPr>
          <w:noProof/>
          <w:lang w:eastAsia="en-GB"/>
        </w:rPr>
        <w:drawing>
          <wp:inline distT="0" distB="0" distL="0" distR="0" wp14:anchorId="13885EC3" wp14:editId="71A82AF7">
            <wp:extent cx="4139565" cy="291820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a:extLst>
                        <a:ext uri="{28A0092B-C50C-407E-A947-70E740481C1C}">
                          <a14:useLocalDpi xmlns:a14="http://schemas.microsoft.com/office/drawing/2010/main" val="0"/>
                        </a:ext>
                      </a:extLst>
                    </a:blip>
                    <a:srcRect l="8423" t="6576" r="1062" b="4895"/>
                    <a:stretch/>
                  </pic:blipFill>
                  <pic:spPr bwMode="auto">
                    <a:xfrm>
                      <a:off x="0" y="0"/>
                      <a:ext cx="4156624" cy="2930232"/>
                    </a:xfrm>
                    <a:prstGeom prst="rect">
                      <a:avLst/>
                    </a:prstGeom>
                    <a:noFill/>
                    <a:ln>
                      <a:noFill/>
                    </a:ln>
                    <a:extLst>
                      <a:ext uri="{53640926-AAD7-44D8-BBD7-CCE9431645EC}">
                        <a14:shadowObscured xmlns:a14="http://schemas.microsoft.com/office/drawing/2010/main"/>
                      </a:ext>
                    </a:extLst>
                  </pic:spPr>
                </pic:pic>
              </a:graphicData>
            </a:graphic>
          </wp:inline>
        </w:drawing>
      </w:r>
    </w:p>
    <w:p w14:paraId="75DC5671" w14:textId="77777777" w:rsidR="00171681" w:rsidRPr="005B1CCB" w:rsidRDefault="00C64AD1" w:rsidP="00C64AD1">
      <w:pPr>
        <w:pStyle w:val="Caption"/>
        <w:jc w:val="center"/>
      </w:pPr>
      <w:bookmarkStart w:id="188" w:name="_Toc84519646"/>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51</w:t>
      </w:r>
      <w:r w:rsidRPr="005B1CCB">
        <w:rPr>
          <w:sz w:val="22"/>
          <w:szCs w:val="22"/>
        </w:rPr>
        <w:fldChar w:fldCharType="end"/>
      </w:r>
      <w:r w:rsidRPr="005B1CCB">
        <w:t xml:space="preserve">: </w:t>
      </w:r>
      <w:r w:rsidR="00B84C49" w:rsidRPr="005B1CCB">
        <w:rPr>
          <w:sz w:val="22"/>
          <w:szCs w:val="22"/>
        </w:rPr>
        <w:t>Comparing DNA hybridisation results using different voltammetry measuring techniques on CNT-modified SPCEs</w:t>
      </w:r>
      <w:bookmarkEnd w:id="188"/>
    </w:p>
    <w:p w14:paraId="20ED21DE" w14:textId="77777777" w:rsidR="00D11A31" w:rsidRPr="005B1CCB" w:rsidRDefault="00D11A31" w:rsidP="00D11A31"/>
    <w:p w14:paraId="4438FC05" w14:textId="77777777" w:rsidR="00171681" w:rsidRPr="005B1CCB" w:rsidRDefault="00171681" w:rsidP="00171681">
      <w:pPr>
        <w:pStyle w:val="Heading4"/>
      </w:pPr>
      <w:r w:rsidRPr="005B1CCB">
        <w:t>CNT modified SPCE specificity</w:t>
      </w:r>
    </w:p>
    <w:p w14:paraId="59291266" w14:textId="78774F14" w:rsidR="000D24A1" w:rsidRPr="005B1CCB" w:rsidRDefault="00992459" w:rsidP="00B7202C">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251527" w:rsidRPr="005B1CCB">
        <w:rPr>
          <w:rFonts w:ascii="Palatino Linotype" w:hAnsi="Palatino Linotype"/>
          <w:sz w:val="24"/>
          <w:szCs w:val="24"/>
        </w:rPr>
        <w:t xml:space="preserve">In order to confirm that the CNT-modified SPCEs were performing as expected, they were </w:t>
      </w:r>
      <w:r w:rsidR="00C15767" w:rsidRPr="005B1CCB">
        <w:rPr>
          <w:rFonts w:ascii="Palatino Linotype" w:hAnsi="Palatino Linotype"/>
          <w:sz w:val="24"/>
          <w:szCs w:val="24"/>
        </w:rPr>
        <w:t xml:space="preserve">functionalised with probe and target DNA and their hybridisation specificity was observed. </w:t>
      </w:r>
      <w:r w:rsidR="00B7202C" w:rsidRPr="005B1CCB">
        <w:rPr>
          <w:rFonts w:ascii="Palatino Linotype" w:hAnsi="Palatino Linotype"/>
          <w:sz w:val="24"/>
          <w:szCs w:val="24"/>
        </w:rPr>
        <w:t>Upon hybridisation with target oligonucleotide DNA, the complementary DNA show</w:t>
      </w:r>
      <w:r w:rsidR="00822D14" w:rsidRPr="005B1CCB">
        <w:rPr>
          <w:rFonts w:ascii="Palatino Linotype" w:hAnsi="Palatino Linotype"/>
          <w:sz w:val="24"/>
          <w:szCs w:val="24"/>
        </w:rPr>
        <w:t>ed</w:t>
      </w:r>
      <w:r w:rsidR="00B7202C" w:rsidRPr="005B1CCB">
        <w:rPr>
          <w:rFonts w:ascii="Palatino Linotype" w:hAnsi="Palatino Linotype"/>
          <w:sz w:val="24"/>
          <w:szCs w:val="24"/>
        </w:rPr>
        <w:t xml:space="preserve"> a higher signal change of around 30% compared to the non-complementary DNA hybridisation</w:t>
      </w:r>
      <w:r w:rsidR="00822D14" w:rsidRPr="005B1CCB">
        <w:rPr>
          <w:rFonts w:ascii="Palatino Linotype" w:hAnsi="Palatino Linotype"/>
          <w:sz w:val="24"/>
          <w:szCs w:val="24"/>
        </w:rPr>
        <w:t xml:space="preserve"> (Figure 5</w:t>
      </w:r>
      <w:r w:rsidR="004C530A" w:rsidRPr="005B1CCB">
        <w:rPr>
          <w:rFonts w:ascii="Palatino Linotype" w:hAnsi="Palatino Linotype"/>
          <w:sz w:val="24"/>
          <w:szCs w:val="24"/>
        </w:rPr>
        <w:t>2</w:t>
      </w:r>
      <w:r w:rsidR="00822D14" w:rsidRPr="005B1CCB">
        <w:rPr>
          <w:rFonts w:ascii="Palatino Linotype" w:hAnsi="Palatino Linotype"/>
          <w:sz w:val="24"/>
          <w:szCs w:val="24"/>
        </w:rPr>
        <w:t>)</w:t>
      </w:r>
      <w:r w:rsidR="00B7202C" w:rsidRPr="005B1CCB">
        <w:rPr>
          <w:rFonts w:ascii="Palatino Linotype" w:hAnsi="Palatino Linotype"/>
          <w:sz w:val="24"/>
          <w:szCs w:val="24"/>
        </w:rPr>
        <w:t xml:space="preserve">. </w:t>
      </w:r>
      <w:r w:rsidR="008354BD" w:rsidRPr="005B1CCB">
        <w:rPr>
          <w:rFonts w:ascii="Palatino Linotype" w:hAnsi="Palatino Linotype"/>
          <w:sz w:val="24"/>
          <w:szCs w:val="24"/>
        </w:rPr>
        <w:t>This shows that CNTs are receptive to functionalisation</w:t>
      </w:r>
      <w:r w:rsidR="00B7202C" w:rsidRPr="005B1CCB">
        <w:rPr>
          <w:rFonts w:ascii="Palatino Linotype" w:hAnsi="Palatino Linotype"/>
          <w:sz w:val="24"/>
          <w:szCs w:val="24"/>
        </w:rPr>
        <w:t xml:space="preserve"> and are able to </w:t>
      </w:r>
      <w:r w:rsidR="00010481" w:rsidRPr="005B1CCB">
        <w:rPr>
          <w:rFonts w:ascii="Palatino Linotype" w:hAnsi="Palatino Linotype"/>
          <w:sz w:val="24"/>
          <w:szCs w:val="24"/>
        </w:rPr>
        <w:t>resolve</w:t>
      </w:r>
      <w:r w:rsidR="00B7202C" w:rsidRPr="005B1CCB">
        <w:rPr>
          <w:rFonts w:ascii="Palatino Linotype" w:hAnsi="Palatino Linotype"/>
          <w:sz w:val="24"/>
          <w:szCs w:val="24"/>
        </w:rPr>
        <w:t xml:space="preserve"> single-base </w:t>
      </w:r>
      <w:r w:rsidR="00010481" w:rsidRPr="005B1CCB">
        <w:rPr>
          <w:rFonts w:ascii="Palatino Linotype" w:hAnsi="Palatino Linotype"/>
          <w:sz w:val="24"/>
          <w:szCs w:val="24"/>
        </w:rPr>
        <w:t xml:space="preserve">pair </w:t>
      </w:r>
      <w:r w:rsidR="00B7202C" w:rsidRPr="005B1CCB">
        <w:rPr>
          <w:rFonts w:ascii="Palatino Linotype" w:hAnsi="Palatino Linotype"/>
          <w:sz w:val="24"/>
          <w:szCs w:val="24"/>
        </w:rPr>
        <w:t>changes</w:t>
      </w:r>
      <w:r w:rsidR="00364629" w:rsidRPr="005B1CCB">
        <w:rPr>
          <w:rFonts w:ascii="Palatino Linotype" w:hAnsi="Palatino Linotype"/>
          <w:sz w:val="24"/>
          <w:szCs w:val="24"/>
        </w:rPr>
        <w:t xml:space="preserve">. A higher sensitivity upon hybridisation is also observed in comparison to the hybridisation signal change noted when regular SPCEs were used (Figure 45). This can be attributed to the </w:t>
      </w:r>
      <w:r w:rsidR="00364629" w:rsidRPr="00572868">
        <w:rPr>
          <w:rFonts w:ascii="Palatino Linotype" w:hAnsi="Palatino Linotype"/>
          <w:sz w:val="24"/>
          <w:szCs w:val="24"/>
        </w:rPr>
        <w:t>excellent properties carbon nanotubes present including their large surface area</w:t>
      </w:r>
      <w:r w:rsidR="00364629" w:rsidRPr="005B1CCB">
        <w:rPr>
          <w:rFonts w:ascii="Palatino Linotype" w:hAnsi="Palatino Linotype"/>
          <w:sz w:val="24"/>
          <w:szCs w:val="24"/>
        </w:rPr>
        <w:t xml:space="preserve"> </w:t>
      </w:r>
      <w:r w:rsidR="00364629"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{"citationItems":[{"id":"ITEM-1","itemData":{"DOI":"10.3390/ma7031975","ISBN":"1996-1944","abstract":"We demonstrate the fabrication of an all-carbon electrode by plasma-enhanced chemical vapor deposition for use in flexible electrochemical applications. The electrode is composed of vertically aligned carbon nanotubes that are grown directly on a flexible graphite foil. Being all-carbon, the simple fabrication process and the excellent electrochemical characteristics present an approach through which high-performance, highly-stable and cost-effective electrochemical applications can be achieved.","author":[{"dropping-particle":"","family":"Ryu","given":"Je-Hwang","non-dropping-particle":"","parse-names":false,"suffix":""},{"dropping-particle":"","family":"Lee","given":"Gi-Ja","non-dropping-particle":"","parse-names":false,"suffix":""},{"dropping-particle":"","family":"Kim","given":"Wan-Sun","non-dropping-particle":"","parse-names":false,"suffix":""},{"dropping-particle":"","family":"Lim","given":"Han-Eol","non-dropping-particle":"","parse-names":false,"suffix":""},{"dropping-particle":"","family":"Mativenga","given":"Mallory","non-dropping-particle":"","parse-names":false,"suffix":""},{"dropping-particle":"","family":"Park","given":"Kyu-Chang","non-dropping-particle":"","parse-names":false,"suffix":""},{"dropping-particle":"","family":"Park","given":"Hun-Kuk","non-dropping-particle":"","parse-names":false,"suffix":""}],"container-title":"Materials ","id":"ITEM-1","issue":"3","issued":{"date-parts":[["2014"]]},"title":"All-Carbon Electrode Consisting of Carbon Nanotubes on Graphite Foil for Flexible Electrochemical Applications","type":"article","volume":"7"},"uris":["http://www.mendeley.com/documents/?uuid=62b314b2-9d2c-459e-ba77-1c0f1b9413a9"]}],"mendeley":{"formattedCitation":"[247]","plainTextFormattedCitation":"[247]","previouslyFormattedCitation":"[247]"},"properties":{"noteIndex":0},"schema":"https://github.com/citation-style-language/schema/raw/master/csl-citation.json"}</w:instrText>
      </w:r>
      <w:r w:rsidR="00364629" w:rsidRPr="005B1CCB">
        <w:rPr>
          <w:rFonts w:ascii="Palatino Linotype" w:hAnsi="Palatino Linotype"/>
          <w:sz w:val="24"/>
          <w:szCs w:val="24"/>
        </w:rPr>
        <w:fldChar w:fldCharType="separate"/>
      </w:r>
      <w:r w:rsidR="005F2946" w:rsidRPr="005F2946">
        <w:rPr>
          <w:rFonts w:ascii="Palatino Linotype" w:hAnsi="Palatino Linotype"/>
          <w:noProof/>
          <w:sz w:val="24"/>
          <w:szCs w:val="24"/>
        </w:rPr>
        <w:t>[247]</w:t>
      </w:r>
      <w:r w:rsidR="00364629" w:rsidRPr="005B1CCB">
        <w:rPr>
          <w:rFonts w:ascii="Palatino Linotype" w:hAnsi="Palatino Linotype"/>
          <w:sz w:val="24"/>
          <w:szCs w:val="24"/>
        </w:rPr>
        <w:fldChar w:fldCharType="end"/>
      </w:r>
      <w:r w:rsidR="00364629" w:rsidRPr="005B1CCB">
        <w:rPr>
          <w:rFonts w:ascii="Palatino Linotype" w:hAnsi="Palatino Linotype"/>
          <w:sz w:val="24"/>
          <w:szCs w:val="24"/>
        </w:rPr>
        <w:t xml:space="preserve">. </w:t>
      </w:r>
      <w:r w:rsidR="0037590C" w:rsidRPr="0037590C">
        <w:rPr>
          <w:rFonts w:ascii="Palatino Linotype" w:hAnsi="Palatino Linotype"/>
          <w:sz w:val="24"/>
          <w:szCs w:val="24"/>
        </w:rPr>
        <w:t xml:space="preserve">The standard deviation reflects the variation obtained from the experimental replicas.  </w:t>
      </w:r>
    </w:p>
    <w:p w14:paraId="17B3B0F1" w14:textId="77777777" w:rsidR="00865FB9" w:rsidRPr="005B1CCB" w:rsidRDefault="00171681" w:rsidP="00865FB9">
      <w:pPr>
        <w:keepNext/>
        <w:jc w:val="center"/>
      </w:pPr>
      <w:r w:rsidRPr="005B1CCB">
        <w:rPr>
          <w:noProof/>
          <w:lang w:eastAsia="en-GB"/>
        </w:rPr>
        <w:drawing>
          <wp:inline distT="0" distB="0" distL="0" distR="0" wp14:anchorId="5B85348C" wp14:editId="203DD194">
            <wp:extent cx="3816626" cy="26168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1">
                      <a:extLst>
                        <a:ext uri="{28A0092B-C50C-407E-A947-70E740481C1C}">
                          <a14:useLocalDpi xmlns:a14="http://schemas.microsoft.com/office/drawing/2010/main" val="0"/>
                        </a:ext>
                      </a:extLst>
                    </a:blip>
                    <a:srcRect l="8339" t="4277" r="1363" b="10370"/>
                    <a:stretch/>
                  </pic:blipFill>
                  <pic:spPr bwMode="auto">
                    <a:xfrm>
                      <a:off x="0" y="0"/>
                      <a:ext cx="3829332" cy="2625547"/>
                    </a:xfrm>
                    <a:prstGeom prst="rect">
                      <a:avLst/>
                    </a:prstGeom>
                    <a:noFill/>
                    <a:ln>
                      <a:noFill/>
                    </a:ln>
                    <a:extLst>
                      <a:ext uri="{53640926-AAD7-44D8-BBD7-CCE9431645EC}">
                        <a14:shadowObscured xmlns:a14="http://schemas.microsoft.com/office/drawing/2010/main"/>
                      </a:ext>
                    </a:extLst>
                  </pic:spPr>
                </pic:pic>
              </a:graphicData>
            </a:graphic>
          </wp:inline>
        </w:drawing>
      </w:r>
    </w:p>
    <w:p w14:paraId="6397D7E1" w14:textId="77777777" w:rsidR="00171681" w:rsidRPr="005B1CCB" w:rsidRDefault="00865FB9" w:rsidP="00865FB9">
      <w:pPr>
        <w:pStyle w:val="Caption"/>
        <w:jc w:val="center"/>
        <w:rPr>
          <w:sz w:val="22"/>
          <w:szCs w:val="22"/>
        </w:rPr>
      </w:pPr>
      <w:bookmarkStart w:id="189" w:name="_Toc84519647"/>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52</w:t>
      </w:r>
      <w:r w:rsidRPr="005B1CCB">
        <w:rPr>
          <w:sz w:val="22"/>
          <w:szCs w:val="22"/>
        </w:rPr>
        <w:fldChar w:fldCharType="end"/>
      </w:r>
      <w:r w:rsidRPr="005B1CCB">
        <w:rPr>
          <w:sz w:val="22"/>
          <w:szCs w:val="22"/>
        </w:rPr>
        <w:t>:</w:t>
      </w:r>
      <w:r w:rsidRPr="005B1CCB">
        <w:t xml:space="preserve"> </w:t>
      </w:r>
      <w:r w:rsidR="00074200" w:rsidRPr="005B1CCB">
        <w:rPr>
          <w:sz w:val="22"/>
          <w:szCs w:val="22"/>
        </w:rPr>
        <w:t xml:space="preserve">DNA hybridisation using </w:t>
      </w:r>
      <w:r w:rsidR="00D4080F" w:rsidRPr="005B1CCB">
        <w:rPr>
          <w:sz w:val="22"/>
          <w:szCs w:val="22"/>
        </w:rPr>
        <w:t xml:space="preserve">KRAS pG12D </w:t>
      </w:r>
      <w:r w:rsidR="00074200" w:rsidRPr="005B1CCB">
        <w:rPr>
          <w:sz w:val="22"/>
          <w:szCs w:val="22"/>
        </w:rPr>
        <w:t xml:space="preserve">(A) wild-type </w:t>
      </w:r>
      <w:r w:rsidR="00D4080F" w:rsidRPr="005B1CCB">
        <w:rPr>
          <w:sz w:val="22"/>
          <w:szCs w:val="22"/>
        </w:rPr>
        <w:t>oligonucleotide</w:t>
      </w:r>
      <w:r w:rsidR="00074200" w:rsidRPr="005B1CCB">
        <w:rPr>
          <w:sz w:val="22"/>
          <w:szCs w:val="22"/>
        </w:rPr>
        <w:t xml:space="preserve"> probe and mutant oligonucleotide target (B) mutant oligonucleotide probe and mutant oligonucleotide target</w:t>
      </w:r>
      <w:bookmarkEnd w:id="189"/>
    </w:p>
    <w:p w14:paraId="5341B3C5" w14:textId="77777777" w:rsidR="004C530A" w:rsidRPr="005B1CCB" w:rsidRDefault="004C530A" w:rsidP="004C530A"/>
    <w:p w14:paraId="1A9A6F06" w14:textId="33F441EC" w:rsidR="00D1578D" w:rsidRPr="005B1CCB" w:rsidRDefault="00D1578D" w:rsidP="00BF381B">
      <w:pPr>
        <w:pStyle w:val="Heading2"/>
        <w:rPr>
          <w:lang w:bidi="en-US"/>
        </w:rPr>
      </w:pPr>
      <w:bookmarkStart w:id="190" w:name="_Toc84528138"/>
      <w:r w:rsidRPr="005B1CCB">
        <w:rPr>
          <w:lang w:bidi="en-US"/>
        </w:rPr>
        <w:t>Conclusion</w:t>
      </w:r>
      <w:bookmarkEnd w:id="190"/>
    </w:p>
    <w:p w14:paraId="31A20695" w14:textId="0B80F3D9" w:rsidR="00D1578D" w:rsidRPr="005B1CCB" w:rsidRDefault="00D1578D" w:rsidP="004E50E3">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4C530A" w:rsidRPr="005B1CCB">
        <w:rPr>
          <w:rFonts w:ascii="Palatino Linotype" w:hAnsi="Palatino Linotype"/>
          <w:sz w:val="24"/>
          <w:szCs w:val="24"/>
        </w:rPr>
        <w:t xml:space="preserve"> </w:t>
      </w:r>
      <w:r w:rsidRPr="005B1CCB">
        <w:rPr>
          <w:rFonts w:ascii="Palatino Linotype" w:hAnsi="Palatino Linotype"/>
          <w:sz w:val="24"/>
          <w:szCs w:val="24"/>
        </w:rPr>
        <w:t xml:space="preserve">A simple DNA sensor requiring no labelling processes or external indicators was developed using a multi carbon electrode. </w:t>
      </w:r>
      <w:r w:rsidR="003E6242" w:rsidRPr="005B1CCB">
        <w:rPr>
          <w:rFonts w:ascii="Palatino Linotype" w:hAnsi="Palatino Linotype"/>
          <w:sz w:val="24"/>
          <w:szCs w:val="24"/>
        </w:rPr>
        <w:t>Designing</w:t>
      </w:r>
      <w:r w:rsidRPr="005B1CCB">
        <w:rPr>
          <w:rFonts w:ascii="Palatino Linotype" w:hAnsi="Palatino Linotype"/>
          <w:sz w:val="24"/>
          <w:szCs w:val="24"/>
        </w:rPr>
        <w:t xml:space="preserve"> a PCR reaction capable of amplifying either mutant KRAS G13D or wild type KRAS through primer choice from representative patient samples</w:t>
      </w:r>
      <w:r w:rsidR="00563A46" w:rsidRPr="005B1CCB">
        <w:rPr>
          <w:rFonts w:ascii="Palatino Linotype" w:hAnsi="Palatino Linotype"/>
          <w:sz w:val="24"/>
          <w:szCs w:val="24"/>
        </w:rPr>
        <w:t xml:space="preserve"> was possible</w:t>
      </w:r>
      <w:r w:rsidRPr="005B1CCB">
        <w:rPr>
          <w:rFonts w:ascii="Palatino Linotype" w:hAnsi="Palatino Linotype"/>
          <w:sz w:val="24"/>
          <w:szCs w:val="24"/>
        </w:rPr>
        <w:t xml:space="preserve">.  In parallel, an electrochemical detection scheme involving DNA hybridisation technique and screen- printed carbon electrodes were developed and shown through a series of comparative measurements to be sensitive and specific for the KRAS G13D mutation.  Differential pulse voltammetry measurements provided the desired response and showed detection was possible from samples containing as few as </w:t>
      </w:r>
      <w:r w:rsidRPr="00572868">
        <w:rPr>
          <w:rFonts w:ascii="Palatino Linotype" w:hAnsi="Palatino Linotype"/>
          <w:sz w:val="24"/>
          <w:szCs w:val="24"/>
        </w:rPr>
        <w:t>0.</w:t>
      </w:r>
      <w:r w:rsidR="002D2D43" w:rsidRPr="00572868">
        <w:rPr>
          <w:rFonts w:ascii="Palatino Linotype" w:hAnsi="Palatino Linotype"/>
          <w:sz w:val="24"/>
          <w:szCs w:val="24"/>
        </w:rPr>
        <w:t>85</w:t>
      </w:r>
      <w:r w:rsidR="00251094" w:rsidRPr="00572868">
        <w:rPr>
          <w:rFonts w:ascii="Palatino Linotype" w:hAnsi="Palatino Linotype"/>
          <w:sz w:val="24"/>
          <w:szCs w:val="24"/>
        </w:rPr>
        <w:t xml:space="preserve"> </w:t>
      </w:r>
      <w:r w:rsidRPr="00572868">
        <w:rPr>
          <w:rFonts w:ascii="Palatino Linotype" w:hAnsi="Palatino Linotype"/>
          <w:sz w:val="24"/>
          <w:szCs w:val="24"/>
        </w:rPr>
        <w:t xml:space="preserve">ng/µl </w:t>
      </w:r>
      <w:r w:rsidR="000604B4" w:rsidRPr="00572868">
        <w:rPr>
          <w:rFonts w:ascii="Palatino Linotype" w:hAnsi="Palatino Linotype"/>
          <w:sz w:val="24"/>
          <w:szCs w:val="24"/>
        </w:rPr>
        <w:t xml:space="preserve">mutant DNA </w:t>
      </w:r>
      <w:r w:rsidRPr="00572868">
        <w:rPr>
          <w:rFonts w:ascii="Palatino Linotype" w:hAnsi="Palatino Linotype"/>
          <w:sz w:val="24"/>
          <w:szCs w:val="24"/>
        </w:rPr>
        <w:t>amplicons</w:t>
      </w:r>
      <w:r w:rsidRPr="005B1CCB">
        <w:rPr>
          <w:rFonts w:ascii="Palatino Linotype" w:hAnsi="Palatino Linotype"/>
          <w:sz w:val="24"/>
          <w:szCs w:val="24"/>
        </w:rPr>
        <w:t>.  In addition, the response was found to be consistent with previously observed results, i.e. large signal decreases being evident upon amplification of the mutant allele, offering the promise of quantitation of mutant sequences from clinical samples. These results raise the prospect of simple, rapid, cost- effective measurement of nucleic acid tumour markers from blood and other body fluids.</w:t>
      </w:r>
      <w:r w:rsidRPr="005B1CCB">
        <w:rPr>
          <w:rFonts w:ascii="Palatino Linotype" w:hAnsi="Palatino Linotype"/>
          <w:sz w:val="24"/>
          <w:szCs w:val="24"/>
          <w:lang w:bidi="en-US"/>
        </w:rPr>
        <w:t xml:space="preserve"> </w:t>
      </w:r>
      <w:r w:rsidRPr="005B1CCB">
        <w:rPr>
          <w:rFonts w:ascii="Palatino Linotype" w:hAnsi="Palatino Linotype"/>
          <w:sz w:val="24"/>
          <w:szCs w:val="24"/>
        </w:rPr>
        <w:t>The current time to result of the electrochemical sensor lies at 4</w:t>
      </w:r>
      <w:r w:rsidR="00CF36DD" w:rsidRPr="005B1CCB">
        <w:rPr>
          <w:rFonts w:ascii="Palatino Linotype" w:hAnsi="Palatino Linotype"/>
          <w:sz w:val="24"/>
          <w:szCs w:val="24"/>
        </w:rPr>
        <w:t xml:space="preserve"> </w:t>
      </w:r>
      <w:r w:rsidRPr="005B1CCB">
        <w:rPr>
          <w:rFonts w:ascii="Palatino Linotype" w:hAnsi="Palatino Linotype"/>
          <w:sz w:val="24"/>
          <w:szCs w:val="24"/>
        </w:rPr>
        <w:t>hours providing significant scope for optimisation. It is important to note that the sensor being developed can be potentially used for both early detection of cancer and monitoring the response to cancer treatment and thus increases the possibility of tailoring therapy and early diagnosis.</w:t>
      </w:r>
    </w:p>
    <w:p w14:paraId="2FE34DF5" w14:textId="77777777" w:rsidR="007C6B91" w:rsidRPr="005B1CCB" w:rsidRDefault="007C6B91" w:rsidP="0052183A">
      <w:pPr>
        <w:spacing w:line="360" w:lineRule="auto"/>
        <w:rPr>
          <w:rFonts w:ascii="Palatino Linotype" w:hAnsi="Palatino Linotype"/>
        </w:rPr>
      </w:pPr>
    </w:p>
    <w:p w14:paraId="3E3282F3" w14:textId="77777777" w:rsidR="00FB6A02" w:rsidRPr="005B1CCB" w:rsidRDefault="00FB6A02" w:rsidP="0052183A">
      <w:pPr>
        <w:spacing w:line="360" w:lineRule="auto"/>
        <w:rPr>
          <w:rFonts w:ascii="Palatino Linotype" w:hAnsi="Palatino Linotype"/>
        </w:rPr>
      </w:pPr>
    </w:p>
    <w:p w14:paraId="32D6810A" w14:textId="77777777" w:rsidR="00FB6A02" w:rsidRPr="005B1CCB" w:rsidRDefault="00FB6A02" w:rsidP="0052183A">
      <w:pPr>
        <w:spacing w:line="360" w:lineRule="auto"/>
        <w:rPr>
          <w:rFonts w:ascii="Palatino Linotype" w:hAnsi="Palatino Linotype"/>
        </w:rPr>
      </w:pPr>
    </w:p>
    <w:p w14:paraId="6A213186" w14:textId="77777777" w:rsidR="00FB6A02" w:rsidRPr="005B1CCB" w:rsidRDefault="00FB6A02" w:rsidP="0052183A">
      <w:pPr>
        <w:spacing w:line="360" w:lineRule="auto"/>
        <w:rPr>
          <w:rFonts w:ascii="Palatino Linotype" w:hAnsi="Palatino Linotype"/>
        </w:rPr>
      </w:pPr>
    </w:p>
    <w:p w14:paraId="1675DA2B" w14:textId="77777777" w:rsidR="00FB6A02" w:rsidRPr="005B1CCB" w:rsidRDefault="00FB6A02" w:rsidP="0052183A">
      <w:pPr>
        <w:spacing w:line="360" w:lineRule="auto"/>
        <w:rPr>
          <w:rFonts w:ascii="Palatino Linotype" w:hAnsi="Palatino Linotype"/>
        </w:rPr>
      </w:pPr>
    </w:p>
    <w:p w14:paraId="423F5A18" w14:textId="77777777" w:rsidR="00FB6A02" w:rsidRPr="005B1CCB" w:rsidRDefault="00FB6A02" w:rsidP="0052183A">
      <w:pPr>
        <w:spacing w:line="360" w:lineRule="auto"/>
        <w:rPr>
          <w:rFonts w:ascii="Palatino Linotype" w:hAnsi="Palatino Linotype"/>
        </w:rPr>
      </w:pPr>
    </w:p>
    <w:p w14:paraId="13702695" w14:textId="77777777" w:rsidR="00FB6A02" w:rsidRPr="005B1CCB" w:rsidRDefault="00FB6A02" w:rsidP="0052183A">
      <w:pPr>
        <w:spacing w:line="360" w:lineRule="auto"/>
        <w:rPr>
          <w:rFonts w:ascii="Palatino Linotype" w:hAnsi="Palatino Linotype"/>
        </w:rPr>
      </w:pPr>
    </w:p>
    <w:p w14:paraId="5084F021" w14:textId="77777777" w:rsidR="00792C5D" w:rsidRPr="005B1CCB" w:rsidRDefault="00792C5D" w:rsidP="0052183A">
      <w:pPr>
        <w:spacing w:line="360" w:lineRule="auto"/>
        <w:rPr>
          <w:rFonts w:ascii="Palatino Linotype" w:hAnsi="Palatino Linotype"/>
        </w:rPr>
      </w:pPr>
    </w:p>
    <w:p w14:paraId="16FCFF34" w14:textId="77777777" w:rsidR="00792C5D" w:rsidRPr="005B1CCB" w:rsidRDefault="00792C5D" w:rsidP="0052183A">
      <w:pPr>
        <w:spacing w:line="360" w:lineRule="auto"/>
        <w:rPr>
          <w:rFonts w:ascii="Palatino Linotype" w:hAnsi="Palatino Linotype"/>
        </w:rPr>
      </w:pPr>
    </w:p>
    <w:p w14:paraId="02D71FDF" w14:textId="77777777" w:rsidR="00792C5D" w:rsidRPr="005B1CCB" w:rsidRDefault="00792C5D" w:rsidP="0052183A">
      <w:pPr>
        <w:spacing w:line="360" w:lineRule="auto"/>
        <w:rPr>
          <w:rFonts w:ascii="Palatino Linotype" w:hAnsi="Palatino Linotype"/>
        </w:rPr>
      </w:pPr>
    </w:p>
    <w:p w14:paraId="11EE6769" w14:textId="77777777" w:rsidR="00792C5D" w:rsidRPr="005B1CCB" w:rsidRDefault="00792C5D" w:rsidP="0052183A">
      <w:pPr>
        <w:spacing w:line="360" w:lineRule="auto"/>
        <w:rPr>
          <w:rFonts w:ascii="Palatino Linotype" w:hAnsi="Palatino Linotype"/>
        </w:rPr>
      </w:pPr>
    </w:p>
    <w:p w14:paraId="0201DFDF" w14:textId="77777777" w:rsidR="00792C5D" w:rsidRPr="005B1CCB" w:rsidRDefault="00792C5D" w:rsidP="0052183A">
      <w:pPr>
        <w:spacing w:line="360" w:lineRule="auto"/>
        <w:rPr>
          <w:rFonts w:ascii="Palatino Linotype" w:hAnsi="Palatino Linotype"/>
        </w:rPr>
      </w:pPr>
    </w:p>
    <w:p w14:paraId="1CF62563" w14:textId="77777777" w:rsidR="00792C5D" w:rsidRPr="005B1CCB" w:rsidRDefault="00792C5D" w:rsidP="0052183A">
      <w:pPr>
        <w:spacing w:line="360" w:lineRule="auto"/>
        <w:rPr>
          <w:rFonts w:ascii="Palatino Linotype" w:hAnsi="Palatino Linotype"/>
        </w:rPr>
      </w:pPr>
    </w:p>
    <w:p w14:paraId="561F4DE2" w14:textId="4B27354C" w:rsidR="00701B05" w:rsidRDefault="00701B05" w:rsidP="00251094">
      <w:pPr>
        <w:tabs>
          <w:tab w:val="left" w:pos="5791"/>
        </w:tabs>
        <w:spacing w:line="360" w:lineRule="auto"/>
        <w:rPr>
          <w:rFonts w:ascii="Palatino Linotype" w:hAnsi="Palatino Linotype"/>
        </w:rPr>
      </w:pPr>
    </w:p>
    <w:p w14:paraId="3A347874" w14:textId="10ED7BA1" w:rsidR="003C6257" w:rsidRDefault="003C6257" w:rsidP="00251094">
      <w:pPr>
        <w:tabs>
          <w:tab w:val="left" w:pos="5791"/>
        </w:tabs>
        <w:spacing w:line="360" w:lineRule="auto"/>
        <w:rPr>
          <w:rFonts w:ascii="Palatino Linotype" w:hAnsi="Palatino Linotype"/>
        </w:rPr>
      </w:pPr>
    </w:p>
    <w:p w14:paraId="01AC8212" w14:textId="02DE1700" w:rsidR="003C6257" w:rsidRDefault="003C6257" w:rsidP="00251094">
      <w:pPr>
        <w:tabs>
          <w:tab w:val="left" w:pos="5791"/>
        </w:tabs>
        <w:spacing w:line="360" w:lineRule="auto"/>
        <w:rPr>
          <w:rFonts w:ascii="Palatino Linotype" w:hAnsi="Palatino Linotype"/>
        </w:rPr>
      </w:pPr>
    </w:p>
    <w:p w14:paraId="67A0FCE6" w14:textId="77777777" w:rsidR="003C6257" w:rsidRPr="005B1CCB" w:rsidRDefault="003C6257" w:rsidP="00251094">
      <w:pPr>
        <w:tabs>
          <w:tab w:val="left" w:pos="5791"/>
        </w:tabs>
        <w:spacing w:line="360" w:lineRule="auto"/>
        <w:rPr>
          <w:rFonts w:ascii="Palatino Linotype" w:hAnsi="Palatino Linotype"/>
        </w:rPr>
      </w:pPr>
    </w:p>
    <w:p w14:paraId="09FBAC60" w14:textId="489B1F0C" w:rsidR="00C9771F" w:rsidRPr="005B1CCB" w:rsidRDefault="00CA6CF0" w:rsidP="0021167F">
      <w:pPr>
        <w:pStyle w:val="Heading1"/>
        <w:spacing w:line="360" w:lineRule="auto"/>
        <w:jc w:val="center"/>
      </w:pPr>
      <w:bookmarkStart w:id="191" w:name="_Hlk82967214"/>
      <w:bookmarkStart w:id="192" w:name="_Toc84528139"/>
      <w:r>
        <w:t xml:space="preserve">- </w:t>
      </w:r>
      <w:bookmarkEnd w:id="191"/>
      <w:r w:rsidRPr="005B1CCB">
        <w:t>OPTIMISING THE ASSAY FOR USE WITH CLINICAL SAMPLES</w:t>
      </w:r>
      <w:bookmarkEnd w:id="192"/>
    </w:p>
    <w:p w14:paraId="1710871D" w14:textId="26117163" w:rsidR="0021167F" w:rsidRPr="005B1CCB" w:rsidRDefault="003261DF" w:rsidP="00C029E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C2434D" w:rsidRPr="005B1CCB">
        <w:rPr>
          <w:rFonts w:ascii="Palatino Linotype" w:hAnsi="Palatino Linotype"/>
          <w:sz w:val="24"/>
          <w:szCs w:val="24"/>
        </w:rPr>
        <w:t>The design and characterisation of an electrochemical biosensor system has been reported so far</w:t>
      </w:r>
      <w:r w:rsidR="00B60C98" w:rsidRPr="005B1CCB">
        <w:rPr>
          <w:rFonts w:ascii="Palatino Linotype" w:hAnsi="Palatino Linotype"/>
          <w:sz w:val="24"/>
          <w:szCs w:val="24"/>
        </w:rPr>
        <w:t xml:space="preserve"> using standard solutions and cell lines carrying KRAS mutant DNA sequences</w:t>
      </w:r>
      <w:r w:rsidR="00C2434D" w:rsidRPr="005B1CCB">
        <w:rPr>
          <w:rFonts w:ascii="Palatino Linotype" w:hAnsi="Palatino Linotype"/>
          <w:sz w:val="24"/>
          <w:szCs w:val="24"/>
        </w:rPr>
        <w:t xml:space="preserve">. </w:t>
      </w:r>
      <w:r w:rsidR="00C029ED" w:rsidRPr="005B1CCB">
        <w:rPr>
          <w:rFonts w:ascii="Palatino Linotype" w:hAnsi="Palatino Linotype"/>
          <w:sz w:val="24"/>
          <w:szCs w:val="24"/>
        </w:rPr>
        <w:t>To conclude on the efficiency, sensitivity and specificity of the developed ctDNA array, a</w:t>
      </w:r>
      <w:r w:rsidR="00884BFC" w:rsidRPr="005B1CCB">
        <w:rPr>
          <w:rFonts w:ascii="Palatino Linotype" w:hAnsi="Palatino Linotype"/>
          <w:sz w:val="24"/>
          <w:szCs w:val="24"/>
        </w:rPr>
        <w:t xml:space="preserve">n investigation </w:t>
      </w:r>
      <w:r w:rsidR="006A14B2" w:rsidRPr="005B1CCB">
        <w:rPr>
          <w:rFonts w:ascii="Palatino Linotype" w:hAnsi="Palatino Linotype"/>
          <w:sz w:val="24"/>
          <w:szCs w:val="24"/>
        </w:rPr>
        <w:t>involving</w:t>
      </w:r>
      <w:r w:rsidR="00884BFC" w:rsidRPr="005B1CCB">
        <w:rPr>
          <w:rFonts w:ascii="Palatino Linotype" w:hAnsi="Palatino Linotype"/>
          <w:sz w:val="24"/>
          <w:szCs w:val="24"/>
        </w:rPr>
        <w:t xml:space="preserve"> </w:t>
      </w:r>
      <w:r w:rsidR="00C029ED" w:rsidRPr="005B1CCB">
        <w:rPr>
          <w:rFonts w:ascii="Palatino Linotype" w:hAnsi="Palatino Linotype"/>
          <w:sz w:val="24"/>
          <w:szCs w:val="24"/>
        </w:rPr>
        <w:t>different patient plasma and extracted DNA samples was carried out</w:t>
      </w:r>
      <w:r w:rsidR="002C75B2" w:rsidRPr="005B1CCB">
        <w:rPr>
          <w:rFonts w:ascii="Palatino Linotype" w:hAnsi="Palatino Linotype"/>
          <w:sz w:val="24"/>
          <w:szCs w:val="24"/>
        </w:rPr>
        <w:t xml:space="preserve"> to test for KRAS </w:t>
      </w:r>
      <w:r w:rsidR="00C2434D" w:rsidRPr="005B1CCB">
        <w:rPr>
          <w:rFonts w:ascii="Palatino Linotype" w:hAnsi="Palatino Linotype"/>
          <w:sz w:val="24"/>
          <w:szCs w:val="24"/>
        </w:rPr>
        <w:t>p</w:t>
      </w:r>
      <w:r w:rsidR="002C75B2" w:rsidRPr="005B1CCB">
        <w:rPr>
          <w:rFonts w:ascii="Palatino Linotype" w:hAnsi="Palatino Linotype"/>
          <w:sz w:val="24"/>
          <w:szCs w:val="24"/>
        </w:rPr>
        <w:t xml:space="preserve">G12D and KRAS </w:t>
      </w:r>
      <w:r w:rsidR="00C2434D" w:rsidRPr="005B1CCB">
        <w:rPr>
          <w:rFonts w:ascii="Palatino Linotype" w:hAnsi="Palatino Linotype"/>
          <w:sz w:val="24"/>
          <w:szCs w:val="24"/>
        </w:rPr>
        <w:t>p</w:t>
      </w:r>
      <w:r w:rsidR="002C75B2" w:rsidRPr="005B1CCB">
        <w:rPr>
          <w:rFonts w:ascii="Palatino Linotype" w:hAnsi="Palatino Linotype"/>
          <w:sz w:val="24"/>
          <w:szCs w:val="24"/>
        </w:rPr>
        <w:t>G13D mutations</w:t>
      </w:r>
      <w:r w:rsidR="006A14B2" w:rsidRPr="005B1CCB">
        <w:rPr>
          <w:rFonts w:ascii="Palatino Linotype" w:hAnsi="Palatino Linotype"/>
          <w:sz w:val="24"/>
          <w:szCs w:val="24"/>
        </w:rPr>
        <w:t xml:space="preserve"> in real complex sample types </w:t>
      </w:r>
      <w:r w:rsidR="006A14B2" w:rsidRPr="00572868">
        <w:rPr>
          <w:rFonts w:ascii="Palatino Linotype" w:hAnsi="Palatino Linotype"/>
          <w:sz w:val="24"/>
          <w:szCs w:val="24"/>
        </w:rPr>
        <w:t>where detection sensitivity and specificity would be most compromised by biological fouling of the surface and interactions with wild-type DNA</w:t>
      </w:r>
      <w:r w:rsidR="006A14B2" w:rsidRPr="005B1CCB">
        <w:rPr>
          <w:rFonts w:ascii="Palatino Linotype" w:hAnsi="Palatino Linotype"/>
          <w:sz w:val="24"/>
          <w:szCs w:val="24"/>
        </w:rPr>
        <w:t>. These investigations involved</w:t>
      </w:r>
      <w:r w:rsidR="002C75B2" w:rsidRPr="005B1CCB">
        <w:rPr>
          <w:rFonts w:ascii="Palatino Linotype" w:hAnsi="Palatino Linotype"/>
          <w:sz w:val="24"/>
          <w:szCs w:val="24"/>
        </w:rPr>
        <w:t xml:space="preserve"> </w:t>
      </w:r>
      <w:r w:rsidR="00924F22" w:rsidRPr="005B1CCB">
        <w:rPr>
          <w:rFonts w:ascii="Palatino Linotype" w:hAnsi="Palatino Linotype"/>
          <w:sz w:val="24"/>
          <w:szCs w:val="24"/>
        </w:rPr>
        <w:t>multi-SPCE, multi-CNT-modified SPCE and single CNT-modified SPCE</w:t>
      </w:r>
      <w:r w:rsidR="00EA03E6" w:rsidRPr="005B1CCB">
        <w:rPr>
          <w:rFonts w:ascii="Palatino Linotype" w:hAnsi="Palatino Linotype"/>
          <w:sz w:val="24"/>
          <w:szCs w:val="24"/>
        </w:rPr>
        <w:t xml:space="preserve"> </w:t>
      </w:r>
      <w:r w:rsidR="00B52B41" w:rsidRPr="005B1CCB">
        <w:rPr>
          <w:rFonts w:ascii="Palatino Linotype" w:hAnsi="Palatino Linotype"/>
          <w:sz w:val="24"/>
          <w:szCs w:val="24"/>
        </w:rPr>
        <w:t>because the different carbon surfaces and electron transfer rates/surface areas offered by these substrates may result in additional sensitivity, which could be critical when moving into more complex sample types</w:t>
      </w:r>
      <w:r w:rsidR="003074D1" w:rsidRPr="005B1CCB">
        <w:rPr>
          <w:rFonts w:ascii="Palatino Linotype" w:hAnsi="Palatino Linotype"/>
          <w:sz w:val="24"/>
          <w:szCs w:val="24"/>
        </w:rPr>
        <w:t xml:space="preserve">. </w:t>
      </w:r>
      <w:r w:rsidR="00FE4EEE" w:rsidRPr="00FE4EEE">
        <w:rPr>
          <w:rFonts w:ascii="Palatino Linotype" w:hAnsi="Palatino Linotype"/>
          <w:sz w:val="24"/>
          <w:szCs w:val="24"/>
        </w:rPr>
        <w:t xml:space="preserve">The standard deviation </w:t>
      </w:r>
      <w:r w:rsidR="00FE4EEE">
        <w:rPr>
          <w:rFonts w:ascii="Palatino Linotype" w:hAnsi="Palatino Linotype"/>
          <w:sz w:val="24"/>
          <w:szCs w:val="24"/>
        </w:rPr>
        <w:t xml:space="preserve">observed in the graphical illustrations </w:t>
      </w:r>
      <w:r w:rsidR="00FE4EEE" w:rsidRPr="00FE4EEE">
        <w:rPr>
          <w:rFonts w:ascii="Palatino Linotype" w:hAnsi="Palatino Linotype"/>
          <w:sz w:val="24"/>
          <w:szCs w:val="24"/>
        </w:rPr>
        <w:t xml:space="preserve">reflect the variation obtained from the experimental replicas.  </w:t>
      </w:r>
      <w:r w:rsidR="00924F22" w:rsidRPr="005B1CCB">
        <w:rPr>
          <w:rFonts w:ascii="Palatino Linotype" w:hAnsi="Palatino Linotype"/>
          <w:sz w:val="24"/>
          <w:szCs w:val="24"/>
        </w:rPr>
        <w:t xml:space="preserve"> Both amplified and non-amplified samples were tested using complementary and non-complementary oligonucleotide DNA probe sequences</w:t>
      </w:r>
      <w:r w:rsidR="003A31C1" w:rsidRPr="005B1CCB">
        <w:rPr>
          <w:rFonts w:ascii="Palatino Linotype" w:hAnsi="Palatino Linotype"/>
          <w:sz w:val="24"/>
          <w:szCs w:val="24"/>
        </w:rPr>
        <w:t xml:space="preserve"> immobilised onto the three different sensor types</w:t>
      </w:r>
      <w:r w:rsidR="00924F22" w:rsidRPr="005B1CCB">
        <w:rPr>
          <w:rFonts w:ascii="Palatino Linotype" w:hAnsi="Palatino Linotype"/>
          <w:sz w:val="24"/>
          <w:szCs w:val="24"/>
        </w:rPr>
        <w:t xml:space="preserve">. </w:t>
      </w:r>
      <w:r w:rsidR="002C75B2" w:rsidRPr="00572868">
        <w:rPr>
          <w:rFonts w:ascii="Palatino Linotype" w:hAnsi="Palatino Linotype"/>
          <w:sz w:val="24"/>
          <w:szCs w:val="24"/>
        </w:rPr>
        <w:t xml:space="preserve">ddPCR was simultaneously used to test for the presence of these mutations in </w:t>
      </w:r>
      <w:r w:rsidR="00924F22" w:rsidRPr="00572868">
        <w:rPr>
          <w:rFonts w:ascii="Palatino Linotype" w:hAnsi="Palatino Linotype"/>
          <w:sz w:val="24"/>
          <w:szCs w:val="24"/>
        </w:rPr>
        <w:t xml:space="preserve">all </w:t>
      </w:r>
      <w:r w:rsidR="002C75B2" w:rsidRPr="00572868">
        <w:rPr>
          <w:rFonts w:ascii="Palatino Linotype" w:hAnsi="Palatino Linotype"/>
          <w:sz w:val="24"/>
          <w:szCs w:val="24"/>
        </w:rPr>
        <w:t>eight patient samples</w:t>
      </w:r>
      <w:r w:rsidR="00924F22" w:rsidRPr="00572868">
        <w:rPr>
          <w:rFonts w:ascii="Palatino Linotype" w:hAnsi="Palatino Linotype"/>
          <w:sz w:val="24"/>
          <w:szCs w:val="24"/>
        </w:rPr>
        <w:t xml:space="preserve"> </w:t>
      </w:r>
      <w:r w:rsidR="00DF2F1A" w:rsidRPr="00572868">
        <w:rPr>
          <w:rFonts w:ascii="Palatino Linotype" w:hAnsi="Palatino Linotype"/>
          <w:sz w:val="24"/>
          <w:szCs w:val="24"/>
        </w:rPr>
        <w:t>and used</w:t>
      </w:r>
      <w:r w:rsidR="00924F22" w:rsidRPr="00572868">
        <w:rPr>
          <w:rFonts w:ascii="Palatino Linotype" w:hAnsi="Palatino Linotype"/>
          <w:sz w:val="24"/>
          <w:szCs w:val="24"/>
        </w:rPr>
        <w:t xml:space="preserve"> as a comparison guide for the efficiency of the developed ctDNA array</w:t>
      </w:r>
      <w:r w:rsidR="002C75B2" w:rsidRPr="005B1CCB">
        <w:rPr>
          <w:rFonts w:ascii="Palatino Linotype" w:hAnsi="Palatino Linotype"/>
          <w:sz w:val="24"/>
          <w:szCs w:val="24"/>
        </w:rPr>
        <w:t>.</w:t>
      </w:r>
    </w:p>
    <w:p w14:paraId="2E401B08" w14:textId="77777777" w:rsidR="00FE4EEE" w:rsidRPr="005B1CCB" w:rsidRDefault="00FE4EEE" w:rsidP="00C029ED">
      <w:pPr>
        <w:spacing w:line="360" w:lineRule="auto"/>
        <w:jc w:val="both"/>
        <w:rPr>
          <w:rFonts w:ascii="Palatino Linotype" w:hAnsi="Palatino Linotype"/>
          <w:sz w:val="24"/>
          <w:szCs w:val="24"/>
        </w:rPr>
      </w:pPr>
    </w:p>
    <w:p w14:paraId="03C7DBF1" w14:textId="77777777" w:rsidR="004342B5" w:rsidRPr="005B1CCB" w:rsidRDefault="00F127B3" w:rsidP="00F127B3">
      <w:pPr>
        <w:pStyle w:val="Heading2"/>
      </w:pPr>
      <w:bookmarkStart w:id="193" w:name="_Toc84528140"/>
      <w:r w:rsidRPr="005B1CCB">
        <w:t>Methods</w:t>
      </w:r>
      <w:bookmarkEnd w:id="193"/>
    </w:p>
    <w:p w14:paraId="254D6905" w14:textId="77777777" w:rsidR="00CC519F" w:rsidRPr="005B1CCB" w:rsidRDefault="00F94792" w:rsidP="00441004">
      <w:pPr>
        <w:pStyle w:val="Heading3"/>
      </w:pPr>
      <w:bookmarkStart w:id="194" w:name="_Toc84528141"/>
      <w:r w:rsidRPr="005B1CCB">
        <w:t>Analysing p</w:t>
      </w:r>
      <w:r w:rsidR="00CC519F" w:rsidRPr="005B1CCB">
        <w:t>atient plasma samples</w:t>
      </w:r>
      <w:bookmarkEnd w:id="194"/>
      <w:r w:rsidR="00CC519F" w:rsidRPr="005B1CCB">
        <w:t xml:space="preserve"> </w:t>
      </w:r>
    </w:p>
    <w:p w14:paraId="25C2AEB3" w14:textId="77777777" w:rsidR="00852A53" w:rsidRPr="005B1CCB" w:rsidRDefault="00146DEC" w:rsidP="00626842">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1C076C" w:rsidRPr="005B1CCB">
        <w:rPr>
          <w:rFonts w:ascii="Palatino Linotype" w:hAnsi="Palatino Linotype"/>
          <w:sz w:val="24"/>
          <w:szCs w:val="24"/>
        </w:rPr>
        <w:t>Eight</w:t>
      </w:r>
      <w:r w:rsidR="00852A53" w:rsidRPr="005B1CCB">
        <w:rPr>
          <w:rFonts w:ascii="Palatino Linotype" w:hAnsi="Palatino Linotype"/>
          <w:sz w:val="24"/>
          <w:szCs w:val="24"/>
        </w:rPr>
        <w:t xml:space="preserve"> plasma samples</w:t>
      </w:r>
      <w:r w:rsidR="00FF7814" w:rsidRPr="005B1CCB">
        <w:rPr>
          <w:rFonts w:ascii="Palatino Linotype" w:hAnsi="Palatino Linotype"/>
          <w:sz w:val="24"/>
          <w:szCs w:val="24"/>
        </w:rPr>
        <w:t xml:space="preserve"> (</w:t>
      </w:r>
      <w:r w:rsidR="0064510A" w:rsidRPr="005B1CCB">
        <w:rPr>
          <w:rFonts w:ascii="Palatino Linotype" w:hAnsi="Palatino Linotype"/>
          <w:sz w:val="24"/>
          <w:szCs w:val="24"/>
        </w:rPr>
        <w:t>F</w:t>
      </w:r>
      <w:r w:rsidR="00FF7814" w:rsidRPr="005B1CCB">
        <w:rPr>
          <w:rFonts w:ascii="Palatino Linotype" w:hAnsi="Palatino Linotype"/>
          <w:sz w:val="24"/>
          <w:szCs w:val="24"/>
        </w:rPr>
        <w:t xml:space="preserve">igure </w:t>
      </w:r>
      <w:r w:rsidR="00235330" w:rsidRPr="005B1CCB">
        <w:rPr>
          <w:rFonts w:ascii="Palatino Linotype" w:hAnsi="Palatino Linotype"/>
          <w:sz w:val="24"/>
          <w:szCs w:val="24"/>
        </w:rPr>
        <w:t>5</w:t>
      </w:r>
      <w:r w:rsidR="00251094" w:rsidRPr="005B1CCB">
        <w:rPr>
          <w:rFonts w:ascii="Palatino Linotype" w:hAnsi="Palatino Linotype"/>
          <w:sz w:val="24"/>
          <w:szCs w:val="24"/>
        </w:rPr>
        <w:t>3</w:t>
      </w:r>
      <w:r w:rsidR="00FF7814" w:rsidRPr="005B1CCB">
        <w:rPr>
          <w:rFonts w:ascii="Palatino Linotype" w:hAnsi="Palatino Linotype"/>
          <w:sz w:val="24"/>
          <w:szCs w:val="24"/>
        </w:rPr>
        <w:t>)</w:t>
      </w:r>
      <w:r w:rsidR="00852A53" w:rsidRPr="005B1CCB">
        <w:rPr>
          <w:rFonts w:ascii="Palatino Linotype" w:hAnsi="Palatino Linotype"/>
          <w:sz w:val="24"/>
          <w:szCs w:val="24"/>
        </w:rPr>
        <w:t xml:space="preserve"> labelled 413, 428, 437, 438, 440, 459, 466, and 481 were blindly collected from individual patients and investigated for </w:t>
      </w:r>
      <w:r w:rsidR="00121211" w:rsidRPr="005B1CCB">
        <w:rPr>
          <w:rFonts w:ascii="Palatino Linotype" w:hAnsi="Palatino Linotype"/>
          <w:sz w:val="24"/>
          <w:szCs w:val="24"/>
        </w:rPr>
        <w:t>both</w:t>
      </w:r>
      <w:r w:rsidR="00852A53" w:rsidRPr="005B1CCB">
        <w:rPr>
          <w:rFonts w:ascii="Palatino Linotype" w:hAnsi="Palatino Linotype"/>
          <w:sz w:val="24"/>
          <w:szCs w:val="24"/>
        </w:rPr>
        <w:t xml:space="preserve"> the KRAS </w:t>
      </w:r>
      <w:r w:rsidR="00545DE9" w:rsidRPr="005B1CCB">
        <w:rPr>
          <w:rFonts w:ascii="Palatino Linotype" w:hAnsi="Palatino Linotype"/>
          <w:sz w:val="24"/>
          <w:szCs w:val="24"/>
        </w:rPr>
        <w:t>p</w:t>
      </w:r>
      <w:r w:rsidR="00852A53" w:rsidRPr="005B1CCB">
        <w:rPr>
          <w:rFonts w:ascii="Palatino Linotype" w:hAnsi="Palatino Linotype"/>
          <w:sz w:val="24"/>
          <w:szCs w:val="24"/>
        </w:rPr>
        <w:t xml:space="preserve">G12D </w:t>
      </w:r>
      <w:r w:rsidR="00121211" w:rsidRPr="005B1CCB">
        <w:rPr>
          <w:rFonts w:ascii="Palatino Linotype" w:hAnsi="Palatino Linotype"/>
          <w:sz w:val="24"/>
          <w:szCs w:val="24"/>
        </w:rPr>
        <w:t>and</w:t>
      </w:r>
      <w:r w:rsidR="00852A53" w:rsidRPr="005B1CCB">
        <w:rPr>
          <w:rFonts w:ascii="Palatino Linotype" w:hAnsi="Palatino Linotype"/>
          <w:sz w:val="24"/>
          <w:szCs w:val="24"/>
        </w:rPr>
        <w:t xml:space="preserve"> </w:t>
      </w:r>
      <w:r w:rsidR="00545DE9" w:rsidRPr="005B1CCB">
        <w:rPr>
          <w:rFonts w:ascii="Palatino Linotype" w:hAnsi="Palatino Linotype"/>
          <w:sz w:val="24"/>
          <w:szCs w:val="24"/>
        </w:rPr>
        <w:t>p</w:t>
      </w:r>
      <w:r w:rsidR="00852A53" w:rsidRPr="005B1CCB">
        <w:rPr>
          <w:rFonts w:ascii="Palatino Linotype" w:hAnsi="Palatino Linotype"/>
          <w:sz w:val="24"/>
          <w:szCs w:val="24"/>
        </w:rPr>
        <w:t>G13D mutations.</w:t>
      </w:r>
      <w:r w:rsidR="00016D57" w:rsidRPr="005B1CCB">
        <w:rPr>
          <w:rFonts w:ascii="Palatino Linotype" w:hAnsi="Palatino Linotype"/>
          <w:sz w:val="24"/>
          <w:szCs w:val="24"/>
        </w:rPr>
        <w:t xml:space="preserve"> </w:t>
      </w:r>
      <w:r w:rsidR="00C31166" w:rsidRPr="005B1CCB">
        <w:rPr>
          <w:rFonts w:ascii="Palatino Linotype" w:hAnsi="Palatino Linotype"/>
          <w:sz w:val="24"/>
          <w:szCs w:val="24"/>
        </w:rPr>
        <w:t xml:space="preserve">Multi </w:t>
      </w:r>
      <w:r w:rsidR="00FA0246" w:rsidRPr="005B1CCB">
        <w:rPr>
          <w:rFonts w:ascii="Palatino Linotype" w:hAnsi="Palatino Linotype"/>
          <w:sz w:val="24"/>
          <w:szCs w:val="24"/>
        </w:rPr>
        <w:t>CNT-modified SPCEs were used f</w:t>
      </w:r>
      <w:r w:rsidR="00510FF9" w:rsidRPr="005B1CCB">
        <w:rPr>
          <w:rFonts w:ascii="Palatino Linotype" w:hAnsi="Palatino Linotype"/>
          <w:sz w:val="24"/>
          <w:szCs w:val="24"/>
        </w:rPr>
        <w:t xml:space="preserve">or DNA hybridisation technique, </w:t>
      </w:r>
      <w:r w:rsidR="00FA0246" w:rsidRPr="005B1CCB">
        <w:rPr>
          <w:rFonts w:ascii="Palatino Linotype" w:hAnsi="Palatino Linotype"/>
          <w:sz w:val="24"/>
          <w:szCs w:val="24"/>
        </w:rPr>
        <w:t xml:space="preserve">and </w:t>
      </w:r>
      <w:r w:rsidR="00510FF9" w:rsidRPr="005B1CCB">
        <w:rPr>
          <w:rFonts w:ascii="Palatino Linotype" w:hAnsi="Palatino Linotype"/>
          <w:sz w:val="24"/>
          <w:szCs w:val="24"/>
        </w:rPr>
        <w:t>previous</w:t>
      </w:r>
      <w:r w:rsidR="00FA0246" w:rsidRPr="005B1CCB">
        <w:rPr>
          <w:rFonts w:ascii="Palatino Linotype" w:hAnsi="Palatino Linotype"/>
          <w:sz w:val="24"/>
          <w:szCs w:val="24"/>
        </w:rPr>
        <w:t>ly stated</w:t>
      </w:r>
      <w:r w:rsidR="00510FF9" w:rsidRPr="005B1CCB">
        <w:rPr>
          <w:rFonts w:ascii="Palatino Linotype" w:hAnsi="Palatino Linotype"/>
          <w:sz w:val="24"/>
          <w:szCs w:val="24"/>
        </w:rPr>
        <w:t xml:space="preserve"> </w:t>
      </w:r>
      <w:r w:rsidR="001A166E" w:rsidRPr="005B1CCB">
        <w:rPr>
          <w:rFonts w:ascii="Palatino Linotype" w:hAnsi="Palatino Linotype"/>
          <w:sz w:val="24"/>
          <w:szCs w:val="24"/>
        </w:rPr>
        <w:t xml:space="preserve">immobilisation </w:t>
      </w:r>
      <w:r w:rsidR="00510FF9" w:rsidRPr="005B1CCB">
        <w:rPr>
          <w:rFonts w:ascii="Palatino Linotype" w:hAnsi="Palatino Linotype"/>
          <w:sz w:val="24"/>
          <w:szCs w:val="24"/>
        </w:rPr>
        <w:t>protocols were employed for each sa</w:t>
      </w:r>
      <w:r w:rsidR="00FA0246" w:rsidRPr="005B1CCB">
        <w:rPr>
          <w:rFonts w:ascii="Palatino Linotype" w:hAnsi="Palatino Linotype"/>
          <w:sz w:val="24"/>
          <w:szCs w:val="24"/>
        </w:rPr>
        <w:t xml:space="preserve">mple. </w:t>
      </w:r>
      <w:r w:rsidR="007E4F70" w:rsidRPr="005B1CCB">
        <w:rPr>
          <w:rFonts w:ascii="Palatino Linotype" w:hAnsi="Palatino Linotype"/>
          <w:sz w:val="24"/>
          <w:szCs w:val="24"/>
          <w:lang w:bidi="en-US"/>
        </w:rPr>
        <w:t>All amplicons were denatured at 95</w:t>
      </w:r>
      <w:r w:rsidR="007E4F70" w:rsidRPr="005B1CCB">
        <w:rPr>
          <w:rFonts w:ascii="Palatino Linotype" w:hAnsi="Palatino Linotype"/>
          <w:sz w:val="24"/>
          <w:szCs w:val="24"/>
          <w:vertAlign w:val="superscript"/>
          <w:lang w:bidi="en-US"/>
        </w:rPr>
        <w:t>O</w:t>
      </w:r>
      <w:r w:rsidR="007E4F70" w:rsidRPr="005B1CCB">
        <w:rPr>
          <w:rFonts w:ascii="Palatino Linotype" w:hAnsi="Palatino Linotype"/>
          <w:sz w:val="24"/>
          <w:szCs w:val="24"/>
          <w:lang w:bidi="en-US"/>
        </w:rPr>
        <w:t xml:space="preserve"> for 5 minutes prior to immobilisation and </w:t>
      </w:r>
      <w:r w:rsidR="00C31166" w:rsidRPr="005B1CCB">
        <w:rPr>
          <w:rFonts w:ascii="Palatino Linotype" w:hAnsi="Palatino Linotype"/>
          <w:sz w:val="24"/>
          <w:szCs w:val="24"/>
        </w:rPr>
        <w:t>Ferri-ferrocyanide buffer (1 µM) was used to characterise the sensor surface</w:t>
      </w:r>
      <w:r w:rsidR="007E4F70" w:rsidRPr="005B1CCB">
        <w:rPr>
          <w:rFonts w:ascii="Palatino Linotype" w:hAnsi="Palatino Linotype"/>
          <w:sz w:val="24"/>
          <w:szCs w:val="24"/>
        </w:rPr>
        <w:t xml:space="preserve"> pre and post-h</w:t>
      </w:r>
      <w:r w:rsidR="0073152E">
        <w:rPr>
          <w:rFonts w:ascii="Palatino Linotype" w:hAnsi="Palatino Linotype"/>
          <w:sz w:val="24"/>
          <w:szCs w:val="24"/>
        </w:rPr>
        <w:t>y</w:t>
      </w:r>
      <w:r w:rsidR="007E4F70" w:rsidRPr="005B1CCB">
        <w:rPr>
          <w:rFonts w:ascii="Palatino Linotype" w:hAnsi="Palatino Linotype"/>
          <w:sz w:val="24"/>
          <w:szCs w:val="24"/>
        </w:rPr>
        <w:t>bridisation</w:t>
      </w:r>
      <w:r w:rsidR="00C31166" w:rsidRPr="005B1CCB">
        <w:rPr>
          <w:rFonts w:ascii="Palatino Linotype" w:hAnsi="Palatino Linotype"/>
          <w:sz w:val="24"/>
          <w:szCs w:val="24"/>
        </w:rPr>
        <w:t xml:space="preserve">. </w:t>
      </w:r>
      <w:r w:rsidR="00FA0246" w:rsidRPr="005B1CCB">
        <w:rPr>
          <w:rFonts w:ascii="Palatino Linotype" w:hAnsi="Palatino Linotype"/>
          <w:sz w:val="24"/>
          <w:szCs w:val="24"/>
        </w:rPr>
        <w:t>A</w:t>
      </w:r>
      <w:r w:rsidR="00510FF9" w:rsidRPr="005B1CCB">
        <w:rPr>
          <w:rFonts w:ascii="Palatino Linotype" w:hAnsi="Palatino Linotype"/>
          <w:sz w:val="24"/>
          <w:szCs w:val="24"/>
        </w:rPr>
        <w:t xml:space="preserve">mplification was carried out using </w:t>
      </w:r>
      <w:r w:rsidR="001C076C" w:rsidRPr="005B1CCB">
        <w:rPr>
          <w:rFonts w:ascii="Palatino Linotype" w:hAnsi="Palatino Linotype"/>
          <w:sz w:val="24"/>
          <w:szCs w:val="24"/>
        </w:rPr>
        <w:t xml:space="preserve">a </w:t>
      </w:r>
      <w:r w:rsidR="00510FF9" w:rsidRPr="005B1CCB">
        <w:rPr>
          <w:rFonts w:ascii="Palatino Linotype" w:hAnsi="Palatino Linotype"/>
          <w:sz w:val="24"/>
          <w:szCs w:val="24"/>
        </w:rPr>
        <w:t>phusion PCR</w:t>
      </w:r>
      <w:r w:rsidR="001C076C" w:rsidRPr="005B1CCB">
        <w:rPr>
          <w:rFonts w:ascii="Palatino Linotype" w:hAnsi="Palatino Linotype"/>
          <w:sz w:val="24"/>
          <w:szCs w:val="24"/>
        </w:rPr>
        <w:t xml:space="preserve"> kit</w:t>
      </w:r>
      <w:r w:rsidR="00FA0246" w:rsidRPr="005B1CCB">
        <w:rPr>
          <w:rFonts w:ascii="Palatino Linotype" w:hAnsi="Palatino Linotype"/>
          <w:sz w:val="24"/>
          <w:szCs w:val="24"/>
        </w:rPr>
        <w:t xml:space="preserve"> and o</w:t>
      </w:r>
      <w:r w:rsidR="00F45346" w:rsidRPr="005B1CCB">
        <w:rPr>
          <w:rFonts w:ascii="Palatino Linotype" w:hAnsi="Palatino Linotype"/>
          <w:sz w:val="24"/>
          <w:szCs w:val="24"/>
        </w:rPr>
        <w:t>ne</w:t>
      </w:r>
      <w:r w:rsidR="00545DE9" w:rsidRPr="005B1CCB">
        <w:rPr>
          <w:rFonts w:ascii="Palatino Linotype" w:hAnsi="Palatino Linotype"/>
          <w:sz w:val="24"/>
          <w:szCs w:val="24"/>
        </w:rPr>
        <w:t xml:space="preserve"> amplification reaction designed specifically for wild-type KRAS</w:t>
      </w:r>
      <w:r w:rsidR="00F45346" w:rsidRPr="005B1CCB">
        <w:rPr>
          <w:rFonts w:ascii="Palatino Linotype" w:hAnsi="Palatino Linotype"/>
          <w:sz w:val="24"/>
          <w:szCs w:val="24"/>
        </w:rPr>
        <w:t xml:space="preserve"> was</w:t>
      </w:r>
      <w:r w:rsidR="00545DE9" w:rsidRPr="005B1CCB">
        <w:rPr>
          <w:rFonts w:ascii="Palatino Linotype" w:hAnsi="Palatino Linotype"/>
          <w:sz w:val="24"/>
          <w:szCs w:val="24"/>
        </w:rPr>
        <w:t xml:space="preserve"> implemented. </w:t>
      </w:r>
      <w:r w:rsidR="00C31166" w:rsidRPr="005B1CCB">
        <w:rPr>
          <w:rFonts w:ascii="Palatino Linotype" w:hAnsi="Palatino Linotype"/>
          <w:sz w:val="24"/>
          <w:szCs w:val="24"/>
        </w:rPr>
        <w:t xml:space="preserve">Before and after amplification, the quantity of dsDNA in each sample was measured using the Qubit 4 fluorometer and is shown in Table 12. </w:t>
      </w:r>
      <w:r w:rsidR="00FA0246" w:rsidRPr="005B1CCB">
        <w:rPr>
          <w:rFonts w:ascii="Palatino Linotype" w:hAnsi="Palatino Linotype"/>
          <w:sz w:val="24"/>
          <w:szCs w:val="24"/>
        </w:rPr>
        <w:t xml:space="preserve">Unless specifically stated, all the reported steps and measurements were carried out at room temperature. </w:t>
      </w:r>
    </w:p>
    <w:p w14:paraId="38B4C040" w14:textId="77777777" w:rsidR="00865FB9" w:rsidRPr="005B1CCB" w:rsidRDefault="009D4C0D" w:rsidP="00865FB9">
      <w:pPr>
        <w:keepNext/>
        <w:jc w:val="center"/>
      </w:pPr>
      <w:r w:rsidRPr="005B1CCB">
        <w:rPr>
          <w:noProof/>
          <w:lang w:eastAsia="en-GB"/>
        </w:rPr>
        <w:drawing>
          <wp:inline distT="0" distB="0" distL="0" distR="0" wp14:anchorId="7E9DD1C2" wp14:editId="07850C1F">
            <wp:extent cx="4715838" cy="1838280"/>
            <wp:effectExtent l="0" t="0" r="0" b="0"/>
            <wp:docPr id="68" name="Picture 68" descr="C:\Users\cdt\Downloads\20210615_0943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dt\Downloads\20210615_094321 (1).jpg"/>
                    <pic:cNvPicPr>
                      <a:picLocks noChangeAspect="1" noChangeArrowheads="1"/>
                    </pic:cNvPicPr>
                  </pic:nvPicPr>
                  <pic:blipFill rotWithShape="1">
                    <a:blip r:embed="rId72">
                      <a:extLst>
                        <a:ext uri="{28A0092B-C50C-407E-A947-70E740481C1C}">
                          <a14:useLocalDpi xmlns:a14="http://schemas.microsoft.com/office/drawing/2010/main" val="0"/>
                        </a:ext>
                      </a:extLst>
                    </a:blip>
                    <a:srcRect r="6596" b="9393"/>
                    <a:stretch/>
                  </pic:blipFill>
                  <pic:spPr bwMode="auto">
                    <a:xfrm>
                      <a:off x="0" y="0"/>
                      <a:ext cx="4733484" cy="1845159"/>
                    </a:xfrm>
                    <a:prstGeom prst="rect">
                      <a:avLst/>
                    </a:prstGeom>
                    <a:noFill/>
                    <a:ln>
                      <a:noFill/>
                    </a:ln>
                    <a:extLst>
                      <a:ext uri="{53640926-AAD7-44D8-BBD7-CCE9431645EC}">
                        <a14:shadowObscured xmlns:a14="http://schemas.microsoft.com/office/drawing/2010/main"/>
                      </a:ext>
                    </a:extLst>
                  </pic:spPr>
                </pic:pic>
              </a:graphicData>
            </a:graphic>
          </wp:inline>
        </w:drawing>
      </w:r>
    </w:p>
    <w:p w14:paraId="09402C13" w14:textId="77777777" w:rsidR="009D4C0D" w:rsidRPr="005B1CCB" w:rsidRDefault="00865FB9" w:rsidP="00865FB9">
      <w:pPr>
        <w:pStyle w:val="Caption"/>
        <w:jc w:val="center"/>
        <w:rPr>
          <w:sz w:val="22"/>
          <w:szCs w:val="22"/>
        </w:rPr>
      </w:pPr>
      <w:bookmarkStart w:id="195" w:name="_Toc84519648"/>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53</w:t>
      </w:r>
      <w:r w:rsidRPr="005B1CCB">
        <w:rPr>
          <w:sz w:val="22"/>
          <w:szCs w:val="22"/>
        </w:rPr>
        <w:fldChar w:fldCharType="end"/>
      </w:r>
      <w:r w:rsidRPr="005B1CCB">
        <w:rPr>
          <w:sz w:val="22"/>
          <w:szCs w:val="22"/>
        </w:rPr>
        <w:t>:</w:t>
      </w:r>
      <w:r w:rsidRPr="005B1CCB">
        <w:t xml:space="preserve"> </w:t>
      </w:r>
      <w:r w:rsidR="00F57E68" w:rsidRPr="005B1CCB">
        <w:rPr>
          <w:sz w:val="22"/>
          <w:szCs w:val="22"/>
        </w:rPr>
        <w:t>Plasma samples from 8 blind patients to investigate the presence of pG12D and pG13D KRAS mutations</w:t>
      </w:r>
      <w:bookmarkEnd w:id="195"/>
    </w:p>
    <w:p w14:paraId="7DE779B0" w14:textId="77777777" w:rsidR="00251094" w:rsidRPr="005B1CCB" w:rsidRDefault="00251094" w:rsidP="00251094"/>
    <w:p w14:paraId="34345C42" w14:textId="77777777" w:rsidR="00F94792" w:rsidRPr="005B1CCB" w:rsidRDefault="00F94792" w:rsidP="00441004">
      <w:pPr>
        <w:pStyle w:val="Heading3"/>
      </w:pPr>
      <w:bookmarkStart w:id="196" w:name="_Toc84528142"/>
      <w:r w:rsidRPr="005B1CCB">
        <w:t>Analysing patient cfDNA samples</w:t>
      </w:r>
      <w:bookmarkEnd w:id="196"/>
    </w:p>
    <w:p w14:paraId="57C42B9D" w14:textId="77777777" w:rsidR="00F94792" w:rsidRPr="005B1CCB" w:rsidRDefault="005A3415" w:rsidP="00BC7645">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F94792" w:rsidRPr="005B1CCB">
        <w:rPr>
          <w:rFonts w:ascii="Palatino Linotype" w:hAnsi="Palatino Linotype"/>
          <w:sz w:val="24"/>
          <w:szCs w:val="24"/>
          <w:lang w:bidi="en-US"/>
        </w:rPr>
        <w:t>cfDNA iso</w:t>
      </w:r>
      <w:r w:rsidR="001C076C" w:rsidRPr="005B1CCB">
        <w:rPr>
          <w:rFonts w:ascii="Palatino Linotype" w:hAnsi="Palatino Linotype"/>
          <w:sz w:val="24"/>
          <w:szCs w:val="24"/>
          <w:lang w:bidi="en-US"/>
        </w:rPr>
        <w:t>lation was carried out from 1 mL</w:t>
      </w:r>
      <w:r w:rsidR="00F94792" w:rsidRPr="005B1CCB">
        <w:rPr>
          <w:rFonts w:ascii="Palatino Linotype" w:hAnsi="Palatino Linotype"/>
          <w:sz w:val="24"/>
          <w:szCs w:val="24"/>
          <w:lang w:bidi="en-US"/>
        </w:rPr>
        <w:t xml:space="preserve"> of patients’ plasma samples</w:t>
      </w:r>
      <w:r w:rsidR="003C60F3" w:rsidRPr="005B1CCB">
        <w:rPr>
          <w:rFonts w:ascii="Palatino Linotype" w:hAnsi="Palatino Linotype"/>
          <w:sz w:val="24"/>
          <w:szCs w:val="24"/>
          <w:lang w:bidi="en-US"/>
        </w:rPr>
        <w:t xml:space="preserve"> and diluted as shown in Figure 5</w:t>
      </w:r>
      <w:r w:rsidR="00251094" w:rsidRPr="005B1CCB">
        <w:rPr>
          <w:rFonts w:ascii="Palatino Linotype" w:hAnsi="Palatino Linotype"/>
          <w:sz w:val="24"/>
          <w:szCs w:val="24"/>
          <w:lang w:bidi="en-US"/>
        </w:rPr>
        <w:t>4</w:t>
      </w:r>
      <w:r w:rsidR="00F94792" w:rsidRPr="005B1CCB">
        <w:rPr>
          <w:rFonts w:ascii="Palatino Linotype" w:hAnsi="Palatino Linotype"/>
          <w:sz w:val="24"/>
          <w:szCs w:val="24"/>
          <w:lang w:bidi="en-US"/>
        </w:rPr>
        <w:t xml:space="preserve">. To further compare the response of the CNT-modified SPCEs and the regular SPCEs, measurements of partial and fully complementary DNA were performed on both systems. </w:t>
      </w:r>
      <w:r w:rsidRPr="005B1CCB">
        <w:rPr>
          <w:rFonts w:ascii="Palatino Linotype" w:hAnsi="Palatino Linotype"/>
          <w:sz w:val="24"/>
          <w:szCs w:val="24"/>
          <w:lang w:bidi="en-US"/>
        </w:rPr>
        <w:t xml:space="preserve">For the DNA hybridisation technique, previous immobilisation protocols were employed for each sample and amplification was carried out using </w:t>
      </w:r>
      <w:r w:rsidR="00111E2C" w:rsidRPr="005B1CCB">
        <w:rPr>
          <w:rFonts w:ascii="Palatino Linotype" w:hAnsi="Palatino Linotype"/>
          <w:sz w:val="24"/>
          <w:szCs w:val="24"/>
          <w:lang w:bidi="en-US"/>
        </w:rPr>
        <w:t xml:space="preserve">a </w:t>
      </w:r>
      <w:r w:rsidRPr="005B1CCB">
        <w:rPr>
          <w:rFonts w:ascii="Palatino Linotype" w:hAnsi="Palatino Linotype"/>
          <w:sz w:val="24"/>
          <w:szCs w:val="24"/>
          <w:lang w:bidi="en-US"/>
        </w:rPr>
        <w:t>phusion PCR</w:t>
      </w:r>
      <w:r w:rsidR="00111E2C" w:rsidRPr="005B1CCB">
        <w:rPr>
          <w:rFonts w:ascii="Palatino Linotype" w:hAnsi="Palatino Linotype"/>
          <w:sz w:val="24"/>
          <w:szCs w:val="24"/>
          <w:lang w:bidi="en-US"/>
        </w:rPr>
        <w:t xml:space="preserve"> kit</w:t>
      </w:r>
      <w:r w:rsidRPr="005B1CCB">
        <w:rPr>
          <w:rFonts w:ascii="Palatino Linotype" w:hAnsi="Palatino Linotype"/>
          <w:sz w:val="24"/>
          <w:szCs w:val="24"/>
          <w:lang w:bidi="en-US"/>
        </w:rPr>
        <w:t xml:space="preserve">. </w:t>
      </w:r>
      <w:r w:rsidR="00BC7645" w:rsidRPr="005B1CCB">
        <w:rPr>
          <w:rFonts w:ascii="Palatino Linotype" w:hAnsi="Palatino Linotype"/>
          <w:sz w:val="24"/>
          <w:szCs w:val="24"/>
          <w:lang w:bidi="en-US"/>
        </w:rPr>
        <w:t>Two</w:t>
      </w:r>
      <w:r w:rsidRPr="005B1CCB">
        <w:rPr>
          <w:rFonts w:ascii="Palatino Linotype" w:hAnsi="Palatino Linotype"/>
          <w:sz w:val="24"/>
          <w:szCs w:val="24"/>
          <w:lang w:bidi="en-US"/>
        </w:rPr>
        <w:t xml:space="preserve"> amplification reactions designed specifically for </w:t>
      </w:r>
      <w:r w:rsidR="00D6207D" w:rsidRPr="005B1CCB">
        <w:rPr>
          <w:rFonts w:ascii="Palatino Linotype" w:hAnsi="Palatino Linotype"/>
          <w:sz w:val="24"/>
          <w:szCs w:val="24"/>
          <w:lang w:bidi="en-US"/>
        </w:rPr>
        <w:t xml:space="preserve">mutant </w:t>
      </w:r>
      <w:r w:rsidRPr="005B1CCB">
        <w:rPr>
          <w:rFonts w:ascii="Palatino Linotype" w:hAnsi="Palatino Linotype"/>
          <w:sz w:val="24"/>
          <w:szCs w:val="24"/>
          <w:lang w:bidi="en-US"/>
        </w:rPr>
        <w:t xml:space="preserve">KRAS </w:t>
      </w:r>
      <w:r w:rsidR="00D6207D" w:rsidRPr="005B1CCB">
        <w:rPr>
          <w:rFonts w:ascii="Palatino Linotype" w:hAnsi="Palatino Linotype"/>
          <w:sz w:val="24"/>
          <w:szCs w:val="24"/>
          <w:lang w:bidi="en-US"/>
        </w:rPr>
        <w:t xml:space="preserve">pG12D </w:t>
      </w:r>
      <w:r w:rsidRPr="005B1CCB">
        <w:rPr>
          <w:rFonts w:ascii="Palatino Linotype" w:hAnsi="Palatino Linotype"/>
          <w:sz w:val="24"/>
          <w:szCs w:val="24"/>
          <w:lang w:bidi="en-US"/>
        </w:rPr>
        <w:t xml:space="preserve">and mutant KRAS </w:t>
      </w:r>
      <w:r w:rsidR="00D6207D" w:rsidRPr="005B1CCB">
        <w:rPr>
          <w:rFonts w:ascii="Palatino Linotype" w:hAnsi="Palatino Linotype"/>
          <w:sz w:val="24"/>
          <w:szCs w:val="24"/>
          <w:lang w:bidi="en-US"/>
        </w:rPr>
        <w:t xml:space="preserve">pG13D </w:t>
      </w:r>
      <w:r w:rsidRPr="005B1CCB">
        <w:rPr>
          <w:rFonts w:ascii="Palatino Linotype" w:hAnsi="Palatino Linotype"/>
          <w:sz w:val="24"/>
          <w:szCs w:val="24"/>
          <w:lang w:bidi="en-US"/>
        </w:rPr>
        <w:t>were implemented. Before and after amplification, the quantity of dsDNA in each sample was measured using the qubit 4 fluorometer and is shown in Table</w:t>
      </w:r>
      <w:r w:rsidR="00BC7645" w:rsidRPr="005B1CCB">
        <w:rPr>
          <w:rFonts w:ascii="Palatino Linotype" w:hAnsi="Palatino Linotype"/>
          <w:sz w:val="24"/>
          <w:szCs w:val="24"/>
          <w:lang w:bidi="en-US"/>
        </w:rPr>
        <w:t xml:space="preserve"> </w:t>
      </w:r>
      <w:r w:rsidR="00F45346" w:rsidRPr="005B1CCB">
        <w:rPr>
          <w:rFonts w:ascii="Palatino Linotype" w:hAnsi="Palatino Linotype"/>
          <w:sz w:val="24"/>
          <w:szCs w:val="24"/>
          <w:lang w:bidi="en-US"/>
        </w:rPr>
        <w:t>13</w:t>
      </w:r>
      <w:r w:rsidR="00BC7645" w:rsidRPr="005B1CCB">
        <w:rPr>
          <w:rFonts w:ascii="Palatino Linotype" w:hAnsi="Palatino Linotype"/>
          <w:sz w:val="24"/>
          <w:szCs w:val="24"/>
          <w:lang w:bidi="en-US"/>
        </w:rPr>
        <w:t xml:space="preserve">. </w:t>
      </w:r>
      <w:r w:rsidR="00111E2C" w:rsidRPr="005B1CCB">
        <w:rPr>
          <w:rFonts w:ascii="Palatino Linotype" w:hAnsi="Palatino Linotype"/>
          <w:sz w:val="24"/>
          <w:szCs w:val="24"/>
          <w:lang w:bidi="en-US"/>
        </w:rPr>
        <w:t>All amplicons were denatured at 95</w:t>
      </w:r>
      <w:r w:rsidR="00111E2C" w:rsidRPr="005B1CCB">
        <w:rPr>
          <w:rFonts w:ascii="Palatino Linotype" w:hAnsi="Palatino Linotype"/>
          <w:sz w:val="24"/>
          <w:szCs w:val="24"/>
          <w:vertAlign w:val="superscript"/>
          <w:lang w:bidi="en-US"/>
        </w:rPr>
        <w:t>O</w:t>
      </w:r>
      <w:r w:rsidR="00111E2C" w:rsidRPr="005B1CCB">
        <w:rPr>
          <w:rFonts w:ascii="Palatino Linotype" w:hAnsi="Palatino Linotype"/>
          <w:sz w:val="24"/>
          <w:szCs w:val="24"/>
          <w:lang w:bidi="en-US"/>
        </w:rPr>
        <w:t xml:space="preserve"> for 5 minutes prior to immobilisation. </w:t>
      </w:r>
      <w:r w:rsidR="00BC7645" w:rsidRPr="005B1CCB">
        <w:rPr>
          <w:rFonts w:ascii="Palatino Linotype" w:hAnsi="Palatino Linotype"/>
          <w:sz w:val="24"/>
          <w:szCs w:val="24"/>
          <w:lang w:bidi="en-US"/>
        </w:rPr>
        <w:t xml:space="preserve">Non-complementary and complementary detection was employed using the pre-designed probes and the amplicons retrieved. Further investigation was done by hybridising the designed oligonucleotide probes with isolated cfDNA samples </w:t>
      </w:r>
      <w:r w:rsidR="00F45346" w:rsidRPr="005B1CCB">
        <w:rPr>
          <w:rFonts w:ascii="Palatino Linotype" w:hAnsi="Palatino Linotype"/>
          <w:sz w:val="24"/>
          <w:szCs w:val="24"/>
          <w:lang w:bidi="en-US"/>
        </w:rPr>
        <w:t xml:space="preserve">(Table 14) to achieve an </w:t>
      </w:r>
      <w:r w:rsidR="00BC7645" w:rsidRPr="005B1CCB">
        <w:rPr>
          <w:rFonts w:ascii="Palatino Linotype" w:hAnsi="Palatino Linotype"/>
          <w:sz w:val="24"/>
          <w:szCs w:val="24"/>
          <w:lang w:bidi="en-US"/>
        </w:rPr>
        <w:t xml:space="preserve">amplification-free detection. </w:t>
      </w:r>
      <w:r w:rsidR="00FA0246" w:rsidRPr="005B1CCB">
        <w:rPr>
          <w:rFonts w:ascii="Palatino Linotype" w:hAnsi="Palatino Linotype"/>
          <w:sz w:val="24"/>
          <w:szCs w:val="24"/>
          <w:lang w:bidi="en-US"/>
        </w:rPr>
        <w:t>Ferri-ferrocyanide buffer (1µM) was used to characterise the sensor surface. Unless specifically stated, all the reported steps and measurements were carried out at room temperature.</w:t>
      </w:r>
    </w:p>
    <w:p w14:paraId="1BCA057F" w14:textId="77777777" w:rsidR="00865FB9" w:rsidRPr="005B1CCB" w:rsidRDefault="00F94792" w:rsidP="00865FB9">
      <w:pPr>
        <w:keepNext/>
        <w:spacing w:line="360" w:lineRule="auto"/>
        <w:jc w:val="center"/>
      </w:pPr>
      <w:r w:rsidRPr="005B1CCB">
        <w:rPr>
          <w:rFonts w:ascii="Palatino Linotype" w:hAnsi="Palatino Linotype"/>
          <w:noProof/>
          <w:sz w:val="24"/>
          <w:szCs w:val="24"/>
          <w:lang w:eastAsia="en-GB"/>
        </w:rPr>
        <w:drawing>
          <wp:inline distT="0" distB="0" distL="0" distR="0" wp14:anchorId="162EB27E" wp14:editId="18824C37">
            <wp:extent cx="5097880" cy="2355463"/>
            <wp:effectExtent l="0" t="0" r="7620" b="6985"/>
            <wp:docPr id="87" name="Picture 87" descr="C:\Users\cdt\Pictures\More lab photos\20210617_12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t\Pictures\More lab photos\20210617_120731.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5820" t="21011" r="5183" b="17947"/>
                    <a:stretch/>
                  </pic:blipFill>
                  <pic:spPr bwMode="auto">
                    <a:xfrm>
                      <a:off x="0" y="0"/>
                      <a:ext cx="5109674" cy="2360913"/>
                    </a:xfrm>
                    <a:prstGeom prst="rect">
                      <a:avLst/>
                    </a:prstGeom>
                    <a:noFill/>
                    <a:ln>
                      <a:noFill/>
                    </a:ln>
                    <a:extLst>
                      <a:ext uri="{53640926-AAD7-44D8-BBD7-CCE9431645EC}">
                        <a14:shadowObscured xmlns:a14="http://schemas.microsoft.com/office/drawing/2010/main"/>
                      </a:ext>
                    </a:extLst>
                  </pic:spPr>
                </pic:pic>
              </a:graphicData>
            </a:graphic>
          </wp:inline>
        </w:drawing>
      </w:r>
    </w:p>
    <w:p w14:paraId="30419C59" w14:textId="77777777" w:rsidR="00F94792" w:rsidRPr="005B1CCB" w:rsidRDefault="00865FB9" w:rsidP="00865FB9">
      <w:pPr>
        <w:pStyle w:val="Caption"/>
        <w:jc w:val="center"/>
        <w:rPr>
          <w:sz w:val="22"/>
          <w:szCs w:val="22"/>
        </w:rPr>
      </w:pPr>
      <w:bookmarkStart w:id="197" w:name="_Toc84519649"/>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54</w:t>
      </w:r>
      <w:r w:rsidRPr="005B1CCB">
        <w:rPr>
          <w:sz w:val="22"/>
          <w:szCs w:val="22"/>
        </w:rPr>
        <w:fldChar w:fldCharType="end"/>
      </w:r>
      <w:r w:rsidRPr="005B1CCB">
        <w:t xml:space="preserve">: </w:t>
      </w:r>
      <w:r w:rsidR="00F94792" w:rsidRPr="005B1CCB">
        <w:rPr>
          <w:sz w:val="22"/>
          <w:szCs w:val="22"/>
        </w:rPr>
        <w:t>cfDNA samples from 8 blind patients to investigate the presence of pG12D and pG13D KRAS mutations</w:t>
      </w:r>
      <w:bookmarkEnd w:id="197"/>
    </w:p>
    <w:p w14:paraId="6017D98C" w14:textId="77777777" w:rsidR="00441004" w:rsidRPr="005B1CCB" w:rsidRDefault="00441004" w:rsidP="00441004"/>
    <w:p w14:paraId="0E01BA30" w14:textId="77777777" w:rsidR="00441004" w:rsidRPr="005B1CCB" w:rsidRDefault="00441004" w:rsidP="00441004">
      <w:pPr>
        <w:pStyle w:val="Heading3"/>
      </w:pPr>
      <w:bookmarkStart w:id="198" w:name="_Toc84528143"/>
      <w:r w:rsidRPr="005B1CCB">
        <w:t>Patient sample</w:t>
      </w:r>
      <w:r w:rsidR="005F1838" w:rsidRPr="005B1CCB">
        <w:t>s</w:t>
      </w:r>
      <w:r w:rsidRPr="005B1CCB">
        <w:t xml:space="preserve"> sub-study using cfDNA</w:t>
      </w:r>
      <w:bookmarkEnd w:id="198"/>
    </w:p>
    <w:p w14:paraId="73506D3F" w14:textId="77777777" w:rsidR="00441004" w:rsidRPr="005B1CCB" w:rsidRDefault="005F1838" w:rsidP="005F1838">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A sub-study was carried out on cfDNA obtained from four patient samples (440, 459, 466 and 481). This was done to analyse false positives and false negatives from </w:t>
      </w:r>
      <w:r w:rsidR="00450358" w:rsidRPr="005B1CCB">
        <w:rPr>
          <w:rFonts w:ascii="Palatino Linotype" w:hAnsi="Palatino Linotype"/>
          <w:sz w:val="24"/>
          <w:szCs w:val="24"/>
          <w:lang w:bidi="en-US"/>
        </w:rPr>
        <w:t xml:space="preserve">previously obtained </w:t>
      </w:r>
      <w:r w:rsidRPr="005B1CCB">
        <w:rPr>
          <w:rFonts w:ascii="Palatino Linotype" w:hAnsi="Palatino Linotype"/>
          <w:sz w:val="24"/>
          <w:szCs w:val="24"/>
          <w:lang w:bidi="en-US"/>
        </w:rPr>
        <w:t xml:space="preserve">results and compared to ddPCR results that quantified the presence of both KRAS pG12D and pG13D mutations. </w:t>
      </w:r>
      <w:r w:rsidR="00227920" w:rsidRPr="005B1CCB">
        <w:rPr>
          <w:rFonts w:ascii="Palatino Linotype" w:hAnsi="Palatino Linotype" w:cs="Times New Roman"/>
          <w:sz w:val="24"/>
          <w:szCs w:val="24"/>
        </w:rPr>
        <w:t xml:space="preserve">Mutant DNA probe stocks were diluted to a concentration of 2 µM in 0.1 x PBS and used for pre-hybridisation. </w:t>
      </w:r>
      <w:r w:rsidR="00450358" w:rsidRPr="005B1CCB">
        <w:rPr>
          <w:rFonts w:ascii="Palatino Linotype" w:hAnsi="Palatino Linotype"/>
          <w:sz w:val="24"/>
          <w:szCs w:val="24"/>
          <w:lang w:bidi="en-US"/>
        </w:rPr>
        <w:t xml:space="preserve">Amplification was done using </w:t>
      </w:r>
      <w:r w:rsidR="00111E2C" w:rsidRPr="005B1CCB">
        <w:rPr>
          <w:rFonts w:ascii="Palatino Linotype" w:hAnsi="Palatino Linotype"/>
          <w:sz w:val="24"/>
          <w:szCs w:val="24"/>
          <w:lang w:bidi="en-US"/>
        </w:rPr>
        <w:t xml:space="preserve">a </w:t>
      </w:r>
      <w:r w:rsidR="00450358" w:rsidRPr="005B1CCB">
        <w:rPr>
          <w:rFonts w:ascii="Palatino Linotype" w:hAnsi="Palatino Linotype"/>
          <w:sz w:val="24"/>
          <w:szCs w:val="24"/>
          <w:lang w:bidi="en-US"/>
        </w:rPr>
        <w:t>phusion PCR</w:t>
      </w:r>
      <w:r w:rsidR="00111E2C" w:rsidRPr="005B1CCB">
        <w:rPr>
          <w:rFonts w:ascii="Palatino Linotype" w:hAnsi="Palatino Linotype"/>
          <w:sz w:val="24"/>
          <w:szCs w:val="24"/>
          <w:lang w:bidi="en-US"/>
        </w:rPr>
        <w:t xml:space="preserve"> kit and all amplicons were denatured at 95</w:t>
      </w:r>
      <w:r w:rsidR="00111E2C" w:rsidRPr="005B1CCB">
        <w:rPr>
          <w:rFonts w:ascii="Palatino Linotype" w:hAnsi="Palatino Linotype"/>
          <w:sz w:val="24"/>
          <w:szCs w:val="24"/>
          <w:vertAlign w:val="superscript"/>
          <w:lang w:bidi="en-US"/>
        </w:rPr>
        <w:t>O</w:t>
      </w:r>
      <w:r w:rsidR="00111E2C" w:rsidRPr="005B1CCB">
        <w:rPr>
          <w:rFonts w:ascii="Palatino Linotype" w:hAnsi="Palatino Linotype"/>
          <w:sz w:val="24"/>
          <w:szCs w:val="24"/>
          <w:lang w:bidi="en-US"/>
        </w:rPr>
        <w:t xml:space="preserve"> for 5 minutes prior to immobilisation</w:t>
      </w:r>
      <w:r w:rsidR="00C31166" w:rsidRPr="005B1CCB">
        <w:rPr>
          <w:rFonts w:ascii="Palatino Linotype" w:hAnsi="Palatino Linotype"/>
          <w:sz w:val="24"/>
          <w:szCs w:val="24"/>
          <w:lang w:bidi="en-US"/>
        </w:rPr>
        <w:t xml:space="preserve">. Single-chip CNT-modified SPCEs were used for characterisation </w:t>
      </w:r>
      <w:r w:rsidR="00450358" w:rsidRPr="005B1CCB">
        <w:rPr>
          <w:rFonts w:ascii="Palatino Linotype" w:hAnsi="Palatino Linotype"/>
          <w:sz w:val="24"/>
          <w:szCs w:val="24"/>
          <w:lang w:bidi="en-US"/>
        </w:rPr>
        <w:t xml:space="preserve">and previously stated </w:t>
      </w:r>
      <w:r w:rsidR="00C31166" w:rsidRPr="005B1CCB">
        <w:rPr>
          <w:rFonts w:ascii="Palatino Linotype" w:hAnsi="Palatino Linotype"/>
          <w:sz w:val="24"/>
          <w:szCs w:val="24"/>
          <w:lang w:bidi="en-US"/>
        </w:rPr>
        <w:t xml:space="preserve">activation protocol and </w:t>
      </w:r>
      <w:r w:rsidR="00450358" w:rsidRPr="005B1CCB">
        <w:rPr>
          <w:rFonts w:ascii="Palatino Linotype" w:hAnsi="Palatino Linotype"/>
          <w:sz w:val="24"/>
          <w:szCs w:val="24"/>
          <w:lang w:bidi="en-US"/>
        </w:rPr>
        <w:t xml:space="preserve">functionalisation for CNT-modified SPCEs </w:t>
      </w:r>
      <w:r w:rsidR="00C31166" w:rsidRPr="005B1CCB">
        <w:rPr>
          <w:rFonts w:ascii="Palatino Linotype" w:hAnsi="Palatino Linotype"/>
          <w:sz w:val="24"/>
          <w:szCs w:val="24"/>
          <w:lang w:bidi="en-US"/>
        </w:rPr>
        <w:t>was employed</w:t>
      </w:r>
      <w:r w:rsidR="00450358" w:rsidRPr="005B1CCB">
        <w:rPr>
          <w:rFonts w:ascii="Palatino Linotype" w:hAnsi="Palatino Linotype"/>
          <w:sz w:val="24"/>
          <w:szCs w:val="24"/>
          <w:lang w:bidi="en-US"/>
        </w:rPr>
        <w:t xml:space="preserve">. </w:t>
      </w:r>
      <w:r w:rsidR="00C31166" w:rsidRPr="005B1CCB">
        <w:rPr>
          <w:rFonts w:ascii="Palatino Linotype" w:hAnsi="Palatino Linotype"/>
          <w:sz w:val="24"/>
          <w:szCs w:val="24"/>
        </w:rPr>
        <w:t>Ferricyanide buffer (1 µM) was used to characterise the sensor surface</w:t>
      </w:r>
      <w:r w:rsidR="00C31166" w:rsidRPr="005B1CCB">
        <w:rPr>
          <w:rFonts w:ascii="Palatino Linotype" w:hAnsi="Palatino Linotype"/>
          <w:sz w:val="24"/>
          <w:szCs w:val="24"/>
          <w:lang w:bidi="en-US"/>
        </w:rPr>
        <w:t xml:space="preserve"> and electrochemical measurements were carried out </w:t>
      </w:r>
      <w:r w:rsidRPr="005B1CCB">
        <w:rPr>
          <w:rFonts w:ascii="Palatino Linotype" w:hAnsi="Palatino Linotype"/>
          <w:sz w:val="24"/>
          <w:szCs w:val="24"/>
          <w:lang w:bidi="en-US"/>
        </w:rPr>
        <w:t>using CV and SWV on PS</w:t>
      </w:r>
      <w:r w:rsidR="00450358" w:rsidRPr="005B1CCB">
        <w:rPr>
          <w:rFonts w:ascii="Palatino Linotype" w:hAnsi="Palatino Linotype"/>
          <w:sz w:val="24"/>
          <w:szCs w:val="24"/>
          <w:lang w:bidi="en-US"/>
        </w:rPr>
        <w:t>T</w:t>
      </w:r>
      <w:r w:rsidRPr="005B1CCB">
        <w:rPr>
          <w:rFonts w:ascii="Palatino Linotype" w:hAnsi="Palatino Linotype"/>
          <w:sz w:val="24"/>
          <w:szCs w:val="24"/>
          <w:lang w:bidi="en-US"/>
        </w:rPr>
        <w:t xml:space="preserve">race </w:t>
      </w:r>
      <w:r w:rsidR="00450358" w:rsidRPr="005B1CCB">
        <w:rPr>
          <w:rFonts w:ascii="Palatino Linotype" w:hAnsi="Palatino Linotype"/>
          <w:sz w:val="24"/>
          <w:szCs w:val="24"/>
          <w:lang w:bidi="en-US"/>
        </w:rPr>
        <w:t>software</w:t>
      </w:r>
      <w:r w:rsidR="00FA0246" w:rsidRPr="005B1CCB">
        <w:rPr>
          <w:rFonts w:ascii="Palatino Linotype" w:hAnsi="Palatino Linotype"/>
          <w:sz w:val="24"/>
          <w:szCs w:val="24"/>
        </w:rPr>
        <w:t>. Unless specifically stated, all the reported steps and measurements were carried out at room temperature.</w:t>
      </w:r>
    </w:p>
    <w:p w14:paraId="6F7BF15C" w14:textId="77777777" w:rsidR="005F1838" w:rsidRPr="005B1CCB" w:rsidRDefault="005F1838" w:rsidP="005F1838">
      <w:pPr>
        <w:spacing w:line="360" w:lineRule="auto"/>
        <w:jc w:val="both"/>
        <w:rPr>
          <w:rFonts w:ascii="Palatino Linotype" w:hAnsi="Palatino Linotype"/>
          <w:sz w:val="24"/>
          <w:szCs w:val="24"/>
          <w:lang w:bidi="en-US"/>
        </w:rPr>
      </w:pPr>
    </w:p>
    <w:p w14:paraId="00E750C9" w14:textId="77777777" w:rsidR="00F94792" w:rsidRPr="005B1CCB" w:rsidRDefault="00441004" w:rsidP="00441004">
      <w:pPr>
        <w:pStyle w:val="Heading3"/>
      </w:pPr>
      <w:bookmarkStart w:id="199" w:name="_Toc84528144"/>
      <w:r w:rsidRPr="005B1CCB">
        <w:t>Statistical analysis</w:t>
      </w:r>
      <w:bookmarkEnd w:id="199"/>
    </w:p>
    <w:p w14:paraId="4512D3F6" w14:textId="4F7C6C24" w:rsidR="00441004" w:rsidRPr="005B1CCB" w:rsidRDefault="00DB335A" w:rsidP="00DB335A">
      <w:pPr>
        <w:spacing w:line="360" w:lineRule="auto"/>
        <w:jc w:val="both"/>
        <w:rPr>
          <w:rFonts w:ascii="Palatino Linotype" w:hAnsi="Palatino Linotype"/>
          <w:sz w:val="24"/>
          <w:szCs w:val="24"/>
          <w:lang w:bidi="en-US"/>
        </w:rPr>
      </w:pPr>
      <w:r w:rsidRPr="005B1CCB">
        <w:rPr>
          <w:rFonts w:ascii="Palatino Linotype" w:hAnsi="Palatino Linotype"/>
          <w:sz w:val="24"/>
          <w:szCs w:val="24"/>
        </w:rPr>
        <w:t xml:space="preserve">   One-way ANOVA tests were used to check the impact </w:t>
      </w:r>
      <w:r w:rsidRPr="005B1CCB">
        <w:rPr>
          <w:rFonts w:ascii="Palatino Linotype" w:hAnsi="Palatino Linotype"/>
          <w:sz w:val="24"/>
          <w:szCs w:val="24"/>
          <w:lang w:bidi="en-US"/>
        </w:rPr>
        <w:t xml:space="preserve">the mean peak current values (CV &amp; SWV) obtained from the 4-patient sub-study had on non-amplified vs amplified pG12D and pG13D mutant DNA hybridisation. The independent variables used were mean peak current values. </w:t>
      </w:r>
      <w:r w:rsidRPr="00C46733">
        <w:rPr>
          <w:rFonts w:ascii="Palatino Linotype" w:hAnsi="Palatino Linotype"/>
          <w:sz w:val="24"/>
          <w:szCs w:val="24"/>
          <w:lang w:bidi="en-US"/>
        </w:rPr>
        <w:t>The tests showed if the pairwise comparisons of patients 440,459, 466 and 481 were statistically different by calculating if the means of each patient sample is different from the overall mean</w:t>
      </w:r>
      <w:r w:rsidRPr="005B1CCB">
        <w:rPr>
          <w:rFonts w:ascii="Palatino Linotype" w:hAnsi="Palatino Linotype"/>
          <w:sz w:val="24"/>
          <w:szCs w:val="24"/>
          <w:lang w:bidi="en-US"/>
        </w:rPr>
        <w:t xml:space="preserve">. </w:t>
      </w:r>
      <w:r w:rsidRPr="005B1CCB">
        <w:rPr>
          <w:rFonts w:ascii="Palatino Linotype" w:hAnsi="Palatino Linotype"/>
          <w:sz w:val="24"/>
          <w:szCs w:val="24"/>
        </w:rPr>
        <w:t xml:space="preserve">   </w:t>
      </w:r>
      <w:r w:rsidRPr="00C46733">
        <w:rPr>
          <w:rFonts w:ascii="Palatino Linotype" w:hAnsi="Palatino Linotype"/>
          <w:sz w:val="24"/>
          <w:szCs w:val="24"/>
          <w:lang w:bidi="en-US"/>
        </w:rPr>
        <w:t xml:space="preserve">The null hypothesis </w:t>
      </w:r>
      <w:r w:rsidR="00227920" w:rsidRPr="00C46733">
        <w:rPr>
          <w:rFonts w:ascii="Palatino Linotype" w:hAnsi="Palatino Linotype"/>
          <w:sz w:val="24"/>
          <w:szCs w:val="24"/>
          <w:lang w:bidi="en-US"/>
        </w:rPr>
        <w:t>predicts</w:t>
      </w:r>
      <w:r w:rsidRPr="00C46733">
        <w:rPr>
          <w:rFonts w:ascii="Palatino Linotype" w:hAnsi="Palatino Linotype"/>
          <w:sz w:val="24"/>
          <w:szCs w:val="24"/>
          <w:lang w:bidi="en-US"/>
        </w:rPr>
        <w:t xml:space="preserve"> that there </w:t>
      </w:r>
      <w:r w:rsidR="00227920" w:rsidRPr="00C46733">
        <w:rPr>
          <w:rFonts w:ascii="Palatino Linotype" w:hAnsi="Palatino Linotype"/>
          <w:sz w:val="24"/>
          <w:szCs w:val="24"/>
          <w:lang w:bidi="en-US"/>
        </w:rPr>
        <w:t xml:space="preserve">is </w:t>
      </w:r>
      <w:r w:rsidRPr="00C46733">
        <w:rPr>
          <w:rFonts w:ascii="Palatino Linotype" w:hAnsi="Palatino Linotype"/>
          <w:sz w:val="24"/>
          <w:szCs w:val="24"/>
          <w:lang w:bidi="en-US"/>
        </w:rPr>
        <w:t xml:space="preserve">no difference among each sample while the alternate hypothesis </w:t>
      </w:r>
      <w:r w:rsidR="00227920" w:rsidRPr="00C46733">
        <w:rPr>
          <w:rFonts w:ascii="Palatino Linotype" w:hAnsi="Palatino Linotype"/>
          <w:sz w:val="24"/>
          <w:szCs w:val="24"/>
          <w:lang w:bidi="en-US"/>
        </w:rPr>
        <w:t>predicts</w:t>
      </w:r>
      <w:r w:rsidRPr="00C46733">
        <w:rPr>
          <w:rFonts w:ascii="Palatino Linotype" w:hAnsi="Palatino Linotype"/>
          <w:sz w:val="24"/>
          <w:szCs w:val="24"/>
          <w:lang w:bidi="en-US"/>
        </w:rPr>
        <w:t xml:space="preserve"> that at least one group significantly differs from the overall mean peak current values of all the samples. The F-test showed the statistical significance by comparing the variance in each sample group and all the means at once. A higher F-value is found if the variance within the group pairs is higher tha</w:t>
      </w:r>
      <w:r w:rsidR="00602ABC" w:rsidRPr="00C46733">
        <w:rPr>
          <w:rFonts w:ascii="Palatino Linotype" w:hAnsi="Palatino Linotype"/>
          <w:sz w:val="24"/>
          <w:szCs w:val="24"/>
          <w:lang w:bidi="en-US"/>
        </w:rPr>
        <w:t>n</w:t>
      </w:r>
      <w:r w:rsidRPr="00C46733">
        <w:rPr>
          <w:rFonts w:ascii="Palatino Linotype" w:hAnsi="Palatino Linotype"/>
          <w:sz w:val="24"/>
          <w:szCs w:val="24"/>
          <w:lang w:bidi="en-US"/>
        </w:rPr>
        <w:t xml:space="preserve"> the variance between the groups.</w:t>
      </w:r>
    </w:p>
    <w:p w14:paraId="7E5A4CE5" w14:textId="0A172BA7" w:rsidR="00DB335A" w:rsidRDefault="00DB335A" w:rsidP="00DB335A">
      <w:pPr>
        <w:spacing w:line="360" w:lineRule="auto"/>
        <w:jc w:val="both"/>
        <w:rPr>
          <w:rFonts w:ascii="Palatino Linotype" w:hAnsi="Palatino Linotype"/>
          <w:sz w:val="24"/>
          <w:szCs w:val="24"/>
        </w:rPr>
      </w:pPr>
      <w:r w:rsidRPr="005B1CCB">
        <w:rPr>
          <w:rFonts w:ascii="Palatino Linotype" w:hAnsi="Palatino Linotype"/>
          <w:sz w:val="24"/>
          <w:szCs w:val="24"/>
          <w:lang w:bidi="en-US"/>
        </w:rPr>
        <w:t xml:space="preserve">  </w:t>
      </w:r>
      <w:r w:rsidRPr="005B1CCB">
        <w:rPr>
          <w:rFonts w:ascii="Palatino Linotype" w:hAnsi="Palatino Linotype"/>
          <w:sz w:val="24"/>
          <w:szCs w:val="24"/>
        </w:rPr>
        <w:t xml:space="preserve">A two-way ANOVA statistical test was used to determine how the mean of patient samples 440, 459, 466 and 481 changed according to the levels of two categorical variables (Unamplified and Amplified cfDNA samples for the four patient samples in the sub-study group). </w:t>
      </w:r>
      <w:r w:rsidR="00CF3D4B" w:rsidRPr="005B1CCB">
        <w:rPr>
          <w:rFonts w:ascii="Palatino Linotype" w:hAnsi="Palatino Linotype"/>
          <w:sz w:val="24"/>
          <w:szCs w:val="24"/>
        </w:rPr>
        <w:t xml:space="preserve">Mean values obtained from both CV and SWV were used. </w:t>
      </w:r>
      <w:r w:rsidRPr="005B1CCB">
        <w:rPr>
          <w:rFonts w:ascii="Palatino Linotype" w:hAnsi="Palatino Linotype"/>
          <w:sz w:val="24"/>
          <w:szCs w:val="24"/>
        </w:rPr>
        <w:t>Both the one-way and two-way ANOVA tests were carried out using OriginPro data analysis and graphing software 2021.</w:t>
      </w:r>
    </w:p>
    <w:p w14:paraId="35F25313" w14:textId="77777777" w:rsidR="00AE736A" w:rsidRPr="005B1CCB" w:rsidRDefault="00AE736A" w:rsidP="00DB335A">
      <w:pPr>
        <w:spacing w:line="360" w:lineRule="auto"/>
        <w:jc w:val="both"/>
        <w:rPr>
          <w:rFonts w:ascii="Palatino Linotype" w:hAnsi="Palatino Linotype"/>
          <w:sz w:val="24"/>
          <w:szCs w:val="24"/>
          <w:lang w:bidi="en-US"/>
        </w:rPr>
      </w:pPr>
    </w:p>
    <w:p w14:paraId="6944F243" w14:textId="7814B332" w:rsidR="00F127B3" w:rsidRPr="005B1CCB" w:rsidRDefault="00F127B3" w:rsidP="00F127B3">
      <w:pPr>
        <w:pStyle w:val="Heading2"/>
      </w:pPr>
      <w:bookmarkStart w:id="200" w:name="_Toc84528145"/>
      <w:r w:rsidRPr="005B1CCB">
        <w:t>Results</w:t>
      </w:r>
      <w:r w:rsidR="0069620E">
        <w:t xml:space="preserve"> and discussion</w:t>
      </w:r>
      <w:bookmarkEnd w:id="200"/>
    </w:p>
    <w:p w14:paraId="150EE4F6" w14:textId="30E688F5" w:rsidR="00016D57" w:rsidRPr="005B1CCB" w:rsidRDefault="002755F9" w:rsidP="00185E1C">
      <w:pPr>
        <w:pStyle w:val="Heading3"/>
      </w:pPr>
      <w:bookmarkStart w:id="201" w:name="_Toc84528146"/>
      <w:r>
        <w:t xml:space="preserve">Amplification of wild-type KRAS DNA fragment from </w:t>
      </w:r>
      <w:r w:rsidR="00AD7C00" w:rsidRPr="005B1CCB">
        <w:t>plasma</w:t>
      </w:r>
      <w:bookmarkEnd w:id="201"/>
      <w:r w:rsidR="00AD7C00" w:rsidRPr="005B1CCB">
        <w:t xml:space="preserve"> </w:t>
      </w:r>
    </w:p>
    <w:p w14:paraId="77726511" w14:textId="1720F5EC" w:rsidR="00F127B3" w:rsidRPr="005B1CCB" w:rsidRDefault="007A78CF" w:rsidP="00DB3A7C">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DB3A7C" w:rsidRPr="005B1CCB">
        <w:rPr>
          <w:rFonts w:ascii="Palatino Linotype" w:hAnsi="Palatino Linotype"/>
          <w:sz w:val="24"/>
          <w:szCs w:val="24"/>
          <w:lang w:bidi="en-US"/>
        </w:rPr>
        <w:t>Wild-type primers were used to am</w:t>
      </w:r>
      <w:r w:rsidRPr="005B1CCB">
        <w:rPr>
          <w:rFonts w:ascii="Palatino Linotype" w:hAnsi="Palatino Linotype"/>
          <w:sz w:val="24"/>
          <w:szCs w:val="24"/>
          <w:lang w:bidi="en-US"/>
        </w:rPr>
        <w:t>plify the wild-type DNA in all eight</w:t>
      </w:r>
      <w:r w:rsidR="00DB3A7C" w:rsidRPr="005B1CCB">
        <w:rPr>
          <w:rFonts w:ascii="Palatino Linotype" w:hAnsi="Palatino Linotype"/>
          <w:sz w:val="24"/>
          <w:szCs w:val="24"/>
          <w:lang w:bidi="en-US"/>
        </w:rPr>
        <w:t xml:space="preserve"> patient samples</w:t>
      </w:r>
      <w:r w:rsidR="00CC519F" w:rsidRPr="005B1CCB">
        <w:rPr>
          <w:rFonts w:ascii="Palatino Linotype" w:hAnsi="Palatino Linotype"/>
          <w:sz w:val="24"/>
          <w:szCs w:val="24"/>
          <w:lang w:bidi="en-US"/>
        </w:rPr>
        <w:t>.</w:t>
      </w:r>
      <w:r w:rsidR="00192DA0" w:rsidRPr="005B1CCB">
        <w:rPr>
          <w:rFonts w:ascii="Palatino Linotype" w:hAnsi="Palatino Linotype"/>
          <w:sz w:val="24"/>
          <w:szCs w:val="24"/>
          <w:lang w:bidi="en-US"/>
        </w:rPr>
        <w:t xml:space="preserve"> </w:t>
      </w:r>
      <w:r w:rsidR="007C44B4" w:rsidRPr="005B1CCB">
        <w:rPr>
          <w:rFonts w:ascii="Palatino Linotype" w:hAnsi="Palatino Linotype"/>
          <w:sz w:val="24"/>
          <w:szCs w:val="24"/>
          <w:lang w:bidi="en-US"/>
        </w:rPr>
        <w:t>Mutant and wild-type</w:t>
      </w:r>
      <w:r w:rsidR="00192DA0" w:rsidRPr="005B1CCB">
        <w:rPr>
          <w:rFonts w:ascii="Palatino Linotype" w:hAnsi="Palatino Linotype"/>
          <w:sz w:val="24"/>
          <w:szCs w:val="24"/>
          <w:lang w:bidi="en-US"/>
        </w:rPr>
        <w:t xml:space="preserve"> probes </w:t>
      </w:r>
      <w:r w:rsidR="007C44B4" w:rsidRPr="005B1CCB">
        <w:rPr>
          <w:rFonts w:ascii="Palatino Linotype" w:hAnsi="Palatino Linotype"/>
          <w:sz w:val="24"/>
          <w:szCs w:val="24"/>
          <w:lang w:bidi="en-US"/>
        </w:rPr>
        <w:t xml:space="preserve">for both KRAS pG12D and pG13D </w:t>
      </w:r>
      <w:r w:rsidR="00192DA0" w:rsidRPr="005B1CCB">
        <w:rPr>
          <w:rFonts w:ascii="Palatino Linotype" w:hAnsi="Palatino Linotype"/>
          <w:sz w:val="24"/>
          <w:szCs w:val="24"/>
          <w:lang w:bidi="en-US"/>
        </w:rPr>
        <w:t xml:space="preserve">were coupled on the carbon nanotube modified SPCEs as pre-hybridisation probes and used to test for </w:t>
      </w:r>
      <w:r w:rsidR="007C44B4" w:rsidRPr="005B1CCB">
        <w:rPr>
          <w:rFonts w:ascii="Palatino Linotype" w:hAnsi="Palatino Linotype"/>
          <w:sz w:val="24"/>
          <w:szCs w:val="24"/>
          <w:lang w:bidi="en-US"/>
        </w:rPr>
        <w:t>the presence of KRAS</w:t>
      </w:r>
      <w:r w:rsidR="00192DA0" w:rsidRPr="005B1CCB">
        <w:rPr>
          <w:rFonts w:ascii="Palatino Linotype" w:hAnsi="Palatino Linotype"/>
          <w:sz w:val="24"/>
          <w:szCs w:val="24"/>
          <w:lang w:bidi="en-US"/>
        </w:rPr>
        <w:t xml:space="preserve"> in all samples. The concentrations of the amplified wild</w:t>
      </w:r>
      <w:r w:rsidR="007C44B4" w:rsidRPr="005B1CCB">
        <w:rPr>
          <w:rFonts w:ascii="Palatino Linotype" w:hAnsi="Palatino Linotype"/>
          <w:sz w:val="24"/>
          <w:szCs w:val="24"/>
          <w:lang w:bidi="en-US"/>
        </w:rPr>
        <w:t>-</w:t>
      </w:r>
      <w:r w:rsidR="00192DA0" w:rsidRPr="005B1CCB">
        <w:rPr>
          <w:rFonts w:ascii="Palatino Linotype" w:hAnsi="Palatino Linotype"/>
          <w:sz w:val="24"/>
          <w:szCs w:val="24"/>
          <w:lang w:bidi="en-US"/>
        </w:rPr>
        <w:t xml:space="preserve">type KRAS </w:t>
      </w:r>
      <w:r w:rsidR="007C44B4" w:rsidRPr="005B1CCB">
        <w:rPr>
          <w:rFonts w:ascii="Palatino Linotype" w:hAnsi="Palatino Linotype"/>
          <w:sz w:val="24"/>
          <w:szCs w:val="24"/>
          <w:lang w:bidi="en-US"/>
        </w:rPr>
        <w:t>amplicons</w:t>
      </w:r>
      <w:r w:rsidR="00192DA0" w:rsidRPr="005B1CCB">
        <w:rPr>
          <w:rFonts w:ascii="Palatino Linotype" w:hAnsi="Palatino Linotype"/>
          <w:sz w:val="24"/>
          <w:szCs w:val="24"/>
          <w:lang w:bidi="en-US"/>
        </w:rPr>
        <w:t xml:space="preserve"> used as target probes are shown in </w:t>
      </w:r>
      <w:r w:rsidR="00545DE9" w:rsidRPr="005B1CCB">
        <w:rPr>
          <w:rFonts w:ascii="Palatino Linotype" w:hAnsi="Palatino Linotype"/>
          <w:sz w:val="24"/>
          <w:szCs w:val="24"/>
          <w:lang w:bidi="en-US"/>
        </w:rPr>
        <w:t>T</w:t>
      </w:r>
      <w:r w:rsidR="00192DA0" w:rsidRPr="005B1CCB">
        <w:rPr>
          <w:rFonts w:ascii="Palatino Linotype" w:hAnsi="Palatino Linotype"/>
          <w:sz w:val="24"/>
          <w:szCs w:val="24"/>
          <w:lang w:bidi="en-US"/>
        </w:rPr>
        <w:t>able</w:t>
      </w:r>
      <w:r w:rsidR="00545DE9" w:rsidRPr="005B1CCB">
        <w:rPr>
          <w:rFonts w:ascii="Palatino Linotype" w:hAnsi="Palatino Linotype"/>
          <w:sz w:val="24"/>
          <w:szCs w:val="24"/>
          <w:lang w:bidi="en-US"/>
        </w:rPr>
        <w:t xml:space="preserve"> </w:t>
      </w:r>
      <w:r w:rsidR="00CD7488" w:rsidRPr="005B1CCB">
        <w:rPr>
          <w:rFonts w:ascii="Palatino Linotype" w:hAnsi="Palatino Linotype"/>
          <w:sz w:val="24"/>
          <w:szCs w:val="24"/>
          <w:lang w:bidi="en-US"/>
        </w:rPr>
        <w:t>1</w:t>
      </w:r>
      <w:r w:rsidR="00CD7488">
        <w:rPr>
          <w:rFonts w:ascii="Palatino Linotype" w:hAnsi="Palatino Linotype"/>
          <w:sz w:val="24"/>
          <w:szCs w:val="24"/>
          <w:lang w:bidi="en-US"/>
        </w:rPr>
        <w:t>4</w:t>
      </w:r>
      <w:r w:rsidR="00192DA0" w:rsidRPr="005B1CCB">
        <w:rPr>
          <w:rFonts w:ascii="Palatino Linotype" w:hAnsi="Palatino Linotype"/>
          <w:sz w:val="24"/>
          <w:szCs w:val="24"/>
          <w:lang w:bidi="en-US"/>
        </w:rPr>
        <w:t>.</w:t>
      </w:r>
    </w:p>
    <w:p w14:paraId="7A9C23C0" w14:textId="77777777" w:rsidR="00701B05" w:rsidRPr="005B1CCB" w:rsidRDefault="00701B05" w:rsidP="00DB3A7C">
      <w:pPr>
        <w:spacing w:line="360" w:lineRule="auto"/>
        <w:jc w:val="both"/>
        <w:rPr>
          <w:rFonts w:ascii="Palatino Linotype" w:hAnsi="Palatino Linotype"/>
          <w:sz w:val="24"/>
          <w:szCs w:val="24"/>
          <w:lang w:bidi="en-US"/>
        </w:rPr>
      </w:pPr>
    </w:p>
    <w:p w14:paraId="53147037" w14:textId="66872D2F" w:rsidR="00235330" w:rsidRPr="005B1CCB" w:rsidRDefault="00235330" w:rsidP="00235330">
      <w:pPr>
        <w:pStyle w:val="Caption"/>
        <w:keepNext/>
        <w:jc w:val="center"/>
        <w:rPr>
          <w:sz w:val="22"/>
          <w:szCs w:val="22"/>
        </w:rPr>
      </w:pPr>
      <w:r w:rsidRPr="005B1CCB">
        <w:rPr>
          <w:sz w:val="22"/>
          <w:szCs w:val="22"/>
        </w:rPr>
        <w:t xml:space="preserve">Table </w:t>
      </w:r>
      <w:r w:rsidR="00CD7488" w:rsidRPr="005B1CCB">
        <w:rPr>
          <w:sz w:val="22"/>
          <w:szCs w:val="22"/>
        </w:rPr>
        <w:t>1</w:t>
      </w:r>
      <w:r w:rsidR="00CD7488">
        <w:rPr>
          <w:sz w:val="22"/>
          <w:szCs w:val="22"/>
        </w:rPr>
        <w:t>4</w:t>
      </w:r>
      <w:r w:rsidRPr="005B1CCB">
        <w:rPr>
          <w:sz w:val="22"/>
          <w:szCs w:val="22"/>
        </w:rPr>
        <w:t>:</w:t>
      </w:r>
      <w:r w:rsidRPr="005B1CCB">
        <w:rPr>
          <w:rFonts w:ascii="Palatino Linotype" w:hAnsi="Palatino Linotype"/>
          <w:sz w:val="22"/>
          <w:szCs w:val="22"/>
          <w:lang w:bidi="en-US"/>
        </w:rPr>
        <w:t xml:space="preserve"> </w:t>
      </w:r>
      <w:bookmarkStart w:id="202" w:name="_Hlk84274950"/>
      <w:r w:rsidRPr="005B1CCB">
        <w:rPr>
          <w:sz w:val="22"/>
          <w:szCs w:val="22"/>
        </w:rPr>
        <w:t xml:space="preserve">DNA quantification </w:t>
      </w:r>
      <w:r w:rsidR="003767C4" w:rsidRPr="005B1CCB">
        <w:rPr>
          <w:sz w:val="22"/>
          <w:szCs w:val="22"/>
        </w:rPr>
        <w:t>r</w:t>
      </w:r>
      <w:r w:rsidRPr="005B1CCB">
        <w:rPr>
          <w:sz w:val="22"/>
          <w:szCs w:val="22"/>
        </w:rPr>
        <w:t>esult</w:t>
      </w:r>
      <w:r w:rsidR="00545DE9" w:rsidRPr="005B1CCB">
        <w:rPr>
          <w:sz w:val="22"/>
          <w:szCs w:val="22"/>
        </w:rPr>
        <w:t xml:space="preserve"> showing wild-type amplification directly from plasma</w:t>
      </w:r>
    </w:p>
    <w:tbl>
      <w:tblPr>
        <w:tblW w:w="9357" w:type="dxa"/>
        <w:tblInd w:w="-431" w:type="dxa"/>
        <w:tblLook w:val="04A0" w:firstRow="1" w:lastRow="0" w:firstColumn="1" w:lastColumn="0" w:noHBand="0" w:noVBand="1"/>
      </w:tblPr>
      <w:tblGrid>
        <w:gridCol w:w="3122"/>
        <w:gridCol w:w="726"/>
        <w:gridCol w:w="668"/>
        <w:gridCol w:w="817"/>
        <w:gridCol w:w="817"/>
        <w:gridCol w:w="817"/>
        <w:gridCol w:w="817"/>
        <w:gridCol w:w="817"/>
        <w:gridCol w:w="756"/>
      </w:tblGrid>
      <w:tr w:rsidR="00050A36" w:rsidRPr="005B1CCB" w14:paraId="165D9881" w14:textId="77777777" w:rsidTr="00235330">
        <w:tc>
          <w:tcPr>
            <w:tcW w:w="3122" w:type="dxa"/>
          </w:tcPr>
          <w:bookmarkEnd w:id="202"/>
          <w:p w14:paraId="5221C45F" w14:textId="77777777" w:rsidR="00050A36" w:rsidRPr="005B1CCB" w:rsidRDefault="00FE4999" w:rsidP="001E7DD9">
            <w:pPr>
              <w:jc w:val="center"/>
              <w:rPr>
                <w:rFonts w:ascii="Palatino Linotype" w:hAnsi="Palatino Linotype"/>
                <w:b/>
                <w:sz w:val="24"/>
                <w:szCs w:val="24"/>
                <w:lang w:bidi="en-US"/>
              </w:rPr>
            </w:pPr>
            <w:r w:rsidRPr="005B1CCB">
              <w:rPr>
                <w:rFonts w:ascii="Palatino Linotype" w:hAnsi="Palatino Linotype"/>
                <w:b/>
                <w:sz w:val="24"/>
                <w:szCs w:val="24"/>
                <w:lang w:bidi="en-US"/>
              </w:rPr>
              <w:t>cfDNA ID</w:t>
            </w:r>
          </w:p>
        </w:tc>
        <w:tc>
          <w:tcPr>
            <w:tcW w:w="726" w:type="dxa"/>
          </w:tcPr>
          <w:p w14:paraId="74775AE8"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413</w:t>
            </w:r>
          </w:p>
        </w:tc>
        <w:tc>
          <w:tcPr>
            <w:tcW w:w="668" w:type="dxa"/>
          </w:tcPr>
          <w:p w14:paraId="21E773CA"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428</w:t>
            </w:r>
          </w:p>
        </w:tc>
        <w:tc>
          <w:tcPr>
            <w:tcW w:w="817" w:type="dxa"/>
          </w:tcPr>
          <w:p w14:paraId="4751C973"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437</w:t>
            </w:r>
          </w:p>
        </w:tc>
        <w:tc>
          <w:tcPr>
            <w:tcW w:w="817" w:type="dxa"/>
          </w:tcPr>
          <w:p w14:paraId="27AA1C0B"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438</w:t>
            </w:r>
          </w:p>
        </w:tc>
        <w:tc>
          <w:tcPr>
            <w:tcW w:w="817" w:type="dxa"/>
          </w:tcPr>
          <w:p w14:paraId="44028E9D"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440</w:t>
            </w:r>
          </w:p>
        </w:tc>
        <w:tc>
          <w:tcPr>
            <w:tcW w:w="817" w:type="dxa"/>
          </w:tcPr>
          <w:p w14:paraId="3125F4DA"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459</w:t>
            </w:r>
          </w:p>
        </w:tc>
        <w:tc>
          <w:tcPr>
            <w:tcW w:w="817" w:type="dxa"/>
          </w:tcPr>
          <w:p w14:paraId="182F248B"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466</w:t>
            </w:r>
          </w:p>
        </w:tc>
        <w:tc>
          <w:tcPr>
            <w:tcW w:w="756" w:type="dxa"/>
          </w:tcPr>
          <w:p w14:paraId="639997B3"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481</w:t>
            </w:r>
          </w:p>
        </w:tc>
      </w:tr>
      <w:tr w:rsidR="000D554E" w:rsidRPr="005B1CCB" w14:paraId="2D4EEE42" w14:textId="77777777" w:rsidTr="00235330">
        <w:tc>
          <w:tcPr>
            <w:tcW w:w="3122" w:type="dxa"/>
          </w:tcPr>
          <w:p w14:paraId="1FB0449D" w14:textId="00B52B41" w:rsidR="000D554E" w:rsidRPr="005B1CCB" w:rsidRDefault="000D554E" w:rsidP="00E94636">
            <w:pPr>
              <w:jc w:val="center"/>
              <w:rPr>
                <w:rFonts w:ascii="Palatino Linotype" w:hAnsi="Palatino Linotype"/>
                <w:b/>
                <w:sz w:val="24"/>
                <w:szCs w:val="24"/>
                <w:lang w:bidi="en-US"/>
              </w:rPr>
            </w:pPr>
            <w:r w:rsidRPr="005B1CCB">
              <w:rPr>
                <w:rFonts w:ascii="Palatino Linotype" w:hAnsi="Palatino Linotype"/>
                <w:b/>
                <w:sz w:val="24"/>
                <w:szCs w:val="24"/>
                <w:lang w:bidi="en-US"/>
              </w:rPr>
              <w:t>Pre- amplification</w:t>
            </w:r>
            <w:r w:rsidR="00B9788F">
              <w:rPr>
                <w:rFonts w:ascii="Palatino Linotype" w:hAnsi="Palatino Linotype"/>
                <w:b/>
                <w:sz w:val="24"/>
                <w:szCs w:val="24"/>
                <w:lang w:bidi="en-US"/>
              </w:rPr>
              <w:t xml:space="preserve"> (</w:t>
            </w:r>
            <w:r w:rsidR="00B9788F" w:rsidRPr="005B1CCB">
              <w:rPr>
                <w:rFonts w:ascii="Palatino Linotype" w:hAnsi="Palatino Linotype"/>
                <w:b/>
                <w:sz w:val="24"/>
                <w:szCs w:val="24"/>
                <w:lang w:bidi="en-US"/>
              </w:rPr>
              <w:t>ng/μl</w:t>
            </w:r>
            <w:r w:rsidR="00B9788F">
              <w:rPr>
                <w:rFonts w:ascii="Palatino Linotype" w:hAnsi="Palatino Linotype"/>
                <w:b/>
                <w:sz w:val="24"/>
                <w:szCs w:val="24"/>
                <w:lang w:bidi="en-US"/>
              </w:rPr>
              <w:t>)</w:t>
            </w:r>
          </w:p>
        </w:tc>
        <w:tc>
          <w:tcPr>
            <w:tcW w:w="726" w:type="dxa"/>
          </w:tcPr>
          <w:p w14:paraId="4844F3E8"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43</w:t>
            </w:r>
          </w:p>
        </w:tc>
        <w:tc>
          <w:tcPr>
            <w:tcW w:w="668" w:type="dxa"/>
          </w:tcPr>
          <w:p w14:paraId="184DDFF4"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37</w:t>
            </w:r>
          </w:p>
        </w:tc>
        <w:tc>
          <w:tcPr>
            <w:tcW w:w="817" w:type="dxa"/>
          </w:tcPr>
          <w:p w14:paraId="7E9550DB"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33.4</w:t>
            </w:r>
          </w:p>
        </w:tc>
        <w:tc>
          <w:tcPr>
            <w:tcW w:w="817" w:type="dxa"/>
          </w:tcPr>
          <w:p w14:paraId="414BCAC2"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45.4</w:t>
            </w:r>
          </w:p>
        </w:tc>
        <w:tc>
          <w:tcPr>
            <w:tcW w:w="817" w:type="dxa"/>
          </w:tcPr>
          <w:p w14:paraId="13AE4F38"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33.6</w:t>
            </w:r>
          </w:p>
        </w:tc>
        <w:tc>
          <w:tcPr>
            <w:tcW w:w="817" w:type="dxa"/>
          </w:tcPr>
          <w:p w14:paraId="2121C98C"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54.6</w:t>
            </w:r>
          </w:p>
        </w:tc>
        <w:tc>
          <w:tcPr>
            <w:tcW w:w="817" w:type="dxa"/>
          </w:tcPr>
          <w:p w14:paraId="283DCE29"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44.2</w:t>
            </w:r>
          </w:p>
        </w:tc>
        <w:tc>
          <w:tcPr>
            <w:tcW w:w="756" w:type="dxa"/>
          </w:tcPr>
          <w:p w14:paraId="661ACD9D"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26.2</w:t>
            </w:r>
          </w:p>
        </w:tc>
      </w:tr>
      <w:tr w:rsidR="000D554E" w:rsidRPr="005B1CCB" w14:paraId="6E5BB940" w14:textId="77777777" w:rsidTr="00235330">
        <w:tc>
          <w:tcPr>
            <w:tcW w:w="3122" w:type="dxa"/>
          </w:tcPr>
          <w:p w14:paraId="481714DF" w14:textId="77777777" w:rsidR="000D554E" w:rsidRPr="005B1CCB" w:rsidRDefault="000D554E" w:rsidP="00932D48">
            <w:pPr>
              <w:jc w:val="center"/>
              <w:rPr>
                <w:rFonts w:ascii="Palatino Linotype" w:hAnsi="Palatino Linotype"/>
                <w:b/>
                <w:sz w:val="24"/>
                <w:szCs w:val="24"/>
                <w:lang w:bidi="en-US"/>
              </w:rPr>
            </w:pPr>
            <w:r w:rsidRPr="005B1CCB">
              <w:rPr>
                <w:rFonts w:ascii="Palatino Linotype" w:hAnsi="Palatino Linotype"/>
                <w:b/>
                <w:sz w:val="24"/>
                <w:szCs w:val="24"/>
                <w:lang w:bidi="en-US"/>
              </w:rPr>
              <w:t>Post- dsDNA amplification (</w:t>
            </w:r>
            <w:r w:rsidR="00932D48" w:rsidRPr="005B1CCB">
              <w:rPr>
                <w:rFonts w:ascii="Palatino Linotype" w:hAnsi="Palatino Linotype"/>
                <w:b/>
                <w:sz w:val="24"/>
                <w:szCs w:val="24"/>
                <w:lang w:bidi="en-US"/>
              </w:rPr>
              <w:t>KRAS</w:t>
            </w:r>
            <w:r w:rsidRPr="005B1CCB">
              <w:rPr>
                <w:rFonts w:ascii="Palatino Linotype" w:hAnsi="Palatino Linotype"/>
                <w:b/>
                <w:sz w:val="24"/>
                <w:szCs w:val="24"/>
                <w:lang w:bidi="en-US"/>
              </w:rPr>
              <w:t xml:space="preserve"> </w:t>
            </w:r>
            <w:r w:rsidR="00670540" w:rsidRPr="005B1CCB">
              <w:rPr>
                <w:rFonts w:ascii="Palatino Linotype" w:hAnsi="Palatino Linotype"/>
                <w:b/>
                <w:sz w:val="24"/>
                <w:szCs w:val="24"/>
                <w:lang w:bidi="en-US"/>
              </w:rPr>
              <w:t xml:space="preserve">Wild-type </w:t>
            </w:r>
            <w:r w:rsidRPr="005B1CCB">
              <w:rPr>
                <w:rFonts w:ascii="Palatino Linotype" w:hAnsi="Palatino Linotype"/>
                <w:b/>
                <w:sz w:val="24"/>
                <w:szCs w:val="24"/>
                <w:lang w:bidi="en-US"/>
              </w:rPr>
              <w:t>primers -ng/μl)</w:t>
            </w:r>
          </w:p>
        </w:tc>
        <w:tc>
          <w:tcPr>
            <w:tcW w:w="726" w:type="dxa"/>
          </w:tcPr>
          <w:p w14:paraId="38888003"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166</w:t>
            </w:r>
          </w:p>
        </w:tc>
        <w:tc>
          <w:tcPr>
            <w:tcW w:w="668" w:type="dxa"/>
          </w:tcPr>
          <w:p w14:paraId="67A3B420"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136</w:t>
            </w:r>
          </w:p>
        </w:tc>
        <w:tc>
          <w:tcPr>
            <w:tcW w:w="817" w:type="dxa"/>
          </w:tcPr>
          <w:p w14:paraId="0E4222F1"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142</w:t>
            </w:r>
          </w:p>
        </w:tc>
        <w:tc>
          <w:tcPr>
            <w:tcW w:w="817" w:type="dxa"/>
          </w:tcPr>
          <w:p w14:paraId="1A433FEF"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106</w:t>
            </w:r>
          </w:p>
        </w:tc>
        <w:tc>
          <w:tcPr>
            <w:tcW w:w="817" w:type="dxa"/>
          </w:tcPr>
          <w:p w14:paraId="20F87923"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138</w:t>
            </w:r>
          </w:p>
        </w:tc>
        <w:tc>
          <w:tcPr>
            <w:tcW w:w="817" w:type="dxa"/>
          </w:tcPr>
          <w:p w14:paraId="774BE7DD"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98</w:t>
            </w:r>
          </w:p>
        </w:tc>
        <w:tc>
          <w:tcPr>
            <w:tcW w:w="817" w:type="dxa"/>
          </w:tcPr>
          <w:p w14:paraId="360AF34F"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124</w:t>
            </w:r>
          </w:p>
        </w:tc>
        <w:tc>
          <w:tcPr>
            <w:tcW w:w="756" w:type="dxa"/>
          </w:tcPr>
          <w:p w14:paraId="5D24F870" w14:textId="77777777" w:rsidR="000D554E" w:rsidRPr="005B1CCB" w:rsidRDefault="000D554E" w:rsidP="00E94636">
            <w:pPr>
              <w:jc w:val="center"/>
              <w:rPr>
                <w:rFonts w:ascii="Palatino Linotype" w:hAnsi="Palatino Linotype"/>
                <w:sz w:val="24"/>
                <w:szCs w:val="24"/>
                <w:lang w:bidi="en-US"/>
              </w:rPr>
            </w:pPr>
            <w:r w:rsidRPr="005B1CCB">
              <w:rPr>
                <w:rFonts w:ascii="Palatino Linotype" w:hAnsi="Palatino Linotype"/>
                <w:sz w:val="24"/>
                <w:szCs w:val="24"/>
                <w:lang w:bidi="en-US"/>
              </w:rPr>
              <w:t>42</w:t>
            </w:r>
          </w:p>
        </w:tc>
      </w:tr>
      <w:tr w:rsidR="00050A36" w:rsidRPr="005B1CCB" w14:paraId="678DA55B" w14:textId="77777777" w:rsidTr="00235330">
        <w:tc>
          <w:tcPr>
            <w:tcW w:w="3122" w:type="dxa"/>
          </w:tcPr>
          <w:p w14:paraId="4FDEC0EA" w14:textId="77777777" w:rsidR="00050A36" w:rsidRPr="005B1CCB" w:rsidRDefault="00050A36" w:rsidP="00E94636">
            <w:pPr>
              <w:jc w:val="center"/>
              <w:rPr>
                <w:rFonts w:ascii="Palatino Linotype" w:hAnsi="Palatino Linotype"/>
                <w:b/>
                <w:sz w:val="24"/>
                <w:szCs w:val="24"/>
                <w:lang w:bidi="en-US"/>
              </w:rPr>
            </w:pPr>
            <w:r w:rsidRPr="005B1CCB">
              <w:rPr>
                <w:rFonts w:ascii="Palatino Linotype" w:hAnsi="Palatino Linotype"/>
                <w:b/>
                <w:sz w:val="24"/>
                <w:szCs w:val="24"/>
                <w:lang w:bidi="en-US"/>
              </w:rPr>
              <w:t>Control (No Primer)</w:t>
            </w:r>
          </w:p>
        </w:tc>
        <w:tc>
          <w:tcPr>
            <w:tcW w:w="726" w:type="dxa"/>
          </w:tcPr>
          <w:p w14:paraId="2F9BA3CE"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37</w:t>
            </w:r>
          </w:p>
        </w:tc>
        <w:tc>
          <w:tcPr>
            <w:tcW w:w="668" w:type="dxa"/>
          </w:tcPr>
          <w:p w14:paraId="00E7E4AA"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30.4</w:t>
            </w:r>
          </w:p>
        </w:tc>
        <w:tc>
          <w:tcPr>
            <w:tcW w:w="817" w:type="dxa"/>
          </w:tcPr>
          <w:p w14:paraId="5B3C0487"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25.6</w:t>
            </w:r>
          </w:p>
        </w:tc>
        <w:tc>
          <w:tcPr>
            <w:tcW w:w="817" w:type="dxa"/>
          </w:tcPr>
          <w:p w14:paraId="2886A6C8"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23.6</w:t>
            </w:r>
          </w:p>
        </w:tc>
        <w:tc>
          <w:tcPr>
            <w:tcW w:w="817" w:type="dxa"/>
          </w:tcPr>
          <w:p w14:paraId="50B90FA3"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34.6</w:t>
            </w:r>
          </w:p>
        </w:tc>
        <w:tc>
          <w:tcPr>
            <w:tcW w:w="817" w:type="dxa"/>
          </w:tcPr>
          <w:p w14:paraId="6699B6E8"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24.2</w:t>
            </w:r>
          </w:p>
        </w:tc>
        <w:tc>
          <w:tcPr>
            <w:tcW w:w="817" w:type="dxa"/>
          </w:tcPr>
          <w:p w14:paraId="320AC231"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34.8</w:t>
            </w:r>
          </w:p>
        </w:tc>
        <w:tc>
          <w:tcPr>
            <w:tcW w:w="756" w:type="dxa"/>
          </w:tcPr>
          <w:p w14:paraId="61C89875" w14:textId="77777777" w:rsidR="00050A36" w:rsidRPr="005B1CCB" w:rsidRDefault="00050A36" w:rsidP="00E94636">
            <w:pPr>
              <w:jc w:val="center"/>
              <w:rPr>
                <w:rFonts w:ascii="Palatino Linotype" w:hAnsi="Palatino Linotype"/>
                <w:sz w:val="24"/>
                <w:szCs w:val="24"/>
                <w:lang w:bidi="en-US"/>
              </w:rPr>
            </w:pPr>
            <w:r w:rsidRPr="005B1CCB">
              <w:rPr>
                <w:rFonts w:ascii="Palatino Linotype" w:hAnsi="Palatino Linotype"/>
                <w:sz w:val="24"/>
                <w:szCs w:val="24"/>
                <w:lang w:bidi="en-US"/>
              </w:rPr>
              <w:t>18.3</w:t>
            </w:r>
          </w:p>
        </w:tc>
      </w:tr>
    </w:tbl>
    <w:p w14:paraId="400D80A1" w14:textId="77777777" w:rsidR="006C4584" w:rsidRPr="005B1CCB" w:rsidRDefault="006C4584" w:rsidP="00477A94">
      <w:pPr>
        <w:rPr>
          <w:lang w:bidi="en-US"/>
        </w:rPr>
      </w:pPr>
    </w:p>
    <w:p w14:paraId="610C81E5" w14:textId="77777777" w:rsidR="00251094" w:rsidRPr="005B1CCB" w:rsidRDefault="00251094" w:rsidP="00477A94">
      <w:pPr>
        <w:rPr>
          <w:lang w:bidi="en-US"/>
        </w:rPr>
      </w:pPr>
    </w:p>
    <w:p w14:paraId="37E00D20" w14:textId="77777777" w:rsidR="00CC7349" w:rsidRPr="005B1CCB" w:rsidRDefault="00FD0FA2" w:rsidP="00185E1C">
      <w:pPr>
        <w:pStyle w:val="Heading3"/>
      </w:pPr>
      <w:bookmarkStart w:id="203" w:name="_Toc84528147"/>
      <w:r w:rsidRPr="005B1CCB">
        <w:t>Non-</w:t>
      </w:r>
      <w:r w:rsidR="006F5E43" w:rsidRPr="005B1CCB">
        <w:t>complementary</w:t>
      </w:r>
      <w:r w:rsidRPr="005B1CCB">
        <w:t xml:space="preserve"> </w:t>
      </w:r>
      <w:r w:rsidR="00F540B0" w:rsidRPr="005B1CCB">
        <w:t xml:space="preserve">wild-type </w:t>
      </w:r>
      <w:r w:rsidR="00CC7349" w:rsidRPr="005B1CCB">
        <w:t>DNA hybridisation using CNT-modified SPCE</w:t>
      </w:r>
      <w:bookmarkEnd w:id="203"/>
      <w:r w:rsidR="00CC7349" w:rsidRPr="005B1CCB">
        <w:t xml:space="preserve"> </w:t>
      </w:r>
    </w:p>
    <w:p w14:paraId="296463C9" w14:textId="77777777" w:rsidR="002110C0" w:rsidRPr="005B1CCB" w:rsidRDefault="007A78CF" w:rsidP="002C305D">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FD0FA2" w:rsidRPr="005B1CCB">
        <w:rPr>
          <w:rFonts w:ascii="Palatino Linotype" w:hAnsi="Palatino Linotype"/>
          <w:sz w:val="24"/>
          <w:szCs w:val="24"/>
          <w:lang w:bidi="en-US"/>
        </w:rPr>
        <w:t>Other aspects of sensor performance were evaluated and this included testing the sensor with sequences of non-specific DNA</w:t>
      </w:r>
      <w:r w:rsidR="00C67F9E" w:rsidRPr="005B1CCB">
        <w:rPr>
          <w:rFonts w:ascii="Palatino Linotype" w:hAnsi="Palatino Linotype"/>
          <w:sz w:val="24"/>
          <w:szCs w:val="24"/>
          <w:lang w:bidi="en-US"/>
        </w:rPr>
        <w:t xml:space="preserve"> sequences (wild-type amplicons and mutant probes)</w:t>
      </w:r>
      <w:r w:rsidR="00FD0FA2" w:rsidRPr="005B1CCB">
        <w:rPr>
          <w:rFonts w:ascii="Palatino Linotype" w:hAnsi="Palatino Linotype"/>
          <w:sz w:val="24"/>
          <w:szCs w:val="24"/>
          <w:lang w:bidi="en-US"/>
        </w:rPr>
        <w:t xml:space="preserve">. </w:t>
      </w:r>
      <w:r w:rsidR="004A0F64" w:rsidRPr="005B1CCB">
        <w:rPr>
          <w:rFonts w:ascii="Palatino Linotype" w:hAnsi="Palatino Linotype"/>
          <w:sz w:val="24"/>
          <w:szCs w:val="24"/>
          <w:lang w:bidi="en-US"/>
        </w:rPr>
        <w:t xml:space="preserve">The difference between the mutant and wild-type DNA probes is a single base change. </w:t>
      </w:r>
      <w:r w:rsidR="002D1765" w:rsidRPr="005B1CCB">
        <w:rPr>
          <w:rFonts w:ascii="Palatino Linotype" w:hAnsi="Palatino Linotype"/>
          <w:sz w:val="24"/>
          <w:szCs w:val="24"/>
          <w:lang w:bidi="en-US"/>
        </w:rPr>
        <w:t>From Figure 5</w:t>
      </w:r>
      <w:r w:rsidR="00251094" w:rsidRPr="005B1CCB">
        <w:rPr>
          <w:rFonts w:ascii="Palatino Linotype" w:hAnsi="Palatino Linotype"/>
          <w:sz w:val="24"/>
          <w:szCs w:val="24"/>
          <w:lang w:bidi="en-US"/>
        </w:rPr>
        <w:t>5</w:t>
      </w:r>
      <w:r w:rsidR="002D1765" w:rsidRPr="005B1CCB">
        <w:rPr>
          <w:rFonts w:ascii="Palatino Linotype" w:hAnsi="Palatino Linotype"/>
          <w:sz w:val="24"/>
          <w:szCs w:val="24"/>
          <w:lang w:bidi="en-US"/>
        </w:rPr>
        <w:t>, u</w:t>
      </w:r>
      <w:r w:rsidR="003C60F3" w:rsidRPr="005B1CCB">
        <w:rPr>
          <w:rFonts w:ascii="Palatino Linotype" w:hAnsi="Palatino Linotype"/>
          <w:sz w:val="24"/>
          <w:szCs w:val="24"/>
          <w:lang w:bidi="en-US"/>
        </w:rPr>
        <w:t>sing</w:t>
      </w:r>
      <w:r w:rsidR="004A0F64" w:rsidRPr="005B1CCB">
        <w:rPr>
          <w:rFonts w:ascii="Palatino Linotype" w:hAnsi="Palatino Linotype"/>
          <w:sz w:val="24"/>
          <w:szCs w:val="24"/>
          <w:lang w:bidi="en-US"/>
        </w:rPr>
        <w:t xml:space="preserve"> both the KRAS pG12D and pG13D </w:t>
      </w:r>
      <w:r w:rsidR="003C60F3" w:rsidRPr="005B1CCB">
        <w:rPr>
          <w:rFonts w:ascii="Palatino Linotype" w:hAnsi="Palatino Linotype"/>
          <w:sz w:val="24"/>
          <w:szCs w:val="24"/>
          <w:lang w:bidi="en-US"/>
        </w:rPr>
        <w:t>mutant probes</w:t>
      </w:r>
      <w:r w:rsidR="004A0F64" w:rsidRPr="005B1CCB">
        <w:rPr>
          <w:rFonts w:ascii="Palatino Linotype" w:hAnsi="Palatino Linotype"/>
          <w:sz w:val="24"/>
          <w:szCs w:val="24"/>
          <w:lang w:bidi="en-US"/>
        </w:rPr>
        <w:t>, it is observed that patients 466 and 481 displayed higher signal changes compared</w:t>
      </w:r>
      <w:r w:rsidR="00BE0D39" w:rsidRPr="005B1CCB">
        <w:rPr>
          <w:rFonts w:ascii="Palatino Linotype" w:hAnsi="Palatino Linotype"/>
          <w:sz w:val="24"/>
          <w:szCs w:val="24"/>
          <w:lang w:bidi="en-US"/>
        </w:rPr>
        <w:t xml:space="preserve"> to the other six patients</w:t>
      </w:r>
      <w:r w:rsidR="004A0F64" w:rsidRPr="005B1CCB">
        <w:rPr>
          <w:rFonts w:ascii="Palatino Linotype" w:hAnsi="Palatino Linotype"/>
          <w:sz w:val="24"/>
          <w:szCs w:val="24"/>
          <w:lang w:bidi="en-US"/>
        </w:rPr>
        <w:t xml:space="preserve">. This suggests that KRAS is </w:t>
      </w:r>
      <w:r w:rsidR="0081156D" w:rsidRPr="005B1CCB">
        <w:rPr>
          <w:rFonts w:ascii="Palatino Linotype" w:hAnsi="Palatino Linotype"/>
          <w:sz w:val="24"/>
          <w:szCs w:val="24"/>
          <w:lang w:bidi="en-US"/>
        </w:rPr>
        <w:t>elevated</w:t>
      </w:r>
      <w:r w:rsidR="004A0F64" w:rsidRPr="005B1CCB">
        <w:rPr>
          <w:rFonts w:ascii="Palatino Linotype" w:hAnsi="Palatino Linotype"/>
          <w:sz w:val="24"/>
          <w:szCs w:val="24"/>
          <w:lang w:bidi="en-US"/>
        </w:rPr>
        <w:t xml:space="preserve"> in both samples but it does not specify what KRAS mutation is present as there is no clear specificity observed when comparing both pG12D and pG13D hybridisation signals. Generally, th</w:t>
      </w:r>
      <w:r w:rsidR="002C305D" w:rsidRPr="005B1CCB">
        <w:rPr>
          <w:rFonts w:ascii="Palatino Linotype" w:hAnsi="Palatino Linotype"/>
          <w:sz w:val="24"/>
          <w:szCs w:val="24"/>
          <w:lang w:bidi="en-US"/>
        </w:rPr>
        <w:t>e peak currents obtained using both voltammetry technique decreased with increasing DNA concentration</w:t>
      </w:r>
      <w:r w:rsidR="004A0F64" w:rsidRPr="005B1CCB">
        <w:rPr>
          <w:rFonts w:ascii="Palatino Linotype" w:hAnsi="Palatino Linotype"/>
          <w:sz w:val="24"/>
          <w:szCs w:val="24"/>
          <w:lang w:bidi="en-US"/>
        </w:rPr>
        <w:t xml:space="preserve"> but noting the SWV results patients 437 and 438 tested negative for KRAS as the percentage signal change observed was negative</w:t>
      </w:r>
      <w:r w:rsidR="002C305D" w:rsidRPr="005B1CCB">
        <w:rPr>
          <w:rFonts w:ascii="Palatino Linotype" w:hAnsi="Palatino Linotype"/>
          <w:sz w:val="24"/>
          <w:szCs w:val="24"/>
          <w:lang w:bidi="en-US"/>
        </w:rPr>
        <w:t>.</w:t>
      </w:r>
      <w:r w:rsidR="00687D5E" w:rsidRPr="005B1CCB">
        <w:rPr>
          <w:rFonts w:ascii="Palatino Linotype" w:hAnsi="Palatino Linotype"/>
          <w:sz w:val="24"/>
          <w:szCs w:val="24"/>
          <w:lang w:bidi="en-US"/>
        </w:rPr>
        <w:t xml:space="preserve"> A</w:t>
      </w:r>
      <w:r w:rsidR="00703120" w:rsidRPr="005B1CCB">
        <w:rPr>
          <w:rFonts w:ascii="Palatino Linotype" w:hAnsi="Palatino Linotype"/>
          <w:sz w:val="24"/>
          <w:szCs w:val="24"/>
          <w:lang w:bidi="en-US"/>
        </w:rPr>
        <w:t>n identical pattern in signal change is observed in all the measurements as would be expected giv</w:t>
      </w:r>
      <w:r w:rsidR="003E2471" w:rsidRPr="005B1CCB">
        <w:rPr>
          <w:rFonts w:ascii="Palatino Linotype" w:hAnsi="Palatino Linotype"/>
          <w:sz w:val="24"/>
          <w:szCs w:val="24"/>
          <w:lang w:bidi="en-US"/>
        </w:rPr>
        <w:t>en</w:t>
      </w:r>
      <w:r w:rsidR="00703120" w:rsidRPr="005B1CCB">
        <w:rPr>
          <w:rFonts w:ascii="Palatino Linotype" w:hAnsi="Palatino Linotype"/>
          <w:sz w:val="24"/>
          <w:szCs w:val="24"/>
          <w:lang w:bidi="en-US"/>
        </w:rPr>
        <w:t xml:space="preserve"> that the wild-type amplicons </w:t>
      </w:r>
      <w:r w:rsidR="00F52BBA" w:rsidRPr="005B1CCB">
        <w:rPr>
          <w:rFonts w:ascii="Palatino Linotype" w:hAnsi="Palatino Linotype"/>
          <w:sz w:val="24"/>
          <w:szCs w:val="24"/>
          <w:lang w:bidi="en-US"/>
        </w:rPr>
        <w:t xml:space="preserve">were </w:t>
      </w:r>
      <w:r w:rsidR="00703120" w:rsidRPr="005B1CCB">
        <w:rPr>
          <w:rFonts w:ascii="Palatino Linotype" w:hAnsi="Palatino Linotype"/>
          <w:sz w:val="24"/>
          <w:szCs w:val="24"/>
          <w:lang w:bidi="en-US"/>
        </w:rPr>
        <w:t>binding in all regions save for the single base change.</w:t>
      </w:r>
    </w:p>
    <w:p w14:paraId="0B54E3B9" w14:textId="77777777" w:rsidR="00865FB9" w:rsidRPr="005B1CCB" w:rsidRDefault="00CC7349" w:rsidP="00865FB9">
      <w:pPr>
        <w:keepNext/>
        <w:spacing w:line="360" w:lineRule="auto"/>
        <w:jc w:val="both"/>
      </w:pPr>
      <w:r w:rsidRPr="005B1CCB">
        <w:rPr>
          <w:noProof/>
          <w:lang w:eastAsia="en-GB"/>
        </w:rPr>
        <w:drawing>
          <wp:inline distT="0" distB="0" distL="0" distR="0" wp14:anchorId="59B2958C" wp14:editId="33200536">
            <wp:extent cx="6011840" cy="4720590"/>
            <wp:effectExtent l="0" t="0" r="8255"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BEBA8EAE-BF5A-486C-A8C5-ECC9F3942E4B}">
                          <a14:imgProps xmlns:a14="http://schemas.microsoft.com/office/drawing/2010/main">
                            <a14:imgLayer r:embed="rId75">
                              <a14:imgEffect>
                                <a14:sharpenSoften amount="100000"/>
                              </a14:imgEffect>
                            </a14:imgLayer>
                          </a14:imgProps>
                        </a:ext>
                      </a:extLst>
                    </a:blip>
                    <a:stretch>
                      <a:fillRect/>
                    </a:stretch>
                  </pic:blipFill>
                  <pic:spPr>
                    <a:xfrm>
                      <a:off x="0" y="0"/>
                      <a:ext cx="6066948" cy="4763861"/>
                    </a:xfrm>
                    <a:prstGeom prst="rect">
                      <a:avLst/>
                    </a:prstGeom>
                  </pic:spPr>
                </pic:pic>
              </a:graphicData>
            </a:graphic>
          </wp:inline>
        </w:drawing>
      </w:r>
    </w:p>
    <w:p w14:paraId="52B0F18B" w14:textId="77777777" w:rsidR="00CC7349" w:rsidRPr="005B1CCB" w:rsidRDefault="00865FB9" w:rsidP="00865FB9">
      <w:pPr>
        <w:pStyle w:val="Caption"/>
        <w:jc w:val="center"/>
        <w:rPr>
          <w:sz w:val="22"/>
          <w:szCs w:val="22"/>
        </w:rPr>
      </w:pPr>
      <w:bookmarkStart w:id="204" w:name="_Toc84519650"/>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55</w:t>
      </w:r>
      <w:r w:rsidRPr="005B1CCB">
        <w:rPr>
          <w:sz w:val="22"/>
          <w:szCs w:val="22"/>
        </w:rPr>
        <w:fldChar w:fldCharType="end"/>
      </w:r>
      <w:r w:rsidRPr="005B1CCB">
        <w:rPr>
          <w:sz w:val="22"/>
          <w:szCs w:val="22"/>
        </w:rPr>
        <w:t>:</w:t>
      </w:r>
      <w:r w:rsidR="0055699B" w:rsidRPr="005B1CCB">
        <w:rPr>
          <w:sz w:val="22"/>
          <w:szCs w:val="22"/>
        </w:rPr>
        <w:t xml:space="preserve"> DNA hybridisation using pG12D and pG13D mutant probes and wild-type amplicons on</w:t>
      </w:r>
      <w:r w:rsidR="00A85A38" w:rsidRPr="005B1CCB">
        <w:rPr>
          <w:sz w:val="22"/>
          <w:szCs w:val="22"/>
        </w:rPr>
        <w:t xml:space="preserve"> CNT-modified</w:t>
      </w:r>
      <w:r w:rsidR="0055699B" w:rsidRPr="005B1CCB">
        <w:rPr>
          <w:sz w:val="22"/>
          <w:szCs w:val="22"/>
        </w:rPr>
        <w:t xml:space="preserve"> SPCEs</w:t>
      </w:r>
      <w:r w:rsidR="008F7798" w:rsidRPr="005B1CCB">
        <w:rPr>
          <w:sz w:val="22"/>
          <w:szCs w:val="22"/>
        </w:rPr>
        <w:t xml:space="preserve"> </w:t>
      </w:r>
      <w:r w:rsidR="00E5664D" w:rsidRPr="005B1CCB">
        <w:rPr>
          <w:sz w:val="22"/>
          <w:szCs w:val="22"/>
        </w:rPr>
        <w:t>(</w:t>
      </w:r>
      <w:r w:rsidR="008F7798" w:rsidRPr="005B1CCB">
        <w:rPr>
          <w:sz w:val="22"/>
          <w:szCs w:val="22"/>
        </w:rPr>
        <w:t>n</w:t>
      </w:r>
      <w:r w:rsidR="00E5664D" w:rsidRPr="005B1CCB">
        <w:rPr>
          <w:sz w:val="22"/>
          <w:szCs w:val="22"/>
        </w:rPr>
        <w:t xml:space="preserve"> = 4)</w:t>
      </w:r>
      <w:bookmarkEnd w:id="204"/>
    </w:p>
    <w:p w14:paraId="692F4A52" w14:textId="77777777" w:rsidR="00251094" w:rsidRPr="005B1CCB" w:rsidRDefault="00251094" w:rsidP="00251094"/>
    <w:p w14:paraId="56430A0C" w14:textId="77777777" w:rsidR="00FD0FA2" w:rsidRPr="005B1CCB" w:rsidRDefault="006F5E43" w:rsidP="00185E1C">
      <w:pPr>
        <w:pStyle w:val="Heading3"/>
      </w:pPr>
      <w:bookmarkStart w:id="205" w:name="_Toc84528148"/>
      <w:r w:rsidRPr="005B1CCB">
        <w:t>Complementary</w:t>
      </w:r>
      <w:r w:rsidR="00FD0FA2" w:rsidRPr="005B1CCB">
        <w:t xml:space="preserve"> </w:t>
      </w:r>
      <w:r w:rsidR="00F540B0" w:rsidRPr="005B1CCB">
        <w:t xml:space="preserve">wild-type </w:t>
      </w:r>
      <w:r w:rsidR="00FD0FA2" w:rsidRPr="005B1CCB">
        <w:t>DNA hybridisation using CNT-modified SPCE</w:t>
      </w:r>
      <w:bookmarkEnd w:id="205"/>
      <w:r w:rsidR="00FD0FA2" w:rsidRPr="005B1CCB">
        <w:t xml:space="preserve"> </w:t>
      </w:r>
    </w:p>
    <w:p w14:paraId="64E55B87" w14:textId="6ADD44BB" w:rsidR="009E451B" w:rsidRPr="005B1CCB" w:rsidRDefault="00C359F3" w:rsidP="00FE4999">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9E451B" w:rsidRPr="005B1CCB">
        <w:rPr>
          <w:rFonts w:ascii="Palatino Linotype" w:hAnsi="Palatino Linotype"/>
          <w:sz w:val="24"/>
          <w:szCs w:val="24"/>
        </w:rPr>
        <w:t>It was necessary to test the wild-type amplicons using the KRAS wild-type probe to determine specificity. Patient 459 showed a higher signal change upon hybridization using both the CV and SWV measurement techniques</w:t>
      </w:r>
      <w:r w:rsidR="007F0D6E" w:rsidRPr="005B1CCB">
        <w:rPr>
          <w:rFonts w:ascii="Palatino Linotype" w:hAnsi="Palatino Linotype"/>
          <w:sz w:val="24"/>
          <w:szCs w:val="24"/>
        </w:rPr>
        <w:t xml:space="preserve"> as shown in </w:t>
      </w:r>
      <w:r w:rsidR="006F5E43" w:rsidRPr="005B1CCB">
        <w:rPr>
          <w:rFonts w:ascii="Palatino Linotype" w:hAnsi="Palatino Linotype"/>
          <w:sz w:val="24"/>
          <w:szCs w:val="24"/>
        </w:rPr>
        <w:t>F</w:t>
      </w:r>
      <w:r w:rsidR="007F0D6E" w:rsidRPr="005B1CCB">
        <w:rPr>
          <w:rFonts w:ascii="Palatino Linotype" w:hAnsi="Palatino Linotype"/>
          <w:sz w:val="24"/>
          <w:szCs w:val="24"/>
        </w:rPr>
        <w:t>igure</w:t>
      </w:r>
      <w:r w:rsidR="00DD4066" w:rsidRPr="005B1CCB">
        <w:rPr>
          <w:rFonts w:ascii="Palatino Linotype" w:hAnsi="Palatino Linotype"/>
          <w:sz w:val="24"/>
          <w:szCs w:val="24"/>
        </w:rPr>
        <w:t xml:space="preserve"> 5</w:t>
      </w:r>
      <w:r w:rsidR="00251094" w:rsidRPr="005B1CCB">
        <w:rPr>
          <w:rFonts w:ascii="Palatino Linotype" w:hAnsi="Palatino Linotype"/>
          <w:sz w:val="24"/>
          <w:szCs w:val="24"/>
        </w:rPr>
        <w:t>6</w:t>
      </w:r>
      <w:r w:rsidR="00CF3D4B" w:rsidRPr="005B1CCB">
        <w:rPr>
          <w:rFonts w:ascii="Palatino Linotype" w:hAnsi="Palatino Linotype"/>
          <w:sz w:val="24"/>
          <w:szCs w:val="24"/>
        </w:rPr>
        <w:t xml:space="preserve">. </w:t>
      </w:r>
      <w:r w:rsidR="00FE4999" w:rsidRPr="005B1CCB">
        <w:rPr>
          <w:rFonts w:ascii="Palatino Linotype" w:hAnsi="Palatino Linotype"/>
          <w:sz w:val="24"/>
          <w:szCs w:val="24"/>
        </w:rPr>
        <w:t>Although patients 413 and 437 had a higher cfDNA concentration (</w:t>
      </w:r>
      <w:r w:rsidR="006F5E43" w:rsidRPr="005B1CCB">
        <w:rPr>
          <w:rFonts w:ascii="Palatino Linotype" w:hAnsi="Palatino Linotype"/>
          <w:sz w:val="24"/>
          <w:szCs w:val="24"/>
        </w:rPr>
        <w:t>T</w:t>
      </w:r>
      <w:r w:rsidR="00FE4999" w:rsidRPr="005B1CCB">
        <w:rPr>
          <w:rFonts w:ascii="Palatino Linotype" w:hAnsi="Palatino Linotype"/>
          <w:sz w:val="24"/>
          <w:szCs w:val="24"/>
        </w:rPr>
        <w:t>able</w:t>
      </w:r>
      <w:r w:rsidR="00DD4066" w:rsidRPr="005B1CCB">
        <w:rPr>
          <w:rFonts w:ascii="Palatino Linotype" w:hAnsi="Palatino Linotype"/>
          <w:sz w:val="24"/>
          <w:szCs w:val="24"/>
        </w:rPr>
        <w:t xml:space="preserve"> </w:t>
      </w:r>
      <w:r w:rsidR="00CD7488" w:rsidRPr="005B1CCB">
        <w:rPr>
          <w:rFonts w:ascii="Palatino Linotype" w:hAnsi="Palatino Linotype"/>
          <w:sz w:val="24"/>
          <w:szCs w:val="24"/>
        </w:rPr>
        <w:t>1</w:t>
      </w:r>
      <w:r w:rsidR="00CD7488">
        <w:rPr>
          <w:rFonts w:ascii="Palatino Linotype" w:hAnsi="Palatino Linotype"/>
          <w:sz w:val="24"/>
          <w:szCs w:val="24"/>
        </w:rPr>
        <w:t>4</w:t>
      </w:r>
      <w:r w:rsidR="00FE4999" w:rsidRPr="005B1CCB">
        <w:rPr>
          <w:rFonts w:ascii="Palatino Linotype" w:hAnsi="Palatino Linotype"/>
          <w:sz w:val="24"/>
          <w:szCs w:val="24"/>
        </w:rPr>
        <w:t>),</w:t>
      </w:r>
      <w:r w:rsidR="00FD0FA2" w:rsidRPr="005B1CCB">
        <w:rPr>
          <w:rFonts w:ascii="Palatino Linotype" w:hAnsi="Palatino Linotype"/>
          <w:sz w:val="24"/>
          <w:szCs w:val="24"/>
        </w:rPr>
        <w:t xml:space="preserve"> </w:t>
      </w:r>
      <w:r w:rsidR="00FE4999" w:rsidRPr="005B1CCB">
        <w:rPr>
          <w:rFonts w:ascii="Palatino Linotype" w:hAnsi="Palatino Linotype"/>
          <w:sz w:val="24"/>
          <w:szCs w:val="24"/>
        </w:rPr>
        <w:t>they showed lower signal changes upon hybridisation.</w:t>
      </w:r>
      <w:r w:rsidR="000E74BC" w:rsidRPr="005B1CCB">
        <w:rPr>
          <w:rFonts w:ascii="Palatino Linotype" w:hAnsi="Palatino Linotype"/>
          <w:sz w:val="24"/>
          <w:szCs w:val="24"/>
        </w:rPr>
        <w:t xml:space="preserve"> The signal changes observed in patients 440, 459, 466 and 481 are identical using both CV and SWV measurement techniques. </w:t>
      </w:r>
      <w:r w:rsidR="00BB1D5C" w:rsidRPr="005B1CCB">
        <w:rPr>
          <w:rFonts w:ascii="Palatino Linotype" w:hAnsi="Palatino Linotype"/>
          <w:sz w:val="24"/>
          <w:szCs w:val="24"/>
        </w:rPr>
        <w:t xml:space="preserve">It was observed that the peak currents did not increase with increasing cfDNA concentration. </w:t>
      </w:r>
      <w:r w:rsidR="00BB1D5C" w:rsidRPr="00C46733">
        <w:rPr>
          <w:rFonts w:ascii="Palatino Linotype" w:hAnsi="Palatino Linotype"/>
          <w:sz w:val="24"/>
          <w:szCs w:val="24"/>
        </w:rPr>
        <w:t xml:space="preserve">This observation might have occurred as a result of the interactions from </w:t>
      </w:r>
      <w:r w:rsidR="00EA3644" w:rsidRPr="00C46733">
        <w:rPr>
          <w:rFonts w:ascii="Palatino Linotype" w:hAnsi="Palatino Linotype"/>
          <w:sz w:val="24"/>
          <w:szCs w:val="24"/>
        </w:rPr>
        <w:t>the other cells and proteins present in the blood plasma.</w:t>
      </w:r>
    </w:p>
    <w:p w14:paraId="4DF53CD5" w14:textId="77777777" w:rsidR="00DF3A8C" w:rsidRPr="005B1CCB" w:rsidRDefault="00634325" w:rsidP="00DF3A8C">
      <w:pPr>
        <w:keepNext/>
        <w:spacing w:line="360" w:lineRule="auto"/>
        <w:jc w:val="both"/>
      </w:pPr>
      <w:r w:rsidRPr="005B1CCB">
        <w:rPr>
          <w:noProof/>
          <w:lang w:eastAsia="en-GB"/>
        </w:rPr>
        <w:drawing>
          <wp:inline distT="0" distB="0" distL="0" distR="0" wp14:anchorId="6E74AAED" wp14:editId="0CCE3CCA">
            <wp:extent cx="5972810" cy="2612864"/>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BEBA8EAE-BF5A-486C-A8C5-ECC9F3942E4B}">
                          <a14:imgProps xmlns:a14="http://schemas.microsoft.com/office/drawing/2010/main">
                            <a14:imgLayer r:embed="rId77">
                              <a14:imgEffect>
                                <a14:sharpenSoften amount="100000"/>
                              </a14:imgEffect>
                            </a14:imgLayer>
                          </a14:imgProps>
                        </a:ext>
                      </a:extLst>
                    </a:blip>
                    <a:srcRect t="17041"/>
                    <a:stretch/>
                  </pic:blipFill>
                  <pic:spPr bwMode="auto">
                    <a:xfrm>
                      <a:off x="0" y="0"/>
                      <a:ext cx="5995521" cy="2622799"/>
                    </a:xfrm>
                    <a:prstGeom prst="rect">
                      <a:avLst/>
                    </a:prstGeom>
                    <a:ln>
                      <a:noFill/>
                    </a:ln>
                    <a:extLst>
                      <a:ext uri="{53640926-AAD7-44D8-BBD7-CCE9431645EC}">
                        <a14:shadowObscured xmlns:a14="http://schemas.microsoft.com/office/drawing/2010/main"/>
                      </a:ext>
                    </a:extLst>
                  </pic:spPr>
                </pic:pic>
              </a:graphicData>
            </a:graphic>
          </wp:inline>
        </w:drawing>
      </w:r>
    </w:p>
    <w:p w14:paraId="542B9BB5" w14:textId="77777777" w:rsidR="00634325" w:rsidRPr="005B1CCB" w:rsidRDefault="00DF3A8C" w:rsidP="00DF3A8C">
      <w:pPr>
        <w:pStyle w:val="Caption"/>
        <w:jc w:val="center"/>
        <w:rPr>
          <w:sz w:val="22"/>
          <w:szCs w:val="22"/>
        </w:rPr>
      </w:pPr>
      <w:bookmarkStart w:id="206" w:name="_Toc84519651"/>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56</w:t>
      </w:r>
      <w:r w:rsidRPr="005B1CCB">
        <w:rPr>
          <w:sz w:val="22"/>
          <w:szCs w:val="22"/>
        </w:rPr>
        <w:fldChar w:fldCharType="end"/>
      </w:r>
      <w:r w:rsidRPr="005B1CCB">
        <w:rPr>
          <w:sz w:val="22"/>
          <w:szCs w:val="22"/>
        </w:rPr>
        <w:t>:</w:t>
      </w:r>
      <w:r w:rsidR="00634325" w:rsidRPr="005B1CCB">
        <w:rPr>
          <w:sz w:val="22"/>
          <w:szCs w:val="22"/>
        </w:rPr>
        <w:t xml:space="preserve"> (A) CV measurement and (B) SWV measurement showing complementary wild-type hybridisation using wild-type amplicons on CNT-modified SPCE</w:t>
      </w:r>
      <w:bookmarkEnd w:id="206"/>
    </w:p>
    <w:p w14:paraId="280150E9" w14:textId="77777777" w:rsidR="00701B05" w:rsidRPr="005B1CCB" w:rsidRDefault="00701B05" w:rsidP="00701B05"/>
    <w:p w14:paraId="7F069B53" w14:textId="27EA7ACC" w:rsidR="002755F9" w:rsidRPr="005B1CCB" w:rsidRDefault="002755F9" w:rsidP="002755F9">
      <w:pPr>
        <w:pStyle w:val="Heading3"/>
      </w:pPr>
      <w:bookmarkStart w:id="207" w:name="_Toc84528149"/>
      <w:r>
        <w:t xml:space="preserve">Amplification of mutant KRAS DNA fragment from </w:t>
      </w:r>
      <w:r w:rsidRPr="005B1CCB">
        <w:t>plasma</w:t>
      </w:r>
      <w:bookmarkEnd w:id="207"/>
      <w:r w:rsidRPr="005B1CCB">
        <w:t xml:space="preserve"> </w:t>
      </w:r>
    </w:p>
    <w:p w14:paraId="235EAE15" w14:textId="08E9BE87" w:rsidR="002C79FC" w:rsidRPr="005B1CCB" w:rsidRDefault="00251094" w:rsidP="00F774A9">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A944DE" w:rsidRPr="005B1CCB">
        <w:rPr>
          <w:rFonts w:ascii="Palatino Linotype" w:hAnsi="Palatino Linotype"/>
          <w:sz w:val="24"/>
          <w:szCs w:val="24"/>
          <w:lang w:bidi="en-US"/>
        </w:rPr>
        <w:t xml:space="preserve">Mutant primers were used to amplify the </w:t>
      </w:r>
      <w:r w:rsidR="00881DE1" w:rsidRPr="005B1CCB">
        <w:rPr>
          <w:rFonts w:ascii="Palatino Linotype" w:hAnsi="Palatino Linotype"/>
          <w:sz w:val="24"/>
          <w:szCs w:val="24"/>
          <w:lang w:bidi="en-US"/>
        </w:rPr>
        <w:t>mutant</w:t>
      </w:r>
      <w:r w:rsidR="00A944DE" w:rsidRPr="005B1CCB">
        <w:rPr>
          <w:rFonts w:ascii="Palatino Linotype" w:hAnsi="Palatino Linotype"/>
          <w:sz w:val="24"/>
          <w:szCs w:val="24"/>
          <w:lang w:bidi="en-US"/>
        </w:rPr>
        <w:t xml:space="preserve"> DNA in all the patient samples</w:t>
      </w:r>
      <w:r w:rsidR="00F774A9" w:rsidRPr="005B1CCB">
        <w:rPr>
          <w:rFonts w:ascii="Palatino Linotype" w:hAnsi="Palatino Linotype"/>
          <w:sz w:val="24"/>
          <w:szCs w:val="24"/>
          <w:lang w:bidi="en-US"/>
        </w:rPr>
        <w:t>.</w:t>
      </w:r>
      <w:r w:rsidR="00843EF3" w:rsidRPr="005B1CCB">
        <w:rPr>
          <w:rFonts w:ascii="Palatino Linotype" w:hAnsi="Palatino Linotype"/>
          <w:sz w:val="24"/>
          <w:szCs w:val="24"/>
          <w:lang w:bidi="en-US"/>
        </w:rPr>
        <w:t xml:space="preserve"> From </w:t>
      </w:r>
      <w:r w:rsidR="00545DE9" w:rsidRPr="005B1CCB">
        <w:rPr>
          <w:rFonts w:ascii="Palatino Linotype" w:hAnsi="Palatino Linotype"/>
          <w:sz w:val="24"/>
          <w:szCs w:val="24"/>
          <w:lang w:bidi="en-US"/>
        </w:rPr>
        <w:t>T</w:t>
      </w:r>
      <w:r w:rsidR="00843EF3" w:rsidRPr="005B1CCB">
        <w:rPr>
          <w:rFonts w:ascii="Palatino Linotype" w:hAnsi="Palatino Linotype"/>
          <w:sz w:val="24"/>
          <w:szCs w:val="24"/>
          <w:lang w:bidi="en-US"/>
        </w:rPr>
        <w:t>able</w:t>
      </w:r>
      <w:r w:rsidR="00545DE9" w:rsidRPr="005B1CCB">
        <w:rPr>
          <w:rFonts w:ascii="Palatino Linotype" w:hAnsi="Palatino Linotype"/>
          <w:sz w:val="24"/>
          <w:szCs w:val="24"/>
          <w:lang w:bidi="en-US"/>
        </w:rPr>
        <w:t xml:space="preserve"> </w:t>
      </w:r>
      <w:r w:rsidR="00CD7488" w:rsidRPr="005B1CCB">
        <w:rPr>
          <w:rFonts w:ascii="Palatino Linotype" w:hAnsi="Palatino Linotype"/>
          <w:sz w:val="24"/>
          <w:szCs w:val="24"/>
          <w:lang w:bidi="en-US"/>
        </w:rPr>
        <w:t>1</w:t>
      </w:r>
      <w:r w:rsidR="00CD7488">
        <w:rPr>
          <w:rFonts w:ascii="Palatino Linotype" w:hAnsi="Palatino Linotype"/>
          <w:sz w:val="24"/>
          <w:szCs w:val="24"/>
          <w:lang w:bidi="en-US"/>
        </w:rPr>
        <w:t>5</w:t>
      </w:r>
      <w:r w:rsidR="00843EF3" w:rsidRPr="005B1CCB">
        <w:rPr>
          <w:rFonts w:ascii="Palatino Linotype" w:hAnsi="Palatino Linotype"/>
          <w:sz w:val="24"/>
          <w:szCs w:val="24"/>
          <w:lang w:bidi="en-US"/>
        </w:rPr>
        <w:t xml:space="preserve">, the amplification was not successful as the concentration of cfDNA in the samples after amplification </w:t>
      </w:r>
      <w:r w:rsidR="0044535D" w:rsidRPr="005B1CCB">
        <w:rPr>
          <w:rFonts w:ascii="Palatino Linotype" w:hAnsi="Palatino Linotype"/>
          <w:sz w:val="24"/>
          <w:szCs w:val="24"/>
          <w:lang w:bidi="en-US"/>
        </w:rPr>
        <w:t>w</w:t>
      </w:r>
      <w:r w:rsidR="0044535D">
        <w:rPr>
          <w:rFonts w:ascii="Palatino Linotype" w:hAnsi="Palatino Linotype"/>
          <w:sz w:val="24"/>
          <w:szCs w:val="24"/>
          <w:lang w:bidi="en-US"/>
        </w:rPr>
        <w:t>as</w:t>
      </w:r>
      <w:r w:rsidR="0044535D" w:rsidRPr="005B1CCB">
        <w:rPr>
          <w:rFonts w:ascii="Palatino Linotype" w:hAnsi="Palatino Linotype"/>
          <w:sz w:val="24"/>
          <w:szCs w:val="24"/>
          <w:lang w:bidi="en-US"/>
        </w:rPr>
        <w:t xml:space="preserve"> </w:t>
      </w:r>
      <w:r w:rsidR="00843EF3" w:rsidRPr="005B1CCB">
        <w:rPr>
          <w:rFonts w:ascii="Palatino Linotype" w:hAnsi="Palatino Linotype"/>
          <w:sz w:val="24"/>
          <w:szCs w:val="24"/>
          <w:lang w:bidi="en-US"/>
        </w:rPr>
        <w:t>lower than the concentrations befo</w:t>
      </w:r>
      <w:r w:rsidR="00F171F5" w:rsidRPr="005B1CCB">
        <w:rPr>
          <w:rFonts w:ascii="Palatino Linotype" w:hAnsi="Palatino Linotype"/>
          <w:sz w:val="24"/>
          <w:szCs w:val="24"/>
          <w:lang w:bidi="en-US"/>
        </w:rPr>
        <w:t xml:space="preserve">re amplification. </w:t>
      </w:r>
      <w:r w:rsidR="00F171F5" w:rsidRPr="00C46733">
        <w:rPr>
          <w:rFonts w:ascii="Palatino Linotype" w:hAnsi="Palatino Linotype"/>
          <w:sz w:val="24"/>
          <w:szCs w:val="24"/>
          <w:lang w:bidi="en-US"/>
        </w:rPr>
        <w:t>Although the correct</w:t>
      </w:r>
      <w:r w:rsidR="00843EF3" w:rsidRPr="00C46733">
        <w:rPr>
          <w:rFonts w:ascii="Palatino Linotype" w:hAnsi="Palatino Linotype"/>
          <w:sz w:val="24"/>
          <w:szCs w:val="24"/>
          <w:lang w:bidi="en-US"/>
        </w:rPr>
        <w:t xml:space="preserve"> primers were used, the lack of success may </w:t>
      </w:r>
      <w:r w:rsidR="00BE4C2B" w:rsidRPr="00C46733">
        <w:rPr>
          <w:rFonts w:ascii="Palatino Linotype" w:hAnsi="Palatino Linotype"/>
          <w:sz w:val="24"/>
          <w:szCs w:val="24"/>
          <w:lang w:bidi="en-US"/>
        </w:rPr>
        <w:t xml:space="preserve">be </w:t>
      </w:r>
      <w:r w:rsidR="00843EF3" w:rsidRPr="00C46733">
        <w:rPr>
          <w:rFonts w:ascii="Palatino Linotype" w:hAnsi="Palatino Linotype"/>
          <w:sz w:val="24"/>
          <w:szCs w:val="24"/>
          <w:lang w:bidi="en-US"/>
        </w:rPr>
        <w:t>attributed to the suitability of the phusion PCR amplification kit used for th</w:t>
      </w:r>
      <w:r w:rsidR="00F171F5" w:rsidRPr="00C46733">
        <w:rPr>
          <w:rFonts w:ascii="Palatino Linotype" w:hAnsi="Palatino Linotype"/>
          <w:sz w:val="24"/>
          <w:szCs w:val="24"/>
          <w:lang w:bidi="en-US"/>
        </w:rPr>
        <w:t>is</w:t>
      </w:r>
      <w:r w:rsidR="00843EF3" w:rsidRPr="00C46733">
        <w:rPr>
          <w:rFonts w:ascii="Palatino Linotype" w:hAnsi="Palatino Linotype"/>
          <w:sz w:val="24"/>
          <w:szCs w:val="24"/>
          <w:lang w:bidi="en-US"/>
        </w:rPr>
        <w:t xml:space="preserve"> set of plasma samples</w:t>
      </w:r>
      <w:r w:rsidR="00163A77" w:rsidRPr="00C46733">
        <w:rPr>
          <w:rFonts w:ascii="Palatino Linotype" w:hAnsi="Palatino Linotype"/>
          <w:sz w:val="24"/>
          <w:szCs w:val="24"/>
          <w:lang w:bidi="en-US"/>
        </w:rPr>
        <w:t xml:space="preserve"> or cross reactivity between the primer sets leading to non-specific amplification</w:t>
      </w:r>
      <w:r w:rsidR="00843EF3" w:rsidRPr="005B1CCB">
        <w:rPr>
          <w:rFonts w:ascii="Palatino Linotype" w:hAnsi="Palatino Linotype"/>
          <w:sz w:val="24"/>
          <w:szCs w:val="24"/>
          <w:lang w:bidi="en-US"/>
        </w:rPr>
        <w:t>.</w:t>
      </w:r>
    </w:p>
    <w:p w14:paraId="02492D14" w14:textId="29B0A117" w:rsidR="00545DE9" w:rsidRPr="005B1CCB" w:rsidRDefault="00545DE9" w:rsidP="00545DE9">
      <w:pPr>
        <w:pStyle w:val="Caption"/>
        <w:keepNext/>
        <w:jc w:val="center"/>
        <w:rPr>
          <w:sz w:val="22"/>
          <w:szCs w:val="22"/>
        </w:rPr>
      </w:pPr>
      <w:r w:rsidRPr="005B1CCB">
        <w:rPr>
          <w:sz w:val="22"/>
          <w:szCs w:val="22"/>
        </w:rPr>
        <w:t xml:space="preserve">Table </w:t>
      </w:r>
      <w:r w:rsidR="00CD7488">
        <w:rPr>
          <w:sz w:val="22"/>
          <w:szCs w:val="22"/>
        </w:rPr>
        <w:t>15</w:t>
      </w:r>
      <w:r w:rsidRPr="005B1CCB">
        <w:rPr>
          <w:sz w:val="22"/>
          <w:szCs w:val="22"/>
        </w:rPr>
        <w:t xml:space="preserve">: </w:t>
      </w:r>
      <w:bookmarkStart w:id="208" w:name="_Hlk84275063"/>
      <w:r w:rsidRPr="005B1CCB">
        <w:rPr>
          <w:sz w:val="22"/>
          <w:szCs w:val="22"/>
        </w:rPr>
        <w:t xml:space="preserve">DNA quantification result showing mutant amplification </w:t>
      </w:r>
      <w:r w:rsidR="00BC7645" w:rsidRPr="005B1CCB">
        <w:rPr>
          <w:sz w:val="22"/>
          <w:szCs w:val="22"/>
        </w:rPr>
        <w:t>from plasma samples</w:t>
      </w:r>
    </w:p>
    <w:tbl>
      <w:tblPr>
        <w:tblW w:w="0" w:type="auto"/>
        <w:tblInd w:w="-289" w:type="dxa"/>
        <w:tblLook w:val="04A0" w:firstRow="1" w:lastRow="0" w:firstColumn="1" w:lastColumn="0" w:noHBand="0" w:noVBand="1"/>
      </w:tblPr>
      <w:tblGrid>
        <w:gridCol w:w="2478"/>
        <w:gridCol w:w="798"/>
        <w:gridCol w:w="717"/>
        <w:gridCol w:w="749"/>
        <w:gridCol w:w="749"/>
        <w:gridCol w:w="749"/>
        <w:gridCol w:w="749"/>
        <w:gridCol w:w="749"/>
        <w:gridCol w:w="749"/>
      </w:tblGrid>
      <w:tr w:rsidR="005D119F" w:rsidRPr="005B1CCB" w14:paraId="2F008FD6" w14:textId="77777777" w:rsidTr="00242E99">
        <w:tc>
          <w:tcPr>
            <w:tcW w:w="2855" w:type="dxa"/>
          </w:tcPr>
          <w:bookmarkEnd w:id="208"/>
          <w:p w14:paraId="4C531CC0" w14:textId="77777777" w:rsidR="005D119F" w:rsidRPr="005B1CCB" w:rsidRDefault="005D119F" w:rsidP="001E7DD9">
            <w:pPr>
              <w:jc w:val="center"/>
              <w:rPr>
                <w:rFonts w:ascii="Palatino Linotype" w:hAnsi="Palatino Linotype"/>
                <w:b/>
                <w:sz w:val="24"/>
                <w:szCs w:val="24"/>
                <w:lang w:bidi="en-US"/>
              </w:rPr>
            </w:pPr>
            <w:r w:rsidRPr="005B1CCB">
              <w:rPr>
                <w:rFonts w:ascii="Palatino Linotype" w:hAnsi="Palatino Linotype"/>
                <w:b/>
                <w:sz w:val="24"/>
                <w:szCs w:val="24"/>
                <w:lang w:bidi="en-US"/>
              </w:rPr>
              <w:t xml:space="preserve">Sample </w:t>
            </w:r>
            <w:r w:rsidR="001E7DD9" w:rsidRPr="005B1CCB">
              <w:rPr>
                <w:rFonts w:ascii="Palatino Linotype" w:hAnsi="Palatino Linotype"/>
                <w:b/>
                <w:sz w:val="24"/>
                <w:szCs w:val="24"/>
                <w:lang w:bidi="en-US"/>
              </w:rPr>
              <w:t>ID</w:t>
            </w:r>
          </w:p>
        </w:tc>
        <w:tc>
          <w:tcPr>
            <w:tcW w:w="876" w:type="dxa"/>
          </w:tcPr>
          <w:p w14:paraId="2B82CC58"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413</w:t>
            </w:r>
          </w:p>
        </w:tc>
        <w:tc>
          <w:tcPr>
            <w:tcW w:w="756" w:type="dxa"/>
          </w:tcPr>
          <w:p w14:paraId="53E6073C"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428</w:t>
            </w:r>
          </w:p>
        </w:tc>
        <w:tc>
          <w:tcPr>
            <w:tcW w:w="803" w:type="dxa"/>
          </w:tcPr>
          <w:p w14:paraId="3AB07CA3"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437</w:t>
            </w:r>
          </w:p>
        </w:tc>
        <w:tc>
          <w:tcPr>
            <w:tcW w:w="803" w:type="dxa"/>
          </w:tcPr>
          <w:p w14:paraId="1FAA4C03"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438</w:t>
            </w:r>
          </w:p>
        </w:tc>
        <w:tc>
          <w:tcPr>
            <w:tcW w:w="803" w:type="dxa"/>
          </w:tcPr>
          <w:p w14:paraId="6332DDEA"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440</w:t>
            </w:r>
          </w:p>
        </w:tc>
        <w:tc>
          <w:tcPr>
            <w:tcW w:w="803" w:type="dxa"/>
          </w:tcPr>
          <w:p w14:paraId="31783725"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459</w:t>
            </w:r>
          </w:p>
        </w:tc>
        <w:tc>
          <w:tcPr>
            <w:tcW w:w="803" w:type="dxa"/>
          </w:tcPr>
          <w:p w14:paraId="6BE857D0"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466</w:t>
            </w:r>
          </w:p>
        </w:tc>
        <w:tc>
          <w:tcPr>
            <w:tcW w:w="803" w:type="dxa"/>
          </w:tcPr>
          <w:p w14:paraId="4B7DAA71" w14:textId="77777777" w:rsidR="005D119F" w:rsidRPr="005B1CCB" w:rsidRDefault="005D119F" w:rsidP="005A7A6A">
            <w:pPr>
              <w:jc w:val="center"/>
              <w:rPr>
                <w:rFonts w:ascii="Palatino Linotype" w:hAnsi="Palatino Linotype"/>
                <w:sz w:val="24"/>
                <w:szCs w:val="24"/>
                <w:lang w:bidi="en-US"/>
              </w:rPr>
            </w:pPr>
            <w:r w:rsidRPr="005B1CCB">
              <w:rPr>
                <w:rFonts w:ascii="Palatino Linotype" w:hAnsi="Palatino Linotype"/>
                <w:sz w:val="24"/>
                <w:szCs w:val="24"/>
                <w:lang w:bidi="en-US"/>
              </w:rPr>
              <w:t>481</w:t>
            </w:r>
          </w:p>
        </w:tc>
      </w:tr>
      <w:tr w:rsidR="00211EB6" w:rsidRPr="005B1CCB" w14:paraId="364FA0C2" w14:textId="77777777" w:rsidTr="00242E99">
        <w:tc>
          <w:tcPr>
            <w:tcW w:w="2855" w:type="dxa"/>
          </w:tcPr>
          <w:p w14:paraId="439AD5F7" w14:textId="478B28DF" w:rsidR="00211EB6" w:rsidRPr="005B1CCB" w:rsidRDefault="00211EB6" w:rsidP="00492F11">
            <w:pPr>
              <w:spacing w:before="240"/>
              <w:jc w:val="center"/>
              <w:rPr>
                <w:rFonts w:ascii="Palatino Linotype" w:hAnsi="Palatino Linotype"/>
                <w:b/>
                <w:sz w:val="24"/>
                <w:szCs w:val="24"/>
                <w:lang w:bidi="en-US"/>
              </w:rPr>
            </w:pPr>
            <w:r w:rsidRPr="005B1CCB">
              <w:rPr>
                <w:rFonts w:ascii="Palatino Linotype" w:hAnsi="Palatino Linotype"/>
                <w:b/>
                <w:sz w:val="24"/>
                <w:szCs w:val="24"/>
                <w:lang w:bidi="en-US"/>
              </w:rPr>
              <w:t>Pre- amplification</w:t>
            </w:r>
            <w:r w:rsidR="00AC2EAF">
              <w:rPr>
                <w:rFonts w:ascii="Palatino Linotype" w:hAnsi="Palatino Linotype"/>
                <w:b/>
                <w:sz w:val="24"/>
                <w:szCs w:val="24"/>
                <w:lang w:bidi="en-US"/>
              </w:rPr>
              <w:t xml:space="preserve"> (</w:t>
            </w:r>
            <w:r w:rsidR="00AC2EAF" w:rsidRPr="005B1CCB">
              <w:rPr>
                <w:rFonts w:ascii="Palatino Linotype" w:hAnsi="Palatino Linotype"/>
                <w:b/>
                <w:sz w:val="24"/>
                <w:szCs w:val="24"/>
                <w:lang w:bidi="en-US"/>
              </w:rPr>
              <w:t>ng/μl</w:t>
            </w:r>
            <w:r w:rsidR="00AC2EAF">
              <w:rPr>
                <w:rFonts w:ascii="Palatino Linotype" w:hAnsi="Palatino Linotype"/>
                <w:b/>
                <w:sz w:val="24"/>
                <w:szCs w:val="24"/>
                <w:lang w:bidi="en-US"/>
              </w:rPr>
              <w:t>)</w:t>
            </w:r>
          </w:p>
        </w:tc>
        <w:tc>
          <w:tcPr>
            <w:tcW w:w="876" w:type="dxa"/>
          </w:tcPr>
          <w:p w14:paraId="260F3AAD"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43</w:t>
            </w:r>
          </w:p>
        </w:tc>
        <w:tc>
          <w:tcPr>
            <w:tcW w:w="756" w:type="dxa"/>
          </w:tcPr>
          <w:p w14:paraId="314ABF70"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37</w:t>
            </w:r>
          </w:p>
        </w:tc>
        <w:tc>
          <w:tcPr>
            <w:tcW w:w="803" w:type="dxa"/>
          </w:tcPr>
          <w:p w14:paraId="1B9EF532"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33.4</w:t>
            </w:r>
          </w:p>
        </w:tc>
        <w:tc>
          <w:tcPr>
            <w:tcW w:w="803" w:type="dxa"/>
          </w:tcPr>
          <w:p w14:paraId="3C3139E9"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45.4</w:t>
            </w:r>
          </w:p>
        </w:tc>
        <w:tc>
          <w:tcPr>
            <w:tcW w:w="803" w:type="dxa"/>
          </w:tcPr>
          <w:p w14:paraId="478762B5"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33.6</w:t>
            </w:r>
          </w:p>
        </w:tc>
        <w:tc>
          <w:tcPr>
            <w:tcW w:w="803" w:type="dxa"/>
          </w:tcPr>
          <w:p w14:paraId="2FE28309"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54.6</w:t>
            </w:r>
          </w:p>
        </w:tc>
        <w:tc>
          <w:tcPr>
            <w:tcW w:w="803" w:type="dxa"/>
          </w:tcPr>
          <w:p w14:paraId="1FC9BC79"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44.2</w:t>
            </w:r>
          </w:p>
        </w:tc>
        <w:tc>
          <w:tcPr>
            <w:tcW w:w="803" w:type="dxa"/>
          </w:tcPr>
          <w:p w14:paraId="19503D62"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26.2</w:t>
            </w:r>
          </w:p>
        </w:tc>
      </w:tr>
      <w:tr w:rsidR="00211EB6" w:rsidRPr="005B1CCB" w14:paraId="28DCF3A5" w14:textId="77777777" w:rsidTr="00242E99">
        <w:trPr>
          <w:trHeight w:val="667"/>
        </w:trPr>
        <w:tc>
          <w:tcPr>
            <w:tcW w:w="2855" w:type="dxa"/>
          </w:tcPr>
          <w:p w14:paraId="27D7093F" w14:textId="77777777" w:rsidR="00211EB6" w:rsidRPr="005B1CCB" w:rsidRDefault="00211EB6" w:rsidP="00AD40DB">
            <w:pPr>
              <w:jc w:val="center"/>
              <w:rPr>
                <w:rFonts w:ascii="Palatino Linotype" w:hAnsi="Palatino Linotype"/>
                <w:b/>
                <w:sz w:val="24"/>
                <w:szCs w:val="24"/>
                <w:lang w:bidi="en-US"/>
              </w:rPr>
            </w:pPr>
            <w:r w:rsidRPr="005B1CCB">
              <w:rPr>
                <w:rFonts w:ascii="Palatino Linotype" w:hAnsi="Palatino Linotype"/>
                <w:b/>
                <w:sz w:val="24"/>
                <w:szCs w:val="24"/>
                <w:lang w:bidi="en-US"/>
              </w:rPr>
              <w:t xml:space="preserve">Post- </w:t>
            </w:r>
            <w:r w:rsidR="00444DF2" w:rsidRPr="005B1CCB">
              <w:rPr>
                <w:rFonts w:ascii="Palatino Linotype" w:hAnsi="Palatino Linotype"/>
                <w:b/>
                <w:sz w:val="24"/>
                <w:szCs w:val="24"/>
                <w:lang w:bidi="en-US"/>
              </w:rPr>
              <w:t xml:space="preserve">dsDNA </w:t>
            </w:r>
            <w:r w:rsidRPr="005B1CCB">
              <w:rPr>
                <w:rFonts w:ascii="Palatino Linotype" w:hAnsi="Palatino Linotype"/>
                <w:b/>
                <w:sz w:val="24"/>
                <w:szCs w:val="24"/>
                <w:lang w:bidi="en-US"/>
              </w:rPr>
              <w:t>amplification (ng/μl-</w:t>
            </w:r>
            <w:r w:rsidR="00431F4D" w:rsidRPr="005B1CCB">
              <w:rPr>
                <w:rFonts w:ascii="Palatino Linotype" w:hAnsi="Palatino Linotype"/>
                <w:b/>
                <w:sz w:val="24"/>
                <w:szCs w:val="24"/>
                <w:lang w:bidi="en-US"/>
              </w:rPr>
              <w:t>p</w:t>
            </w:r>
            <w:r w:rsidRPr="005B1CCB">
              <w:rPr>
                <w:rFonts w:ascii="Palatino Linotype" w:hAnsi="Palatino Linotype"/>
                <w:b/>
                <w:sz w:val="24"/>
                <w:szCs w:val="24"/>
                <w:lang w:bidi="en-US"/>
              </w:rPr>
              <w:t>G12D primers)</w:t>
            </w:r>
            <w:r w:rsidRPr="005B1CCB">
              <w:t xml:space="preserve"> </w:t>
            </w:r>
          </w:p>
        </w:tc>
        <w:tc>
          <w:tcPr>
            <w:tcW w:w="876" w:type="dxa"/>
          </w:tcPr>
          <w:p w14:paraId="7F8A7665"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24.3</w:t>
            </w:r>
          </w:p>
        </w:tc>
        <w:tc>
          <w:tcPr>
            <w:tcW w:w="756" w:type="dxa"/>
          </w:tcPr>
          <w:p w14:paraId="7DED0FF3"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24.7</w:t>
            </w:r>
          </w:p>
        </w:tc>
        <w:tc>
          <w:tcPr>
            <w:tcW w:w="803" w:type="dxa"/>
          </w:tcPr>
          <w:p w14:paraId="0A89E8DF"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20.5</w:t>
            </w:r>
          </w:p>
        </w:tc>
        <w:tc>
          <w:tcPr>
            <w:tcW w:w="803" w:type="dxa"/>
          </w:tcPr>
          <w:p w14:paraId="67B775C5"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22.6</w:t>
            </w:r>
          </w:p>
        </w:tc>
        <w:tc>
          <w:tcPr>
            <w:tcW w:w="803" w:type="dxa"/>
          </w:tcPr>
          <w:p w14:paraId="042E00B4"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9.20</w:t>
            </w:r>
          </w:p>
        </w:tc>
        <w:tc>
          <w:tcPr>
            <w:tcW w:w="803" w:type="dxa"/>
          </w:tcPr>
          <w:p w14:paraId="73DDAFB6"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25.6</w:t>
            </w:r>
          </w:p>
        </w:tc>
        <w:tc>
          <w:tcPr>
            <w:tcW w:w="803" w:type="dxa"/>
          </w:tcPr>
          <w:p w14:paraId="1AAACD69"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18.8</w:t>
            </w:r>
          </w:p>
        </w:tc>
        <w:tc>
          <w:tcPr>
            <w:tcW w:w="803" w:type="dxa"/>
          </w:tcPr>
          <w:p w14:paraId="2596E507" w14:textId="77777777" w:rsidR="00211EB6" w:rsidRPr="005B1CCB" w:rsidRDefault="00211EB6" w:rsidP="005A7A6A">
            <w:pPr>
              <w:jc w:val="center"/>
              <w:rPr>
                <w:rFonts w:ascii="Palatino Linotype" w:hAnsi="Palatino Linotype"/>
                <w:sz w:val="24"/>
                <w:szCs w:val="24"/>
                <w:lang w:bidi="en-US"/>
              </w:rPr>
            </w:pPr>
            <w:r w:rsidRPr="005B1CCB">
              <w:rPr>
                <w:rFonts w:ascii="Palatino Linotype" w:hAnsi="Palatino Linotype"/>
                <w:sz w:val="24"/>
                <w:szCs w:val="24"/>
                <w:lang w:bidi="en-US"/>
              </w:rPr>
              <w:t>12.5</w:t>
            </w:r>
          </w:p>
        </w:tc>
      </w:tr>
      <w:tr w:rsidR="00211EB6" w:rsidRPr="005B1CCB" w14:paraId="620CCFD8" w14:textId="77777777" w:rsidTr="00242E99">
        <w:trPr>
          <w:trHeight w:val="954"/>
        </w:trPr>
        <w:tc>
          <w:tcPr>
            <w:tcW w:w="2855" w:type="dxa"/>
          </w:tcPr>
          <w:p w14:paraId="3F7BB9F6" w14:textId="77777777" w:rsidR="00211EB6" w:rsidRPr="005B1CCB" w:rsidRDefault="00211EB6" w:rsidP="005D119F">
            <w:pPr>
              <w:jc w:val="center"/>
              <w:rPr>
                <w:rFonts w:ascii="Palatino Linotype" w:hAnsi="Palatino Linotype"/>
                <w:b/>
                <w:sz w:val="24"/>
                <w:szCs w:val="24"/>
                <w:lang w:bidi="en-US"/>
              </w:rPr>
            </w:pPr>
            <w:r w:rsidRPr="005B1CCB">
              <w:rPr>
                <w:rFonts w:ascii="Palatino Linotype" w:hAnsi="Palatino Linotype"/>
                <w:b/>
                <w:sz w:val="24"/>
                <w:szCs w:val="24"/>
                <w:lang w:bidi="en-US"/>
              </w:rPr>
              <w:t>Post- dsDNA amplification (ng/μl-</w:t>
            </w:r>
            <w:r w:rsidR="00431F4D" w:rsidRPr="005B1CCB">
              <w:rPr>
                <w:rFonts w:ascii="Palatino Linotype" w:hAnsi="Palatino Linotype"/>
                <w:b/>
                <w:sz w:val="24"/>
                <w:szCs w:val="24"/>
                <w:lang w:bidi="en-US"/>
              </w:rPr>
              <w:t>p</w:t>
            </w:r>
            <w:r w:rsidRPr="005B1CCB">
              <w:rPr>
                <w:rFonts w:ascii="Palatino Linotype" w:hAnsi="Palatino Linotype"/>
                <w:b/>
                <w:sz w:val="24"/>
                <w:szCs w:val="24"/>
                <w:lang w:bidi="en-US"/>
              </w:rPr>
              <w:t>G13D primers)</w:t>
            </w:r>
          </w:p>
        </w:tc>
        <w:tc>
          <w:tcPr>
            <w:tcW w:w="876" w:type="dxa"/>
          </w:tcPr>
          <w:p w14:paraId="0899F4FA"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6.41</w:t>
            </w:r>
          </w:p>
        </w:tc>
        <w:tc>
          <w:tcPr>
            <w:tcW w:w="756" w:type="dxa"/>
          </w:tcPr>
          <w:p w14:paraId="1557CFCC"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20.5</w:t>
            </w:r>
          </w:p>
        </w:tc>
        <w:tc>
          <w:tcPr>
            <w:tcW w:w="803" w:type="dxa"/>
          </w:tcPr>
          <w:p w14:paraId="64CB88B1"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14.0</w:t>
            </w:r>
          </w:p>
        </w:tc>
        <w:tc>
          <w:tcPr>
            <w:tcW w:w="803" w:type="dxa"/>
          </w:tcPr>
          <w:p w14:paraId="6F47E85B"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27.9</w:t>
            </w:r>
          </w:p>
        </w:tc>
        <w:tc>
          <w:tcPr>
            <w:tcW w:w="803" w:type="dxa"/>
          </w:tcPr>
          <w:p w14:paraId="34A9E724"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13.7</w:t>
            </w:r>
          </w:p>
        </w:tc>
        <w:tc>
          <w:tcPr>
            <w:tcW w:w="803" w:type="dxa"/>
          </w:tcPr>
          <w:p w14:paraId="7515221F"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13.8</w:t>
            </w:r>
          </w:p>
        </w:tc>
        <w:tc>
          <w:tcPr>
            <w:tcW w:w="803" w:type="dxa"/>
          </w:tcPr>
          <w:p w14:paraId="46CAFB7E"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25.1</w:t>
            </w:r>
          </w:p>
        </w:tc>
        <w:tc>
          <w:tcPr>
            <w:tcW w:w="803" w:type="dxa"/>
          </w:tcPr>
          <w:p w14:paraId="741EF0E7" w14:textId="77777777" w:rsidR="00211EB6" w:rsidRPr="005B1CCB" w:rsidRDefault="00B16A5B" w:rsidP="005A7A6A">
            <w:pPr>
              <w:jc w:val="center"/>
              <w:rPr>
                <w:rFonts w:ascii="Palatino Linotype" w:hAnsi="Palatino Linotype"/>
                <w:sz w:val="24"/>
                <w:szCs w:val="24"/>
                <w:lang w:bidi="en-US"/>
              </w:rPr>
            </w:pPr>
            <w:r w:rsidRPr="005B1CCB">
              <w:rPr>
                <w:rFonts w:ascii="Palatino Linotype" w:hAnsi="Palatino Linotype"/>
                <w:sz w:val="24"/>
                <w:szCs w:val="24"/>
                <w:lang w:bidi="en-US"/>
              </w:rPr>
              <w:t>18.5</w:t>
            </w:r>
          </w:p>
        </w:tc>
      </w:tr>
    </w:tbl>
    <w:p w14:paraId="208E6A1C" w14:textId="77777777" w:rsidR="005D119F" w:rsidRPr="005B1CCB" w:rsidRDefault="005D119F" w:rsidP="005D119F">
      <w:pPr>
        <w:rPr>
          <w:lang w:bidi="en-US"/>
        </w:rPr>
      </w:pPr>
    </w:p>
    <w:p w14:paraId="12898972" w14:textId="77777777" w:rsidR="00C37B5D" w:rsidRPr="005B1CCB" w:rsidRDefault="00F540B0" w:rsidP="00185E1C">
      <w:pPr>
        <w:pStyle w:val="Heading3"/>
      </w:pPr>
      <w:bookmarkStart w:id="209" w:name="_Toc84528150"/>
      <w:r w:rsidRPr="005B1CCB">
        <w:t xml:space="preserve">Complementary </w:t>
      </w:r>
      <w:r w:rsidR="009F6598" w:rsidRPr="005B1CCB">
        <w:t xml:space="preserve">mutant </w:t>
      </w:r>
      <w:r w:rsidR="00C37B5D" w:rsidRPr="005B1CCB">
        <w:t>DNA hybridisation using regular SPCE</w:t>
      </w:r>
      <w:bookmarkEnd w:id="209"/>
      <w:r w:rsidR="00C37B5D" w:rsidRPr="005B1CCB">
        <w:t xml:space="preserve"> </w:t>
      </w:r>
    </w:p>
    <w:p w14:paraId="416A82A7" w14:textId="7820A8E6" w:rsidR="00932D48" w:rsidRPr="005B1CCB" w:rsidRDefault="00444DF2" w:rsidP="00C772A5">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C772A5" w:rsidRPr="005B1CCB">
        <w:rPr>
          <w:rFonts w:ascii="Palatino Linotype" w:hAnsi="Palatino Linotype"/>
          <w:sz w:val="24"/>
          <w:szCs w:val="24"/>
          <w:lang w:bidi="en-US"/>
        </w:rPr>
        <w:t>Patients 438, 466 and 481 showed higher signals when pG12D probe was hybridised with pG12D amplicons using both CV and SWV measurements. On the other hand, patients 437, 438, 466 and 481 showed higher signals when pG13D probe was hybridised with pG13D amplicons</w:t>
      </w:r>
      <w:r w:rsidR="00BE4C2B" w:rsidRPr="005B1CCB">
        <w:rPr>
          <w:rFonts w:ascii="Palatino Linotype" w:hAnsi="Palatino Linotype"/>
          <w:sz w:val="24"/>
          <w:szCs w:val="24"/>
          <w:lang w:bidi="en-US"/>
        </w:rPr>
        <w:t xml:space="preserve">. From </w:t>
      </w:r>
      <w:r w:rsidRPr="005B1CCB">
        <w:rPr>
          <w:rFonts w:ascii="Palatino Linotype" w:hAnsi="Palatino Linotype"/>
          <w:sz w:val="24"/>
          <w:szCs w:val="24"/>
          <w:lang w:bidi="en-US"/>
        </w:rPr>
        <w:t>T</w:t>
      </w:r>
      <w:r w:rsidR="00BE4C2B" w:rsidRPr="005B1CCB">
        <w:rPr>
          <w:rFonts w:ascii="Palatino Linotype" w:hAnsi="Palatino Linotype"/>
          <w:sz w:val="24"/>
          <w:szCs w:val="24"/>
          <w:lang w:bidi="en-US"/>
        </w:rPr>
        <w:t>able</w:t>
      </w:r>
      <w:r w:rsidRPr="005B1CCB">
        <w:rPr>
          <w:rFonts w:ascii="Palatino Linotype" w:hAnsi="Palatino Linotype"/>
          <w:sz w:val="24"/>
          <w:szCs w:val="24"/>
          <w:lang w:bidi="en-US"/>
        </w:rPr>
        <w:t xml:space="preserve"> </w:t>
      </w:r>
      <w:r w:rsidR="00CD7488" w:rsidRPr="005B1CCB">
        <w:rPr>
          <w:rFonts w:ascii="Palatino Linotype" w:hAnsi="Palatino Linotype"/>
          <w:sz w:val="24"/>
          <w:szCs w:val="24"/>
          <w:lang w:bidi="en-US"/>
        </w:rPr>
        <w:t>1</w:t>
      </w:r>
      <w:r w:rsidR="00CD7488">
        <w:rPr>
          <w:rFonts w:ascii="Palatino Linotype" w:hAnsi="Palatino Linotype"/>
          <w:sz w:val="24"/>
          <w:szCs w:val="24"/>
          <w:lang w:bidi="en-US"/>
        </w:rPr>
        <w:t>5</w:t>
      </w:r>
      <w:r w:rsidR="00BE4C2B" w:rsidRPr="005B1CCB">
        <w:rPr>
          <w:rFonts w:ascii="Palatino Linotype" w:hAnsi="Palatino Linotype"/>
          <w:sz w:val="24"/>
          <w:szCs w:val="24"/>
          <w:lang w:bidi="en-US"/>
        </w:rPr>
        <w:t xml:space="preserve">, the cfDNA concentration for patient 440 was the lowest after amplifying with pG12D primers. This is reflected in the low hybridisation signal shown in </w:t>
      </w:r>
      <w:r w:rsidRPr="005B1CCB">
        <w:rPr>
          <w:rFonts w:ascii="Palatino Linotype" w:hAnsi="Palatino Linotype"/>
          <w:sz w:val="24"/>
          <w:szCs w:val="24"/>
          <w:lang w:bidi="en-US"/>
        </w:rPr>
        <w:t>F</w:t>
      </w:r>
      <w:r w:rsidR="00BE4C2B" w:rsidRPr="005B1CCB">
        <w:rPr>
          <w:rFonts w:ascii="Palatino Linotype" w:hAnsi="Palatino Linotype"/>
          <w:sz w:val="24"/>
          <w:szCs w:val="24"/>
          <w:lang w:bidi="en-US"/>
        </w:rPr>
        <w:t>igure</w:t>
      </w:r>
      <w:r w:rsidRPr="005B1CCB">
        <w:rPr>
          <w:rFonts w:ascii="Palatino Linotype" w:hAnsi="Palatino Linotype"/>
          <w:sz w:val="24"/>
          <w:szCs w:val="24"/>
          <w:lang w:bidi="en-US"/>
        </w:rPr>
        <w:t xml:space="preserve"> 5</w:t>
      </w:r>
      <w:r w:rsidR="00251094" w:rsidRPr="005B1CCB">
        <w:rPr>
          <w:rFonts w:ascii="Palatino Linotype" w:hAnsi="Palatino Linotype"/>
          <w:sz w:val="24"/>
          <w:szCs w:val="24"/>
          <w:lang w:bidi="en-US"/>
        </w:rPr>
        <w:t>7</w:t>
      </w:r>
      <w:r w:rsidRPr="005B1CCB">
        <w:rPr>
          <w:rFonts w:ascii="Palatino Linotype" w:hAnsi="Palatino Linotype"/>
          <w:sz w:val="24"/>
          <w:szCs w:val="24"/>
          <w:lang w:bidi="en-US"/>
        </w:rPr>
        <w:t xml:space="preserve"> (</w:t>
      </w:r>
      <w:r w:rsidR="00BE4C2B" w:rsidRPr="005B1CCB">
        <w:rPr>
          <w:rFonts w:ascii="Palatino Linotype" w:hAnsi="Palatino Linotype"/>
          <w:sz w:val="24"/>
          <w:szCs w:val="24"/>
          <w:lang w:bidi="en-US"/>
        </w:rPr>
        <w:t>A</w:t>
      </w:r>
      <w:r w:rsidRPr="005B1CCB">
        <w:rPr>
          <w:rFonts w:ascii="Palatino Linotype" w:hAnsi="Palatino Linotype"/>
          <w:sz w:val="24"/>
          <w:szCs w:val="24"/>
          <w:lang w:bidi="en-US"/>
        </w:rPr>
        <w:t>)</w:t>
      </w:r>
      <w:r w:rsidR="00BE4C2B" w:rsidRPr="005B1CCB">
        <w:rPr>
          <w:rFonts w:ascii="Palatino Linotype" w:hAnsi="Palatino Linotype"/>
          <w:sz w:val="24"/>
          <w:szCs w:val="24"/>
          <w:lang w:bidi="en-US"/>
        </w:rPr>
        <w:t xml:space="preserve"> and </w:t>
      </w:r>
      <w:r w:rsidRPr="005B1CCB">
        <w:rPr>
          <w:rFonts w:ascii="Palatino Linotype" w:hAnsi="Palatino Linotype"/>
          <w:sz w:val="24"/>
          <w:szCs w:val="24"/>
          <w:lang w:bidi="en-US"/>
        </w:rPr>
        <w:t>(</w:t>
      </w:r>
      <w:r w:rsidR="00BE4C2B" w:rsidRPr="005B1CCB">
        <w:rPr>
          <w:rFonts w:ascii="Palatino Linotype" w:hAnsi="Palatino Linotype"/>
          <w:sz w:val="24"/>
          <w:szCs w:val="24"/>
          <w:lang w:bidi="en-US"/>
        </w:rPr>
        <w:t>B</w:t>
      </w:r>
      <w:r w:rsidRPr="005B1CCB">
        <w:rPr>
          <w:rFonts w:ascii="Palatino Linotype" w:hAnsi="Palatino Linotype"/>
          <w:sz w:val="24"/>
          <w:szCs w:val="24"/>
          <w:lang w:bidi="en-US"/>
        </w:rPr>
        <w:t>)</w:t>
      </w:r>
      <w:r w:rsidR="00BE4C2B" w:rsidRPr="005B1CCB">
        <w:rPr>
          <w:rFonts w:ascii="Palatino Linotype" w:hAnsi="Palatino Linotype"/>
          <w:sz w:val="24"/>
          <w:szCs w:val="24"/>
          <w:lang w:bidi="en-US"/>
        </w:rPr>
        <w:t xml:space="preserve">. </w:t>
      </w:r>
      <w:r w:rsidR="00404204" w:rsidRPr="005B1CCB">
        <w:rPr>
          <w:rFonts w:ascii="Palatino Linotype" w:hAnsi="Palatino Linotype"/>
          <w:sz w:val="24"/>
          <w:szCs w:val="24"/>
          <w:lang w:bidi="en-US"/>
        </w:rPr>
        <w:t xml:space="preserve"> It’s also important to note that a similar variation is observed using the SWV measurement for both the pG12D and pG13D hybridisation (i.e.</w:t>
      </w:r>
      <w:r w:rsidR="0054039C">
        <w:rPr>
          <w:rFonts w:ascii="Palatino Linotype" w:hAnsi="Palatino Linotype"/>
          <w:sz w:val="24"/>
          <w:szCs w:val="24"/>
          <w:lang w:bidi="en-US"/>
        </w:rPr>
        <w:t>,</w:t>
      </w:r>
      <w:r w:rsidR="00404204" w:rsidRPr="005B1CCB">
        <w:rPr>
          <w:rFonts w:ascii="Palatino Linotype" w:hAnsi="Palatino Linotype"/>
          <w:sz w:val="24"/>
          <w:szCs w:val="24"/>
          <w:lang w:bidi="en-US"/>
        </w:rPr>
        <w:t xml:space="preserve"> patients 413 and 459)</w:t>
      </w:r>
    </w:p>
    <w:p w14:paraId="2E2308E6" w14:textId="77777777" w:rsidR="00251094" w:rsidRPr="005B1CCB" w:rsidRDefault="00251094" w:rsidP="00C772A5">
      <w:pPr>
        <w:spacing w:line="360" w:lineRule="auto"/>
        <w:jc w:val="both"/>
        <w:rPr>
          <w:rFonts w:ascii="Palatino Linotype" w:hAnsi="Palatino Linotype"/>
          <w:sz w:val="24"/>
          <w:szCs w:val="24"/>
          <w:lang w:bidi="en-US"/>
        </w:rPr>
      </w:pPr>
    </w:p>
    <w:p w14:paraId="11193D4B" w14:textId="77777777" w:rsidR="00DF3A8C" w:rsidRPr="005B1CCB" w:rsidRDefault="005707F7" w:rsidP="00DF3A8C">
      <w:pPr>
        <w:keepNext/>
      </w:pPr>
      <w:r w:rsidRPr="005B1CCB">
        <w:rPr>
          <w:noProof/>
          <w:lang w:eastAsia="en-GB"/>
        </w:rPr>
        <w:drawing>
          <wp:inline distT="0" distB="0" distL="0" distR="0" wp14:anchorId="5EFEBA11" wp14:editId="6D351037">
            <wp:extent cx="6161931" cy="4641215"/>
            <wp:effectExtent l="0" t="0" r="0"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BEBA8EAE-BF5A-486C-A8C5-ECC9F3942E4B}">
                          <a14:imgProps xmlns:a14="http://schemas.microsoft.com/office/drawing/2010/main">
                            <a14:imgLayer r:embed="rId79">
                              <a14:imgEffect>
                                <a14:sharpenSoften amount="13000"/>
                              </a14:imgEffect>
                              <a14:imgEffect>
                                <a14:brightnessContrast bright="6000" contrast="9000"/>
                              </a14:imgEffect>
                            </a14:imgLayer>
                          </a14:imgProps>
                        </a:ext>
                      </a:extLst>
                    </a:blip>
                    <a:stretch>
                      <a:fillRect/>
                    </a:stretch>
                  </pic:blipFill>
                  <pic:spPr>
                    <a:xfrm>
                      <a:off x="0" y="0"/>
                      <a:ext cx="6196060" cy="4666921"/>
                    </a:xfrm>
                    <a:prstGeom prst="rect">
                      <a:avLst/>
                    </a:prstGeom>
                  </pic:spPr>
                </pic:pic>
              </a:graphicData>
            </a:graphic>
          </wp:inline>
        </w:drawing>
      </w:r>
    </w:p>
    <w:p w14:paraId="105122A4" w14:textId="77777777" w:rsidR="00251094" w:rsidRDefault="00DF3A8C" w:rsidP="00701B05">
      <w:pPr>
        <w:pStyle w:val="Caption"/>
        <w:jc w:val="center"/>
        <w:rPr>
          <w:sz w:val="22"/>
          <w:szCs w:val="22"/>
        </w:rPr>
      </w:pPr>
      <w:bookmarkStart w:id="210" w:name="_Toc84519652"/>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57</w:t>
      </w:r>
      <w:r w:rsidRPr="005B1CCB">
        <w:rPr>
          <w:sz w:val="22"/>
          <w:szCs w:val="22"/>
        </w:rPr>
        <w:fldChar w:fldCharType="end"/>
      </w:r>
      <w:r w:rsidRPr="005B1CCB">
        <w:rPr>
          <w:sz w:val="22"/>
          <w:szCs w:val="22"/>
        </w:rPr>
        <w:t>:</w:t>
      </w:r>
      <w:r w:rsidR="00A85A38" w:rsidRPr="005B1CCB">
        <w:rPr>
          <w:sz w:val="22"/>
          <w:szCs w:val="22"/>
        </w:rPr>
        <w:t xml:space="preserve"> DNA hybridisation using pG12D and pG13D mutant probes and mutant amplicons on SPCEs</w:t>
      </w:r>
      <w:bookmarkEnd w:id="210"/>
    </w:p>
    <w:p w14:paraId="13AAB07E" w14:textId="77777777" w:rsidR="00B81ECB" w:rsidRPr="00B81ECB" w:rsidRDefault="00B81ECB" w:rsidP="00B81ECB"/>
    <w:p w14:paraId="16418D1F" w14:textId="77777777" w:rsidR="003239B9" w:rsidRPr="005B1CCB" w:rsidRDefault="003239B9" w:rsidP="00185E1C">
      <w:pPr>
        <w:pStyle w:val="Heading3"/>
      </w:pPr>
      <w:bookmarkStart w:id="211" w:name="_Toc84528151"/>
      <w:r w:rsidRPr="005B1CCB">
        <w:t>Amplification-free detection</w:t>
      </w:r>
      <w:r w:rsidR="00811B6D" w:rsidRPr="005B1CCB">
        <w:t xml:space="preserve"> using SPCE</w:t>
      </w:r>
      <w:bookmarkEnd w:id="211"/>
    </w:p>
    <w:p w14:paraId="6BCF8C57" w14:textId="49DE2855" w:rsidR="00F66BB3" w:rsidRPr="005B1CCB" w:rsidRDefault="00F540B0" w:rsidP="00213011">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F66BB3" w:rsidRPr="005B1CCB">
        <w:rPr>
          <w:rFonts w:ascii="Palatino Linotype" w:hAnsi="Palatino Linotype"/>
          <w:sz w:val="24"/>
          <w:szCs w:val="24"/>
          <w:lang w:bidi="en-US"/>
        </w:rPr>
        <w:t xml:space="preserve">After pre-treating and functionalising </w:t>
      </w:r>
      <w:r w:rsidR="00BE466C" w:rsidRPr="005B1CCB">
        <w:rPr>
          <w:rFonts w:ascii="Palatino Linotype" w:hAnsi="Palatino Linotype"/>
          <w:sz w:val="24"/>
          <w:szCs w:val="24"/>
          <w:lang w:bidi="en-US"/>
        </w:rPr>
        <w:t>SPCEs</w:t>
      </w:r>
      <w:r w:rsidR="00F66BB3" w:rsidRPr="005B1CCB">
        <w:rPr>
          <w:rFonts w:ascii="Palatino Linotype" w:hAnsi="Palatino Linotype"/>
          <w:sz w:val="24"/>
          <w:szCs w:val="24"/>
          <w:lang w:bidi="en-US"/>
        </w:rPr>
        <w:t xml:space="preserve"> with </w:t>
      </w:r>
      <w:r w:rsidR="006B61A5" w:rsidRPr="005B1CCB">
        <w:rPr>
          <w:rFonts w:ascii="Palatino Linotype" w:hAnsi="Palatino Linotype"/>
          <w:sz w:val="24"/>
          <w:szCs w:val="24"/>
          <w:lang w:bidi="en-US"/>
        </w:rPr>
        <w:t>pG12D</w:t>
      </w:r>
      <w:r w:rsidR="00F66BB3" w:rsidRPr="005B1CCB">
        <w:rPr>
          <w:rFonts w:ascii="Palatino Linotype" w:hAnsi="Palatino Linotype"/>
          <w:sz w:val="24"/>
          <w:szCs w:val="24"/>
          <w:lang w:bidi="en-US"/>
        </w:rPr>
        <w:t xml:space="preserve"> and </w:t>
      </w:r>
      <w:r w:rsidR="006B61A5" w:rsidRPr="005B1CCB">
        <w:rPr>
          <w:rFonts w:ascii="Palatino Linotype" w:hAnsi="Palatino Linotype"/>
          <w:sz w:val="24"/>
          <w:szCs w:val="24"/>
          <w:lang w:bidi="en-US"/>
        </w:rPr>
        <w:t>pG13D</w:t>
      </w:r>
      <w:r w:rsidR="00F66BB3" w:rsidRPr="005B1CCB">
        <w:rPr>
          <w:rFonts w:ascii="Palatino Linotype" w:hAnsi="Palatino Linotype"/>
          <w:sz w:val="24"/>
          <w:szCs w:val="24"/>
          <w:lang w:bidi="en-US"/>
        </w:rPr>
        <w:t xml:space="preserve"> </w:t>
      </w:r>
      <w:r w:rsidR="006B61A5" w:rsidRPr="005B1CCB">
        <w:rPr>
          <w:rFonts w:ascii="Palatino Linotype" w:hAnsi="Palatino Linotype"/>
          <w:sz w:val="24"/>
          <w:szCs w:val="24"/>
          <w:lang w:bidi="en-US"/>
        </w:rPr>
        <w:t xml:space="preserve">mutant </w:t>
      </w:r>
      <w:r w:rsidR="00F66BB3" w:rsidRPr="005B1CCB">
        <w:rPr>
          <w:rFonts w:ascii="Palatino Linotype" w:hAnsi="Palatino Linotype"/>
          <w:sz w:val="24"/>
          <w:szCs w:val="24"/>
          <w:lang w:bidi="en-US"/>
        </w:rPr>
        <w:t xml:space="preserve">probe DNA, cfDNA solutions were diluted using nuclease free water and the following concentrations </w:t>
      </w:r>
      <w:r w:rsidR="00213011" w:rsidRPr="005B1CCB">
        <w:rPr>
          <w:rFonts w:ascii="Palatino Linotype" w:hAnsi="Palatino Linotype"/>
          <w:sz w:val="24"/>
          <w:szCs w:val="24"/>
          <w:lang w:bidi="en-US"/>
        </w:rPr>
        <w:t xml:space="preserve">in </w:t>
      </w:r>
      <w:r w:rsidRPr="005B1CCB">
        <w:rPr>
          <w:rFonts w:ascii="Palatino Linotype" w:hAnsi="Palatino Linotype"/>
          <w:sz w:val="24"/>
          <w:szCs w:val="24"/>
          <w:lang w:bidi="en-US"/>
        </w:rPr>
        <w:t>Ta</w:t>
      </w:r>
      <w:r w:rsidR="00213011" w:rsidRPr="005B1CCB">
        <w:rPr>
          <w:rFonts w:ascii="Palatino Linotype" w:hAnsi="Palatino Linotype"/>
          <w:sz w:val="24"/>
          <w:szCs w:val="24"/>
          <w:lang w:bidi="en-US"/>
        </w:rPr>
        <w:t xml:space="preserve">ble </w:t>
      </w:r>
      <w:r w:rsidR="00CD7488" w:rsidRPr="005B1CCB">
        <w:rPr>
          <w:rFonts w:ascii="Palatino Linotype" w:hAnsi="Palatino Linotype"/>
          <w:sz w:val="24"/>
          <w:szCs w:val="24"/>
          <w:lang w:bidi="en-US"/>
        </w:rPr>
        <w:t>1</w:t>
      </w:r>
      <w:r w:rsidR="00CD7488">
        <w:rPr>
          <w:rFonts w:ascii="Palatino Linotype" w:hAnsi="Palatino Linotype"/>
          <w:sz w:val="24"/>
          <w:szCs w:val="24"/>
          <w:lang w:bidi="en-US"/>
        </w:rPr>
        <w:t>6</w:t>
      </w:r>
      <w:r w:rsidR="00CD7488" w:rsidRPr="005B1CCB">
        <w:rPr>
          <w:rFonts w:ascii="Palatino Linotype" w:hAnsi="Palatino Linotype"/>
          <w:sz w:val="24"/>
          <w:szCs w:val="24"/>
          <w:lang w:bidi="en-US"/>
        </w:rPr>
        <w:t xml:space="preserve"> </w:t>
      </w:r>
      <w:r w:rsidR="00F66BB3" w:rsidRPr="005B1CCB">
        <w:rPr>
          <w:rFonts w:ascii="Palatino Linotype" w:hAnsi="Palatino Linotype"/>
          <w:sz w:val="24"/>
          <w:szCs w:val="24"/>
          <w:lang w:bidi="en-US"/>
        </w:rPr>
        <w:t>for the eight patient samples were introduced as target DNA on the electrode surface.</w:t>
      </w:r>
    </w:p>
    <w:p w14:paraId="1447DAA5" w14:textId="6ABE120E" w:rsidR="00F540B0" w:rsidRPr="005B1CCB" w:rsidRDefault="00F540B0" w:rsidP="00BE466C">
      <w:pPr>
        <w:pStyle w:val="Caption"/>
        <w:keepNext/>
        <w:jc w:val="center"/>
        <w:rPr>
          <w:sz w:val="22"/>
          <w:szCs w:val="22"/>
        </w:rPr>
      </w:pPr>
      <w:r w:rsidRPr="005B1CCB">
        <w:rPr>
          <w:sz w:val="22"/>
          <w:szCs w:val="22"/>
        </w:rPr>
        <w:t xml:space="preserve">Table </w:t>
      </w:r>
      <w:r w:rsidR="00CD7488" w:rsidRPr="005B1CCB">
        <w:rPr>
          <w:sz w:val="22"/>
          <w:szCs w:val="22"/>
        </w:rPr>
        <w:t>1</w:t>
      </w:r>
      <w:r w:rsidR="00CD7488">
        <w:rPr>
          <w:sz w:val="22"/>
          <w:szCs w:val="22"/>
        </w:rPr>
        <w:t>6</w:t>
      </w:r>
      <w:r w:rsidR="000D59A9" w:rsidRPr="005B1CCB">
        <w:rPr>
          <w:sz w:val="22"/>
          <w:szCs w:val="22"/>
        </w:rPr>
        <w:t xml:space="preserve">: </w:t>
      </w:r>
      <w:r w:rsidR="00BE466C" w:rsidRPr="005B1CCB">
        <w:rPr>
          <w:sz w:val="22"/>
          <w:szCs w:val="22"/>
        </w:rPr>
        <w:t>Non-</w:t>
      </w:r>
      <w:r w:rsidR="00B26793" w:rsidRPr="005B1CCB">
        <w:rPr>
          <w:sz w:val="22"/>
          <w:szCs w:val="22"/>
        </w:rPr>
        <w:t>amplified cfDNA</w:t>
      </w:r>
      <w:r w:rsidR="00BE466C" w:rsidRPr="005B1CCB">
        <w:rPr>
          <w:sz w:val="22"/>
          <w:szCs w:val="22"/>
        </w:rPr>
        <w:t xml:space="preserve"> concentrations for all eight patients</w:t>
      </w:r>
    </w:p>
    <w:tbl>
      <w:tblPr>
        <w:tblW w:w="0" w:type="auto"/>
        <w:tblLook w:val="04A0" w:firstRow="1" w:lastRow="0" w:firstColumn="1" w:lastColumn="0" w:noHBand="0" w:noVBand="1"/>
      </w:tblPr>
      <w:tblGrid>
        <w:gridCol w:w="2367"/>
        <w:gridCol w:w="690"/>
        <w:gridCol w:w="653"/>
        <w:gridCol w:w="748"/>
        <w:gridCol w:w="748"/>
        <w:gridCol w:w="748"/>
        <w:gridCol w:w="748"/>
        <w:gridCol w:w="748"/>
        <w:gridCol w:w="748"/>
      </w:tblGrid>
      <w:tr w:rsidR="00F66BB3" w:rsidRPr="005B1CCB" w14:paraId="5000D4C6" w14:textId="77777777" w:rsidTr="004C61DF">
        <w:tc>
          <w:tcPr>
            <w:tcW w:w="2753" w:type="dxa"/>
          </w:tcPr>
          <w:p w14:paraId="239BBB4B" w14:textId="77777777" w:rsidR="00F66BB3" w:rsidRPr="005B1CCB" w:rsidRDefault="00F66BB3" w:rsidP="004C61DF">
            <w:pPr>
              <w:jc w:val="center"/>
              <w:rPr>
                <w:rFonts w:ascii="Palatino Linotype" w:hAnsi="Palatino Linotype"/>
                <w:b/>
                <w:sz w:val="24"/>
                <w:szCs w:val="24"/>
                <w:lang w:bidi="en-US"/>
              </w:rPr>
            </w:pPr>
            <w:r w:rsidRPr="005B1CCB">
              <w:rPr>
                <w:rFonts w:ascii="Palatino Linotype" w:hAnsi="Palatino Linotype"/>
                <w:b/>
                <w:sz w:val="24"/>
                <w:szCs w:val="24"/>
                <w:lang w:bidi="en-US"/>
              </w:rPr>
              <w:t>Sample ID</w:t>
            </w:r>
          </w:p>
        </w:tc>
        <w:tc>
          <w:tcPr>
            <w:tcW w:w="722" w:type="dxa"/>
          </w:tcPr>
          <w:p w14:paraId="286CED6F"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413</w:t>
            </w:r>
          </w:p>
        </w:tc>
        <w:tc>
          <w:tcPr>
            <w:tcW w:w="663" w:type="dxa"/>
          </w:tcPr>
          <w:p w14:paraId="75DD9636"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428</w:t>
            </w:r>
          </w:p>
        </w:tc>
        <w:tc>
          <w:tcPr>
            <w:tcW w:w="813" w:type="dxa"/>
          </w:tcPr>
          <w:p w14:paraId="50D87C1E"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437</w:t>
            </w:r>
          </w:p>
        </w:tc>
        <w:tc>
          <w:tcPr>
            <w:tcW w:w="813" w:type="dxa"/>
          </w:tcPr>
          <w:p w14:paraId="1C1E7752"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438</w:t>
            </w:r>
          </w:p>
        </w:tc>
        <w:tc>
          <w:tcPr>
            <w:tcW w:w="813" w:type="dxa"/>
          </w:tcPr>
          <w:p w14:paraId="57D45842"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440</w:t>
            </w:r>
          </w:p>
        </w:tc>
        <w:tc>
          <w:tcPr>
            <w:tcW w:w="813" w:type="dxa"/>
          </w:tcPr>
          <w:p w14:paraId="084AC328"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459</w:t>
            </w:r>
          </w:p>
        </w:tc>
        <w:tc>
          <w:tcPr>
            <w:tcW w:w="813" w:type="dxa"/>
          </w:tcPr>
          <w:p w14:paraId="372D8D94"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466</w:t>
            </w:r>
          </w:p>
        </w:tc>
        <w:tc>
          <w:tcPr>
            <w:tcW w:w="813" w:type="dxa"/>
          </w:tcPr>
          <w:p w14:paraId="699D3B82"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481</w:t>
            </w:r>
          </w:p>
        </w:tc>
      </w:tr>
      <w:tr w:rsidR="00F66BB3" w:rsidRPr="005B1CCB" w14:paraId="1DE2612E" w14:textId="77777777" w:rsidTr="004C61DF">
        <w:tc>
          <w:tcPr>
            <w:tcW w:w="2753" w:type="dxa"/>
          </w:tcPr>
          <w:p w14:paraId="4AEF9502" w14:textId="77777777" w:rsidR="00F66BB3" w:rsidRPr="005B1CCB" w:rsidRDefault="00F66BB3" w:rsidP="004C61DF">
            <w:pPr>
              <w:jc w:val="center"/>
              <w:rPr>
                <w:rFonts w:ascii="Palatino Linotype" w:hAnsi="Palatino Linotype"/>
                <w:b/>
                <w:sz w:val="24"/>
                <w:szCs w:val="24"/>
                <w:lang w:bidi="en-US"/>
              </w:rPr>
            </w:pPr>
            <w:r w:rsidRPr="005B1CCB">
              <w:rPr>
                <w:rFonts w:ascii="Palatino Linotype" w:hAnsi="Palatino Linotype"/>
                <w:b/>
                <w:sz w:val="24"/>
                <w:szCs w:val="24"/>
                <w:lang w:bidi="en-US"/>
              </w:rPr>
              <w:t>cfDNA concentration (ng/μl)</w:t>
            </w:r>
          </w:p>
        </w:tc>
        <w:tc>
          <w:tcPr>
            <w:tcW w:w="722" w:type="dxa"/>
          </w:tcPr>
          <w:p w14:paraId="643448D6"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1.71</w:t>
            </w:r>
          </w:p>
        </w:tc>
        <w:tc>
          <w:tcPr>
            <w:tcW w:w="663" w:type="dxa"/>
          </w:tcPr>
          <w:p w14:paraId="44DB3526"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1.37</w:t>
            </w:r>
          </w:p>
        </w:tc>
        <w:tc>
          <w:tcPr>
            <w:tcW w:w="813" w:type="dxa"/>
          </w:tcPr>
          <w:p w14:paraId="2892D2DD"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1.16</w:t>
            </w:r>
          </w:p>
        </w:tc>
        <w:tc>
          <w:tcPr>
            <w:tcW w:w="813" w:type="dxa"/>
          </w:tcPr>
          <w:p w14:paraId="23B03CE2"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1.33</w:t>
            </w:r>
          </w:p>
        </w:tc>
        <w:tc>
          <w:tcPr>
            <w:tcW w:w="813" w:type="dxa"/>
          </w:tcPr>
          <w:p w14:paraId="3B1C605A"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1.28</w:t>
            </w:r>
          </w:p>
        </w:tc>
        <w:tc>
          <w:tcPr>
            <w:tcW w:w="813" w:type="dxa"/>
          </w:tcPr>
          <w:p w14:paraId="4AA923A7"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1.20</w:t>
            </w:r>
          </w:p>
        </w:tc>
        <w:tc>
          <w:tcPr>
            <w:tcW w:w="813" w:type="dxa"/>
          </w:tcPr>
          <w:p w14:paraId="55C99808"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1.37</w:t>
            </w:r>
          </w:p>
        </w:tc>
        <w:tc>
          <w:tcPr>
            <w:tcW w:w="813" w:type="dxa"/>
          </w:tcPr>
          <w:p w14:paraId="31DA46FF" w14:textId="77777777" w:rsidR="00F66BB3" w:rsidRPr="005B1CCB" w:rsidRDefault="00F66BB3" w:rsidP="004C61DF">
            <w:pPr>
              <w:jc w:val="center"/>
              <w:rPr>
                <w:rFonts w:ascii="Palatino Linotype" w:hAnsi="Palatino Linotype"/>
                <w:sz w:val="24"/>
                <w:szCs w:val="24"/>
                <w:lang w:bidi="en-US"/>
              </w:rPr>
            </w:pPr>
            <w:r w:rsidRPr="005B1CCB">
              <w:rPr>
                <w:rFonts w:ascii="Palatino Linotype" w:hAnsi="Palatino Linotype"/>
                <w:sz w:val="24"/>
                <w:szCs w:val="24"/>
                <w:lang w:bidi="en-US"/>
              </w:rPr>
              <w:t>1.20</w:t>
            </w:r>
          </w:p>
        </w:tc>
      </w:tr>
    </w:tbl>
    <w:p w14:paraId="10B6F290" w14:textId="77777777" w:rsidR="00F66BB3" w:rsidRPr="005B1CCB" w:rsidRDefault="00F66BB3" w:rsidP="00F66BB3">
      <w:pPr>
        <w:spacing w:line="360" w:lineRule="auto"/>
        <w:rPr>
          <w:rFonts w:ascii="Palatino Linotype" w:hAnsi="Palatino Linotype"/>
          <w:sz w:val="24"/>
          <w:szCs w:val="24"/>
          <w:lang w:bidi="en-US"/>
        </w:rPr>
      </w:pPr>
    </w:p>
    <w:p w14:paraId="5584316A" w14:textId="77777777" w:rsidR="008A6C83" w:rsidRPr="005B1CCB" w:rsidRDefault="00C16F8D" w:rsidP="00563E31">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8A6C83" w:rsidRPr="005B1CCB">
        <w:rPr>
          <w:rFonts w:ascii="Palatino Linotype" w:hAnsi="Palatino Linotype"/>
          <w:sz w:val="24"/>
          <w:szCs w:val="24"/>
          <w:lang w:bidi="en-US"/>
        </w:rPr>
        <w:t xml:space="preserve">DPV measurements were carried out pre and post hybridisation and their resulting % signal change </w:t>
      </w:r>
      <w:r w:rsidRPr="005B1CCB">
        <w:rPr>
          <w:rFonts w:ascii="Palatino Linotype" w:hAnsi="Palatino Linotype"/>
          <w:sz w:val="24"/>
          <w:szCs w:val="24"/>
          <w:lang w:bidi="en-US"/>
        </w:rPr>
        <w:t>i</w:t>
      </w:r>
      <w:r w:rsidR="008A6C83" w:rsidRPr="005B1CCB">
        <w:rPr>
          <w:rFonts w:ascii="Palatino Linotype" w:hAnsi="Palatino Linotype"/>
          <w:sz w:val="24"/>
          <w:szCs w:val="24"/>
          <w:lang w:bidi="en-US"/>
        </w:rPr>
        <w:t xml:space="preserve">s plotted </w:t>
      </w:r>
      <w:r w:rsidRPr="005B1CCB">
        <w:rPr>
          <w:rFonts w:ascii="Palatino Linotype" w:hAnsi="Palatino Linotype"/>
          <w:sz w:val="24"/>
          <w:szCs w:val="24"/>
          <w:lang w:bidi="en-US"/>
        </w:rPr>
        <w:t>in F</w:t>
      </w:r>
      <w:r w:rsidR="008A6C83" w:rsidRPr="005B1CCB">
        <w:rPr>
          <w:rFonts w:ascii="Palatino Linotype" w:hAnsi="Palatino Linotype"/>
          <w:sz w:val="24"/>
          <w:szCs w:val="24"/>
          <w:lang w:bidi="en-US"/>
        </w:rPr>
        <w:t xml:space="preserve">igure </w:t>
      </w:r>
      <w:r w:rsidRPr="005B1CCB">
        <w:rPr>
          <w:rFonts w:ascii="Palatino Linotype" w:hAnsi="Palatino Linotype"/>
          <w:sz w:val="24"/>
          <w:szCs w:val="24"/>
          <w:lang w:bidi="en-US"/>
        </w:rPr>
        <w:t>5</w:t>
      </w:r>
      <w:r w:rsidR="00251094" w:rsidRPr="005B1CCB">
        <w:rPr>
          <w:rFonts w:ascii="Palatino Linotype" w:hAnsi="Palatino Linotype"/>
          <w:sz w:val="24"/>
          <w:szCs w:val="24"/>
          <w:lang w:bidi="en-US"/>
        </w:rPr>
        <w:t>8</w:t>
      </w:r>
      <w:r w:rsidR="008A6C83" w:rsidRPr="005B1CCB">
        <w:rPr>
          <w:rFonts w:ascii="Palatino Linotype" w:hAnsi="Palatino Linotype"/>
          <w:sz w:val="24"/>
          <w:szCs w:val="24"/>
          <w:lang w:bidi="en-US"/>
        </w:rPr>
        <w:t>.</w:t>
      </w:r>
      <w:r w:rsidR="00563E31" w:rsidRPr="005B1CCB">
        <w:rPr>
          <w:rFonts w:ascii="Palatino Linotype" w:hAnsi="Palatino Linotype"/>
          <w:sz w:val="24"/>
          <w:szCs w:val="24"/>
          <w:lang w:bidi="en-US"/>
        </w:rPr>
        <w:t xml:space="preserve"> Patients 428, 459 and 466 </w:t>
      </w:r>
      <w:r w:rsidR="00677C02" w:rsidRPr="005B1CCB">
        <w:rPr>
          <w:rFonts w:ascii="Palatino Linotype" w:hAnsi="Palatino Linotype"/>
          <w:sz w:val="24"/>
          <w:szCs w:val="24"/>
          <w:lang w:bidi="en-US"/>
        </w:rPr>
        <w:t>show</w:t>
      </w:r>
      <w:r w:rsidR="008D35A7" w:rsidRPr="005B1CCB">
        <w:rPr>
          <w:rFonts w:ascii="Palatino Linotype" w:hAnsi="Palatino Linotype"/>
          <w:sz w:val="24"/>
          <w:szCs w:val="24"/>
          <w:lang w:bidi="en-US"/>
        </w:rPr>
        <w:t>ed</w:t>
      </w:r>
      <w:r w:rsidR="00677C02" w:rsidRPr="005B1CCB">
        <w:rPr>
          <w:rFonts w:ascii="Palatino Linotype" w:hAnsi="Palatino Linotype"/>
          <w:sz w:val="24"/>
          <w:szCs w:val="24"/>
          <w:lang w:bidi="en-US"/>
        </w:rPr>
        <w:t xml:space="preserve"> a high presence of</w:t>
      </w:r>
      <w:r w:rsidR="00563E31" w:rsidRPr="005B1CCB">
        <w:rPr>
          <w:rFonts w:ascii="Palatino Linotype" w:hAnsi="Palatino Linotype"/>
          <w:sz w:val="24"/>
          <w:szCs w:val="24"/>
          <w:lang w:bidi="en-US"/>
        </w:rPr>
        <w:t xml:space="preserve"> the pG12D mutation while patients 413 and 438 </w:t>
      </w:r>
      <w:r w:rsidR="00594583" w:rsidRPr="005B1CCB">
        <w:rPr>
          <w:rFonts w:ascii="Palatino Linotype" w:hAnsi="Palatino Linotype"/>
          <w:sz w:val="24"/>
          <w:szCs w:val="24"/>
          <w:lang w:bidi="en-US"/>
        </w:rPr>
        <w:t>showed</w:t>
      </w:r>
      <w:r w:rsidR="00677C02" w:rsidRPr="005B1CCB">
        <w:rPr>
          <w:rFonts w:ascii="Palatino Linotype" w:hAnsi="Palatino Linotype"/>
          <w:sz w:val="24"/>
          <w:szCs w:val="24"/>
          <w:lang w:bidi="en-US"/>
        </w:rPr>
        <w:t xml:space="preserve"> a high presence of the KRAS</w:t>
      </w:r>
      <w:r w:rsidR="00563E31" w:rsidRPr="005B1CCB">
        <w:rPr>
          <w:rFonts w:ascii="Palatino Linotype" w:hAnsi="Palatino Linotype"/>
          <w:sz w:val="24"/>
          <w:szCs w:val="24"/>
          <w:lang w:bidi="en-US"/>
        </w:rPr>
        <w:t xml:space="preserve"> pG13D mutation. Although patient 437 had the lowest cfDNA concentration, </w:t>
      </w:r>
      <w:r w:rsidR="00677C02" w:rsidRPr="005B1CCB">
        <w:rPr>
          <w:rFonts w:ascii="Palatino Linotype" w:hAnsi="Palatino Linotype"/>
          <w:sz w:val="24"/>
          <w:szCs w:val="24"/>
          <w:lang w:bidi="en-US"/>
        </w:rPr>
        <w:t xml:space="preserve">this particular </w:t>
      </w:r>
      <w:r w:rsidR="00563E31" w:rsidRPr="005B1CCB">
        <w:rPr>
          <w:rFonts w:ascii="Palatino Linotype" w:hAnsi="Palatino Linotype"/>
          <w:sz w:val="24"/>
          <w:szCs w:val="24"/>
          <w:lang w:bidi="en-US"/>
        </w:rPr>
        <w:t xml:space="preserve">sample seems to have also contained a lot of </w:t>
      </w:r>
      <w:r w:rsidR="00677C02" w:rsidRPr="005B1CCB">
        <w:rPr>
          <w:rFonts w:ascii="Palatino Linotype" w:hAnsi="Palatino Linotype"/>
          <w:sz w:val="24"/>
          <w:szCs w:val="24"/>
          <w:lang w:bidi="en-US"/>
        </w:rPr>
        <w:t xml:space="preserve">KRAS </w:t>
      </w:r>
      <w:r w:rsidR="00563E31" w:rsidRPr="005B1CCB">
        <w:rPr>
          <w:rFonts w:ascii="Palatino Linotype" w:hAnsi="Palatino Linotype"/>
          <w:sz w:val="24"/>
          <w:szCs w:val="24"/>
          <w:lang w:bidi="en-US"/>
        </w:rPr>
        <w:t>wild—type DNA.</w:t>
      </w:r>
      <w:r w:rsidR="00973E5A" w:rsidRPr="005B1CCB">
        <w:rPr>
          <w:rFonts w:ascii="Palatino Linotype" w:hAnsi="Palatino Linotype"/>
          <w:sz w:val="24"/>
          <w:szCs w:val="24"/>
          <w:lang w:bidi="en-US"/>
        </w:rPr>
        <w:t xml:space="preserve"> It is noted that patient sample 437 containing 1.16 ng/µl of unamplified cfDNA was detectable using both the pG12D and pG13D mutant probes.</w:t>
      </w:r>
    </w:p>
    <w:p w14:paraId="4B6884B3" w14:textId="77777777" w:rsidR="00BA2FF3" w:rsidRPr="005B1CCB" w:rsidRDefault="00065AB4" w:rsidP="00BA2FF3">
      <w:pPr>
        <w:keepNext/>
        <w:jc w:val="both"/>
      </w:pPr>
      <w:r w:rsidRPr="005B1CCB">
        <w:rPr>
          <w:noProof/>
          <w:lang w:eastAsia="en-GB"/>
        </w:rPr>
        <w:drawing>
          <wp:inline distT="0" distB="0" distL="0" distR="0" wp14:anchorId="27BBF95B" wp14:editId="7159D6C5">
            <wp:extent cx="6050031" cy="2613025"/>
            <wp:effectExtent l="0" t="0" r="825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BEBA8EAE-BF5A-486C-A8C5-ECC9F3942E4B}">
                          <a14:imgProps xmlns:a14="http://schemas.microsoft.com/office/drawing/2010/main">
                            <a14:imgLayer r:embed="rId81">
                              <a14:imgEffect>
                                <a14:sharpenSoften amount="23000"/>
                              </a14:imgEffect>
                              <a14:imgEffect>
                                <a14:brightnessContrast bright="32000"/>
                              </a14:imgEffect>
                            </a14:imgLayer>
                          </a14:imgProps>
                        </a:ext>
                      </a:extLst>
                    </a:blip>
                    <a:stretch>
                      <a:fillRect/>
                    </a:stretch>
                  </pic:blipFill>
                  <pic:spPr>
                    <a:xfrm>
                      <a:off x="0" y="0"/>
                      <a:ext cx="6087822" cy="2629347"/>
                    </a:xfrm>
                    <a:prstGeom prst="rect">
                      <a:avLst/>
                    </a:prstGeom>
                  </pic:spPr>
                </pic:pic>
              </a:graphicData>
            </a:graphic>
          </wp:inline>
        </w:drawing>
      </w:r>
    </w:p>
    <w:p w14:paraId="03B7B507" w14:textId="77777777" w:rsidR="00E043C4" w:rsidRPr="005B1CCB" w:rsidRDefault="00BA2FF3" w:rsidP="00BA2FF3">
      <w:pPr>
        <w:pStyle w:val="Caption"/>
        <w:jc w:val="center"/>
        <w:rPr>
          <w:sz w:val="22"/>
          <w:szCs w:val="22"/>
        </w:rPr>
      </w:pPr>
      <w:bookmarkStart w:id="212" w:name="_Toc84519653"/>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58</w:t>
      </w:r>
      <w:r w:rsidRPr="005B1CCB">
        <w:rPr>
          <w:sz w:val="22"/>
          <w:szCs w:val="22"/>
        </w:rPr>
        <w:fldChar w:fldCharType="end"/>
      </w:r>
      <w:r w:rsidRPr="005B1CCB">
        <w:rPr>
          <w:sz w:val="22"/>
          <w:szCs w:val="22"/>
        </w:rPr>
        <w:t>:</w:t>
      </w:r>
      <w:r w:rsidR="00210F17" w:rsidRPr="005B1CCB">
        <w:rPr>
          <w:sz w:val="22"/>
          <w:szCs w:val="22"/>
        </w:rPr>
        <w:t xml:space="preserve"> DNA hybridisation between (A) pG12D mutant probe and non-amplified cfDNA samples (ng/</w:t>
      </w:r>
      <w:r w:rsidR="00210F17" w:rsidRPr="005B1CCB">
        <w:rPr>
          <w:rFonts w:cstheme="minorHAnsi"/>
          <w:sz w:val="22"/>
          <w:szCs w:val="22"/>
        </w:rPr>
        <w:t>µ</w:t>
      </w:r>
      <w:r w:rsidR="00210F17" w:rsidRPr="005B1CCB">
        <w:rPr>
          <w:sz w:val="22"/>
          <w:szCs w:val="22"/>
        </w:rPr>
        <w:t>l) (B) (A) pG12D mutant probe and non-amplified cfDNA samples (ng/</w:t>
      </w:r>
      <w:r w:rsidR="00210F17" w:rsidRPr="005B1CCB">
        <w:rPr>
          <w:rFonts w:cstheme="minorHAnsi"/>
          <w:sz w:val="22"/>
          <w:szCs w:val="22"/>
        </w:rPr>
        <w:t>µ</w:t>
      </w:r>
      <w:r w:rsidR="00210F17" w:rsidRPr="005B1CCB">
        <w:rPr>
          <w:sz w:val="22"/>
          <w:szCs w:val="22"/>
        </w:rPr>
        <w:t>l) on SPCE</w:t>
      </w:r>
      <w:bookmarkEnd w:id="212"/>
    </w:p>
    <w:p w14:paraId="39A87388" w14:textId="77777777" w:rsidR="004115ED" w:rsidRPr="005B1CCB" w:rsidRDefault="004115ED" w:rsidP="004115ED"/>
    <w:p w14:paraId="0E6505C5" w14:textId="77777777" w:rsidR="00E42D8D" w:rsidRPr="005B1CCB" w:rsidRDefault="00E42D8D" w:rsidP="002E4775">
      <w:pPr>
        <w:pStyle w:val="Heading3"/>
      </w:pPr>
      <w:bookmarkStart w:id="213" w:name="_Toc84528152"/>
      <w:r w:rsidRPr="005B1CCB">
        <w:t>ddPCR results</w:t>
      </w:r>
      <w:bookmarkEnd w:id="213"/>
    </w:p>
    <w:p w14:paraId="549B167B" w14:textId="38949BD2" w:rsidR="00E42D8D" w:rsidRPr="005B1CCB" w:rsidRDefault="003261DF" w:rsidP="002E4775">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E42D8D" w:rsidRPr="005B1CCB">
        <w:rPr>
          <w:rFonts w:ascii="Palatino Linotype" w:hAnsi="Palatino Linotype"/>
          <w:sz w:val="24"/>
          <w:szCs w:val="24"/>
          <w:lang w:bidi="en-US"/>
        </w:rPr>
        <w:t xml:space="preserve">Using Biorad </w:t>
      </w:r>
      <w:r w:rsidR="00CB2EF3" w:rsidRPr="005B1CCB">
        <w:rPr>
          <w:rFonts w:ascii="Palatino Linotype" w:hAnsi="Palatino Linotype"/>
          <w:sz w:val="24"/>
          <w:szCs w:val="24"/>
          <w:lang w:bidi="en-US"/>
        </w:rPr>
        <w:t xml:space="preserve">QX200 </w:t>
      </w:r>
      <w:r w:rsidR="00E42D8D" w:rsidRPr="005B1CCB">
        <w:rPr>
          <w:rFonts w:ascii="Palatino Linotype" w:hAnsi="Palatino Linotype"/>
          <w:sz w:val="24"/>
          <w:szCs w:val="24"/>
          <w:lang w:bidi="en-US"/>
        </w:rPr>
        <w:t>ddPCR assay, the isolated DNA samples were tested for the specific presence of KRAS pG12D and pG13D in comparison to their respective wild-type controls.</w:t>
      </w:r>
      <w:r w:rsidR="00296D1C" w:rsidRPr="005B1CCB">
        <w:rPr>
          <w:rFonts w:ascii="Palatino Linotype" w:hAnsi="Palatino Linotype"/>
          <w:sz w:val="24"/>
          <w:szCs w:val="24"/>
          <w:lang w:bidi="en-US"/>
        </w:rPr>
        <w:t xml:space="preserve"> This was done to certify the results obtained using the developed ctDNA array sensor.</w:t>
      </w:r>
      <w:r w:rsidRPr="005B1CCB">
        <w:rPr>
          <w:rFonts w:ascii="Palatino Linotype" w:hAnsi="Palatino Linotype"/>
          <w:sz w:val="24"/>
          <w:szCs w:val="24"/>
          <w:lang w:bidi="en-US"/>
        </w:rPr>
        <w:t xml:space="preserve"> The results </w:t>
      </w:r>
      <w:r w:rsidR="006C568E">
        <w:rPr>
          <w:rFonts w:ascii="Palatino Linotype" w:hAnsi="Palatino Linotype"/>
          <w:sz w:val="24"/>
          <w:szCs w:val="24"/>
          <w:lang w:bidi="en-US"/>
        </w:rPr>
        <w:t>received</w:t>
      </w:r>
      <w:r w:rsidR="006C568E" w:rsidRPr="005B1CCB">
        <w:rPr>
          <w:rFonts w:ascii="Palatino Linotype" w:hAnsi="Palatino Linotype"/>
          <w:sz w:val="24"/>
          <w:szCs w:val="24"/>
          <w:lang w:bidi="en-US"/>
        </w:rPr>
        <w:t xml:space="preserve"> </w:t>
      </w:r>
      <w:r w:rsidRPr="005B1CCB">
        <w:rPr>
          <w:rFonts w:ascii="Palatino Linotype" w:hAnsi="Palatino Linotype"/>
          <w:sz w:val="24"/>
          <w:szCs w:val="24"/>
          <w:lang w:bidi="en-US"/>
        </w:rPr>
        <w:t xml:space="preserve">are shown in </w:t>
      </w:r>
      <w:r w:rsidR="00E91055" w:rsidRPr="005B1CCB">
        <w:rPr>
          <w:rFonts w:ascii="Palatino Linotype" w:hAnsi="Palatino Linotype"/>
          <w:sz w:val="24"/>
          <w:szCs w:val="24"/>
          <w:lang w:bidi="en-US"/>
        </w:rPr>
        <w:t xml:space="preserve">Table </w:t>
      </w:r>
      <w:r w:rsidR="00CD7488" w:rsidRPr="005B1CCB">
        <w:rPr>
          <w:rFonts w:ascii="Palatino Linotype" w:hAnsi="Palatino Linotype"/>
          <w:sz w:val="24"/>
          <w:szCs w:val="24"/>
          <w:lang w:bidi="en-US"/>
        </w:rPr>
        <w:t>1</w:t>
      </w:r>
      <w:r w:rsidR="00CD7488">
        <w:rPr>
          <w:rFonts w:ascii="Palatino Linotype" w:hAnsi="Palatino Linotype"/>
          <w:sz w:val="24"/>
          <w:szCs w:val="24"/>
          <w:lang w:bidi="en-US"/>
        </w:rPr>
        <w:t>7</w:t>
      </w:r>
      <w:r w:rsidR="00CD7488" w:rsidRPr="005B1CCB">
        <w:rPr>
          <w:rFonts w:ascii="Palatino Linotype" w:hAnsi="Palatino Linotype"/>
          <w:sz w:val="24"/>
          <w:szCs w:val="24"/>
          <w:lang w:bidi="en-US"/>
        </w:rPr>
        <w:t xml:space="preserve"> </w:t>
      </w:r>
      <w:r w:rsidR="00E91055" w:rsidRPr="005B1CCB">
        <w:rPr>
          <w:rFonts w:ascii="Palatino Linotype" w:hAnsi="Palatino Linotype"/>
          <w:sz w:val="24"/>
          <w:szCs w:val="24"/>
          <w:lang w:bidi="en-US"/>
        </w:rPr>
        <w:t xml:space="preserve">and </w:t>
      </w:r>
      <w:r w:rsidR="009C5AD7" w:rsidRPr="005B1CCB">
        <w:rPr>
          <w:rFonts w:ascii="Palatino Linotype" w:hAnsi="Palatino Linotype"/>
          <w:sz w:val="24"/>
          <w:szCs w:val="24"/>
          <w:lang w:bidi="en-US"/>
        </w:rPr>
        <w:t>F</w:t>
      </w:r>
      <w:r w:rsidRPr="005B1CCB">
        <w:rPr>
          <w:rFonts w:ascii="Palatino Linotype" w:hAnsi="Palatino Linotype"/>
          <w:sz w:val="24"/>
          <w:szCs w:val="24"/>
          <w:lang w:bidi="en-US"/>
        </w:rPr>
        <w:t xml:space="preserve">igures </w:t>
      </w:r>
      <w:r w:rsidR="009C5AD7" w:rsidRPr="005B1CCB">
        <w:rPr>
          <w:rFonts w:ascii="Palatino Linotype" w:hAnsi="Palatino Linotype"/>
          <w:sz w:val="24"/>
          <w:szCs w:val="24"/>
          <w:lang w:bidi="en-US"/>
        </w:rPr>
        <w:t>5</w:t>
      </w:r>
      <w:r w:rsidR="00251094" w:rsidRPr="005B1CCB">
        <w:rPr>
          <w:rFonts w:ascii="Palatino Linotype" w:hAnsi="Palatino Linotype"/>
          <w:sz w:val="24"/>
          <w:szCs w:val="24"/>
          <w:lang w:bidi="en-US"/>
        </w:rPr>
        <w:t>9</w:t>
      </w:r>
      <w:r w:rsidR="009C5AD7" w:rsidRPr="005B1CCB">
        <w:rPr>
          <w:rFonts w:ascii="Palatino Linotype" w:hAnsi="Palatino Linotype"/>
          <w:sz w:val="24"/>
          <w:szCs w:val="24"/>
          <w:lang w:bidi="en-US"/>
        </w:rPr>
        <w:t xml:space="preserve">, </w:t>
      </w:r>
      <w:r w:rsidR="00251094" w:rsidRPr="005B1CCB">
        <w:rPr>
          <w:rFonts w:ascii="Palatino Linotype" w:hAnsi="Palatino Linotype"/>
          <w:sz w:val="24"/>
          <w:szCs w:val="24"/>
          <w:lang w:bidi="en-US"/>
        </w:rPr>
        <w:t>60</w:t>
      </w:r>
      <w:r w:rsidRPr="005B1CCB">
        <w:rPr>
          <w:rFonts w:ascii="Palatino Linotype" w:hAnsi="Palatino Linotype"/>
          <w:sz w:val="24"/>
          <w:szCs w:val="24"/>
          <w:lang w:bidi="en-US"/>
        </w:rPr>
        <w:t xml:space="preserve">, and </w:t>
      </w:r>
      <w:r w:rsidR="00251094" w:rsidRPr="005B1CCB">
        <w:rPr>
          <w:rFonts w:ascii="Palatino Linotype" w:hAnsi="Palatino Linotype"/>
          <w:sz w:val="24"/>
          <w:szCs w:val="24"/>
          <w:lang w:bidi="en-US"/>
        </w:rPr>
        <w:t>61</w:t>
      </w:r>
      <w:r w:rsidRPr="005B1CCB">
        <w:rPr>
          <w:rFonts w:ascii="Palatino Linotype" w:hAnsi="Palatino Linotype"/>
          <w:sz w:val="24"/>
          <w:szCs w:val="24"/>
          <w:lang w:bidi="en-US"/>
        </w:rPr>
        <w:t>.</w:t>
      </w:r>
    </w:p>
    <w:p w14:paraId="5CBA4433" w14:textId="77777777" w:rsidR="00467ABD" w:rsidRPr="005B1CCB" w:rsidRDefault="002E4775" w:rsidP="00467ABD">
      <w:pPr>
        <w:keepNext/>
        <w:spacing w:line="360" w:lineRule="auto"/>
        <w:jc w:val="both"/>
      </w:pPr>
      <w:r w:rsidRPr="005B1CCB">
        <w:rPr>
          <w:noProof/>
          <w:lang w:eastAsia="en-GB"/>
        </w:rPr>
        <w:drawing>
          <wp:inline distT="0" distB="0" distL="0" distR="0" wp14:anchorId="1E91450B" wp14:editId="46128C0A">
            <wp:extent cx="6012926" cy="3547607"/>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BEBA8EAE-BF5A-486C-A8C5-ECC9F3942E4B}">
                          <a14:imgProps xmlns:a14="http://schemas.microsoft.com/office/drawing/2010/main">
                            <a14:imgLayer r:embed="rId83">
                              <a14:imgEffect>
                                <a14:sharpenSoften amount="32000"/>
                              </a14:imgEffect>
                            </a14:imgLayer>
                          </a14:imgProps>
                        </a:ext>
                      </a:extLst>
                    </a:blip>
                    <a:stretch>
                      <a:fillRect/>
                    </a:stretch>
                  </pic:blipFill>
                  <pic:spPr>
                    <a:xfrm>
                      <a:off x="0" y="0"/>
                      <a:ext cx="6049038" cy="3568913"/>
                    </a:xfrm>
                    <a:prstGeom prst="rect">
                      <a:avLst/>
                    </a:prstGeom>
                  </pic:spPr>
                </pic:pic>
              </a:graphicData>
            </a:graphic>
          </wp:inline>
        </w:drawing>
      </w:r>
    </w:p>
    <w:p w14:paraId="70D7385C" w14:textId="663EAE1C" w:rsidR="002E4775" w:rsidRPr="005B1CCB" w:rsidRDefault="00467ABD" w:rsidP="00467ABD">
      <w:pPr>
        <w:pStyle w:val="Caption"/>
        <w:jc w:val="center"/>
        <w:rPr>
          <w:sz w:val="22"/>
          <w:szCs w:val="22"/>
          <w:lang w:bidi="en-US"/>
        </w:rPr>
      </w:pPr>
      <w:bookmarkStart w:id="214" w:name="_Toc84519654"/>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59</w:t>
      </w:r>
      <w:r w:rsidRPr="005B1CCB">
        <w:rPr>
          <w:sz w:val="22"/>
          <w:szCs w:val="22"/>
        </w:rPr>
        <w:fldChar w:fldCharType="end"/>
      </w:r>
      <w:r w:rsidRPr="005B1CCB">
        <w:rPr>
          <w:sz w:val="22"/>
          <w:szCs w:val="22"/>
        </w:rPr>
        <w:t>:</w:t>
      </w:r>
      <w:r w:rsidR="00E55820" w:rsidRPr="005B1CCB">
        <w:rPr>
          <w:sz w:val="22"/>
          <w:szCs w:val="22"/>
        </w:rPr>
        <w:t xml:space="preserve"> Droplet digital PCR raw results for</w:t>
      </w:r>
      <w:r w:rsidR="00A341C7">
        <w:rPr>
          <w:sz w:val="22"/>
          <w:szCs w:val="22"/>
        </w:rPr>
        <w:t xml:space="preserve"> 8 patient samples (K</w:t>
      </w:r>
      <w:r w:rsidR="00E55820" w:rsidRPr="005B1CCB">
        <w:rPr>
          <w:sz w:val="22"/>
          <w:szCs w:val="22"/>
        </w:rPr>
        <w:t xml:space="preserve">RASpG12D in the left column and KRASpG13D on the right </w:t>
      </w:r>
      <w:r w:rsidR="00A341C7" w:rsidRPr="005B1CCB">
        <w:rPr>
          <w:sz w:val="22"/>
          <w:szCs w:val="22"/>
        </w:rPr>
        <w:t>column</w:t>
      </w:r>
      <w:r w:rsidR="00A341C7">
        <w:rPr>
          <w:sz w:val="22"/>
          <w:szCs w:val="22"/>
        </w:rPr>
        <w:t>)</w:t>
      </w:r>
      <w:r w:rsidR="00E55820" w:rsidRPr="005B1CCB">
        <w:rPr>
          <w:sz w:val="22"/>
          <w:szCs w:val="22"/>
        </w:rPr>
        <w:t>. Top row show droplets for the mutants, 2nd row show droplets for the respective wild</w:t>
      </w:r>
      <w:r w:rsidR="00E52348">
        <w:rPr>
          <w:sz w:val="22"/>
          <w:szCs w:val="22"/>
        </w:rPr>
        <w:t>-</w:t>
      </w:r>
      <w:r w:rsidR="00E55820" w:rsidRPr="005B1CCB">
        <w:rPr>
          <w:sz w:val="22"/>
          <w:szCs w:val="22"/>
        </w:rPr>
        <w:t xml:space="preserve">type controls. Figures in 3rd row show 2D representations of droplets for the mutant on the Y-axis and respective KRAS </w:t>
      </w:r>
      <w:r w:rsidR="00E52348" w:rsidRPr="005B1CCB">
        <w:rPr>
          <w:sz w:val="22"/>
          <w:szCs w:val="22"/>
        </w:rPr>
        <w:t>wild</w:t>
      </w:r>
      <w:r w:rsidR="00E52348">
        <w:rPr>
          <w:sz w:val="22"/>
          <w:szCs w:val="22"/>
        </w:rPr>
        <w:t>-</w:t>
      </w:r>
      <w:r w:rsidR="00E55820" w:rsidRPr="005B1CCB">
        <w:rPr>
          <w:sz w:val="22"/>
          <w:szCs w:val="22"/>
        </w:rPr>
        <w:t>type controls on the X-axis.</w:t>
      </w:r>
      <w:bookmarkEnd w:id="214"/>
    </w:p>
    <w:p w14:paraId="0B9A077A" w14:textId="77777777" w:rsidR="00701B05" w:rsidRPr="005B1CCB" w:rsidRDefault="00701B05" w:rsidP="00CC5DE6">
      <w:pPr>
        <w:rPr>
          <w:lang w:bidi="en-US"/>
        </w:rPr>
      </w:pPr>
    </w:p>
    <w:p w14:paraId="2F1D9615" w14:textId="77777777" w:rsidR="00701B05" w:rsidRPr="005B1CCB" w:rsidRDefault="00701B05" w:rsidP="00CC5DE6">
      <w:pPr>
        <w:rPr>
          <w:lang w:bidi="en-US"/>
        </w:rPr>
      </w:pPr>
    </w:p>
    <w:p w14:paraId="1D137767" w14:textId="0DD4C4EF" w:rsidR="004152CF" w:rsidRPr="005B1CCB" w:rsidRDefault="004152CF" w:rsidP="004152CF">
      <w:pPr>
        <w:pStyle w:val="Caption"/>
        <w:keepNext/>
        <w:jc w:val="center"/>
        <w:rPr>
          <w:sz w:val="22"/>
          <w:szCs w:val="22"/>
        </w:rPr>
      </w:pPr>
      <w:r w:rsidRPr="005B1CCB">
        <w:rPr>
          <w:sz w:val="22"/>
          <w:szCs w:val="22"/>
        </w:rPr>
        <w:t xml:space="preserve">Table </w:t>
      </w:r>
      <w:r w:rsidR="00E52348">
        <w:rPr>
          <w:sz w:val="22"/>
          <w:szCs w:val="22"/>
        </w:rPr>
        <w:t>1</w:t>
      </w:r>
      <w:r w:rsidR="00CD7488">
        <w:rPr>
          <w:sz w:val="22"/>
          <w:szCs w:val="22"/>
        </w:rPr>
        <w:t>7</w:t>
      </w:r>
      <w:r w:rsidRPr="005B1CCB">
        <w:rPr>
          <w:sz w:val="22"/>
          <w:szCs w:val="22"/>
        </w:rPr>
        <w:t>: Table of quantitative determination of KRASpG12D and KRASpG13D in comparison to their respective wild type controls using BioRad QX200 droplet digital PCR assays from 1mL of plasma of various patient samples.</w:t>
      </w:r>
    </w:p>
    <w:tbl>
      <w:tblPr>
        <w:tblW w:w="0" w:type="auto"/>
        <w:jc w:val="center"/>
        <w:tblLook w:val="04A0" w:firstRow="1" w:lastRow="0" w:firstColumn="1" w:lastColumn="0" w:noHBand="0" w:noVBand="1"/>
      </w:tblPr>
      <w:tblGrid>
        <w:gridCol w:w="1958"/>
        <w:gridCol w:w="1944"/>
        <w:gridCol w:w="1002"/>
        <w:gridCol w:w="1148"/>
        <w:gridCol w:w="975"/>
        <w:gridCol w:w="1171"/>
      </w:tblGrid>
      <w:tr w:rsidR="00CC5DE6" w:rsidRPr="005B1CCB" w14:paraId="46D4E0C7" w14:textId="77777777" w:rsidTr="0017439F">
        <w:trPr>
          <w:trHeight w:val="156"/>
          <w:jc w:val="center"/>
        </w:trPr>
        <w:tc>
          <w:tcPr>
            <w:tcW w:w="2254" w:type="dxa"/>
            <w:vMerge w:val="restart"/>
          </w:tcPr>
          <w:p w14:paraId="0ED860BF"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Sample ID</w:t>
            </w:r>
          </w:p>
        </w:tc>
        <w:tc>
          <w:tcPr>
            <w:tcW w:w="2254" w:type="dxa"/>
            <w:vMerge w:val="restart"/>
          </w:tcPr>
          <w:p w14:paraId="1E0426F4"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Well position</w:t>
            </w:r>
          </w:p>
        </w:tc>
        <w:tc>
          <w:tcPr>
            <w:tcW w:w="4508" w:type="dxa"/>
            <w:gridSpan w:val="4"/>
          </w:tcPr>
          <w:p w14:paraId="20570E86"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 xml:space="preserve">BioRad ddPCR assay target (copies / ng cfDNA from 1ml plasma) </w:t>
            </w:r>
          </w:p>
        </w:tc>
      </w:tr>
      <w:tr w:rsidR="00CC5DE6" w:rsidRPr="005B1CCB" w14:paraId="75A636C6" w14:textId="77777777" w:rsidTr="0017439F">
        <w:trPr>
          <w:trHeight w:val="110"/>
          <w:jc w:val="center"/>
        </w:trPr>
        <w:tc>
          <w:tcPr>
            <w:tcW w:w="2254" w:type="dxa"/>
            <w:vMerge/>
          </w:tcPr>
          <w:p w14:paraId="6FC011AD" w14:textId="77777777" w:rsidR="00CC5DE6" w:rsidRPr="005B1CCB" w:rsidRDefault="00CC5DE6" w:rsidP="0017439F">
            <w:pPr>
              <w:rPr>
                <w:rFonts w:ascii="Palatino Linotype" w:hAnsi="Palatino Linotype"/>
                <w:sz w:val="24"/>
                <w:szCs w:val="24"/>
                <w:lang w:bidi="en-US"/>
              </w:rPr>
            </w:pPr>
          </w:p>
        </w:tc>
        <w:tc>
          <w:tcPr>
            <w:tcW w:w="2254" w:type="dxa"/>
            <w:vMerge/>
          </w:tcPr>
          <w:p w14:paraId="3672FC74" w14:textId="77777777" w:rsidR="00CC5DE6" w:rsidRPr="005B1CCB" w:rsidRDefault="00CC5DE6" w:rsidP="0017439F">
            <w:pPr>
              <w:rPr>
                <w:rFonts w:ascii="Palatino Linotype" w:hAnsi="Palatino Linotype"/>
                <w:sz w:val="24"/>
                <w:szCs w:val="24"/>
                <w:lang w:bidi="en-US"/>
              </w:rPr>
            </w:pPr>
          </w:p>
        </w:tc>
        <w:tc>
          <w:tcPr>
            <w:tcW w:w="1049" w:type="dxa"/>
          </w:tcPr>
          <w:p w14:paraId="744BC97A"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KRAS G12D</w:t>
            </w:r>
          </w:p>
        </w:tc>
        <w:tc>
          <w:tcPr>
            <w:tcW w:w="1205" w:type="dxa"/>
          </w:tcPr>
          <w:p w14:paraId="1A7D3746"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KRAS -  WT</w:t>
            </w:r>
          </w:p>
        </w:tc>
        <w:tc>
          <w:tcPr>
            <w:tcW w:w="1017" w:type="dxa"/>
          </w:tcPr>
          <w:p w14:paraId="50BE25E9"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KRAS G13D</w:t>
            </w:r>
          </w:p>
        </w:tc>
        <w:tc>
          <w:tcPr>
            <w:tcW w:w="1237" w:type="dxa"/>
          </w:tcPr>
          <w:p w14:paraId="29C13F4D"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KRAS- WT</w:t>
            </w:r>
          </w:p>
        </w:tc>
      </w:tr>
      <w:tr w:rsidR="00CC5DE6" w:rsidRPr="005B1CCB" w14:paraId="49539EED" w14:textId="77777777" w:rsidTr="0017439F">
        <w:trPr>
          <w:jc w:val="center"/>
        </w:trPr>
        <w:tc>
          <w:tcPr>
            <w:tcW w:w="2254" w:type="dxa"/>
            <w:vMerge w:val="restart"/>
          </w:tcPr>
          <w:p w14:paraId="049046EA"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413</w:t>
            </w:r>
          </w:p>
        </w:tc>
        <w:tc>
          <w:tcPr>
            <w:tcW w:w="2254" w:type="dxa"/>
          </w:tcPr>
          <w:p w14:paraId="2DFD3196"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A02</w:t>
            </w:r>
          </w:p>
        </w:tc>
        <w:tc>
          <w:tcPr>
            <w:tcW w:w="1049" w:type="dxa"/>
          </w:tcPr>
          <w:p w14:paraId="65641245"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0.211</w:t>
            </w:r>
          </w:p>
        </w:tc>
        <w:tc>
          <w:tcPr>
            <w:tcW w:w="1205" w:type="dxa"/>
          </w:tcPr>
          <w:p w14:paraId="4B1DC58B"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197.232</w:t>
            </w:r>
          </w:p>
        </w:tc>
        <w:tc>
          <w:tcPr>
            <w:tcW w:w="1017" w:type="dxa"/>
          </w:tcPr>
          <w:p w14:paraId="50305597" w14:textId="77777777" w:rsidR="00CC5DE6" w:rsidRPr="005B1CCB" w:rsidRDefault="00CC5DE6" w:rsidP="0017439F">
            <w:pPr>
              <w:rPr>
                <w:rFonts w:ascii="Palatino Linotype" w:hAnsi="Palatino Linotype"/>
                <w:sz w:val="24"/>
                <w:szCs w:val="24"/>
                <w:lang w:bidi="en-US"/>
              </w:rPr>
            </w:pPr>
          </w:p>
        </w:tc>
        <w:tc>
          <w:tcPr>
            <w:tcW w:w="1237" w:type="dxa"/>
          </w:tcPr>
          <w:p w14:paraId="69505181" w14:textId="77777777" w:rsidR="00CC5DE6" w:rsidRPr="005B1CCB" w:rsidRDefault="00CC5DE6" w:rsidP="0017439F">
            <w:pPr>
              <w:rPr>
                <w:rFonts w:ascii="Palatino Linotype" w:hAnsi="Palatino Linotype"/>
                <w:sz w:val="24"/>
                <w:szCs w:val="24"/>
                <w:lang w:bidi="en-US"/>
              </w:rPr>
            </w:pPr>
          </w:p>
        </w:tc>
      </w:tr>
      <w:tr w:rsidR="00CC5DE6" w:rsidRPr="005B1CCB" w14:paraId="747D6ABC" w14:textId="77777777" w:rsidTr="0017439F">
        <w:trPr>
          <w:jc w:val="center"/>
        </w:trPr>
        <w:tc>
          <w:tcPr>
            <w:tcW w:w="2254" w:type="dxa"/>
            <w:vMerge/>
          </w:tcPr>
          <w:p w14:paraId="2804B481" w14:textId="77777777" w:rsidR="00CC5DE6" w:rsidRPr="005B1CCB" w:rsidRDefault="00CC5DE6" w:rsidP="0017439F">
            <w:pPr>
              <w:jc w:val="center"/>
              <w:rPr>
                <w:rFonts w:ascii="Palatino Linotype" w:hAnsi="Palatino Linotype"/>
                <w:b/>
                <w:sz w:val="24"/>
                <w:szCs w:val="24"/>
                <w:lang w:bidi="en-US"/>
              </w:rPr>
            </w:pPr>
          </w:p>
        </w:tc>
        <w:tc>
          <w:tcPr>
            <w:tcW w:w="2254" w:type="dxa"/>
          </w:tcPr>
          <w:p w14:paraId="578D7A80"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A03</w:t>
            </w:r>
          </w:p>
        </w:tc>
        <w:tc>
          <w:tcPr>
            <w:tcW w:w="1049" w:type="dxa"/>
          </w:tcPr>
          <w:p w14:paraId="69A15ED5" w14:textId="77777777" w:rsidR="00CC5DE6" w:rsidRPr="005B1CCB" w:rsidRDefault="00CC5DE6" w:rsidP="0017439F">
            <w:pPr>
              <w:rPr>
                <w:rFonts w:ascii="Palatino Linotype" w:hAnsi="Palatino Linotype"/>
                <w:sz w:val="24"/>
                <w:szCs w:val="24"/>
                <w:lang w:bidi="en-US"/>
              </w:rPr>
            </w:pPr>
          </w:p>
        </w:tc>
        <w:tc>
          <w:tcPr>
            <w:tcW w:w="1205" w:type="dxa"/>
          </w:tcPr>
          <w:p w14:paraId="6EC00584" w14:textId="77777777" w:rsidR="00CC5DE6" w:rsidRPr="005B1CCB" w:rsidRDefault="00CC5DE6" w:rsidP="0017439F">
            <w:pPr>
              <w:rPr>
                <w:rFonts w:ascii="Palatino Linotype" w:hAnsi="Palatino Linotype"/>
                <w:sz w:val="24"/>
                <w:szCs w:val="24"/>
                <w:lang w:bidi="en-US"/>
              </w:rPr>
            </w:pPr>
          </w:p>
        </w:tc>
        <w:tc>
          <w:tcPr>
            <w:tcW w:w="1017" w:type="dxa"/>
          </w:tcPr>
          <w:p w14:paraId="57A0879F"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0.271</w:t>
            </w:r>
          </w:p>
        </w:tc>
        <w:tc>
          <w:tcPr>
            <w:tcW w:w="1237" w:type="dxa"/>
          </w:tcPr>
          <w:p w14:paraId="447FC38A"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195.544</w:t>
            </w:r>
          </w:p>
        </w:tc>
      </w:tr>
      <w:tr w:rsidR="00CC5DE6" w:rsidRPr="005B1CCB" w14:paraId="470B1EBD" w14:textId="77777777" w:rsidTr="0017439F">
        <w:trPr>
          <w:jc w:val="center"/>
        </w:trPr>
        <w:tc>
          <w:tcPr>
            <w:tcW w:w="2254" w:type="dxa"/>
            <w:vMerge w:val="restart"/>
          </w:tcPr>
          <w:p w14:paraId="0A7493D4"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428</w:t>
            </w:r>
          </w:p>
        </w:tc>
        <w:tc>
          <w:tcPr>
            <w:tcW w:w="2254" w:type="dxa"/>
          </w:tcPr>
          <w:p w14:paraId="3557E44A"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B02</w:t>
            </w:r>
          </w:p>
        </w:tc>
        <w:tc>
          <w:tcPr>
            <w:tcW w:w="1049" w:type="dxa"/>
          </w:tcPr>
          <w:p w14:paraId="07DDAE2C"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05" w:type="dxa"/>
          </w:tcPr>
          <w:p w14:paraId="5E6F85CE"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81.199</w:t>
            </w:r>
          </w:p>
        </w:tc>
        <w:tc>
          <w:tcPr>
            <w:tcW w:w="1017" w:type="dxa"/>
          </w:tcPr>
          <w:p w14:paraId="776D1609" w14:textId="77777777" w:rsidR="00CC5DE6" w:rsidRPr="005B1CCB" w:rsidRDefault="00CC5DE6" w:rsidP="0017439F">
            <w:pPr>
              <w:rPr>
                <w:rFonts w:ascii="Palatino Linotype" w:hAnsi="Palatino Linotype"/>
                <w:sz w:val="24"/>
                <w:szCs w:val="24"/>
                <w:lang w:bidi="en-US"/>
              </w:rPr>
            </w:pPr>
          </w:p>
        </w:tc>
        <w:tc>
          <w:tcPr>
            <w:tcW w:w="1237" w:type="dxa"/>
          </w:tcPr>
          <w:p w14:paraId="2EF34E2F" w14:textId="77777777" w:rsidR="00CC5DE6" w:rsidRPr="005B1CCB" w:rsidRDefault="00CC5DE6" w:rsidP="0017439F">
            <w:pPr>
              <w:rPr>
                <w:rFonts w:ascii="Palatino Linotype" w:hAnsi="Palatino Linotype"/>
                <w:sz w:val="24"/>
                <w:szCs w:val="24"/>
                <w:lang w:bidi="en-US"/>
              </w:rPr>
            </w:pPr>
          </w:p>
        </w:tc>
      </w:tr>
      <w:tr w:rsidR="00CC5DE6" w:rsidRPr="005B1CCB" w14:paraId="55043D84" w14:textId="77777777" w:rsidTr="0017439F">
        <w:trPr>
          <w:jc w:val="center"/>
        </w:trPr>
        <w:tc>
          <w:tcPr>
            <w:tcW w:w="2254" w:type="dxa"/>
            <w:vMerge/>
          </w:tcPr>
          <w:p w14:paraId="10A7254F" w14:textId="77777777" w:rsidR="00CC5DE6" w:rsidRPr="005B1CCB" w:rsidRDefault="00CC5DE6" w:rsidP="0017439F">
            <w:pPr>
              <w:jc w:val="center"/>
              <w:rPr>
                <w:rFonts w:ascii="Palatino Linotype" w:hAnsi="Palatino Linotype"/>
                <w:b/>
                <w:sz w:val="24"/>
                <w:szCs w:val="24"/>
                <w:lang w:bidi="en-US"/>
              </w:rPr>
            </w:pPr>
          </w:p>
        </w:tc>
        <w:tc>
          <w:tcPr>
            <w:tcW w:w="2254" w:type="dxa"/>
          </w:tcPr>
          <w:p w14:paraId="774F09B5"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B03</w:t>
            </w:r>
          </w:p>
        </w:tc>
        <w:tc>
          <w:tcPr>
            <w:tcW w:w="1049" w:type="dxa"/>
          </w:tcPr>
          <w:p w14:paraId="2E3465EF" w14:textId="77777777" w:rsidR="00CC5DE6" w:rsidRPr="005B1CCB" w:rsidRDefault="00CC5DE6" w:rsidP="0017439F">
            <w:pPr>
              <w:rPr>
                <w:rFonts w:ascii="Palatino Linotype" w:hAnsi="Palatino Linotype"/>
                <w:sz w:val="24"/>
                <w:szCs w:val="24"/>
                <w:lang w:bidi="en-US"/>
              </w:rPr>
            </w:pPr>
          </w:p>
        </w:tc>
        <w:tc>
          <w:tcPr>
            <w:tcW w:w="1205" w:type="dxa"/>
          </w:tcPr>
          <w:p w14:paraId="2B373AFF" w14:textId="77777777" w:rsidR="00CC5DE6" w:rsidRPr="005B1CCB" w:rsidRDefault="00CC5DE6" w:rsidP="0017439F">
            <w:pPr>
              <w:rPr>
                <w:rFonts w:ascii="Palatino Linotype" w:hAnsi="Palatino Linotype"/>
                <w:sz w:val="24"/>
                <w:szCs w:val="24"/>
                <w:lang w:bidi="en-US"/>
              </w:rPr>
            </w:pPr>
          </w:p>
        </w:tc>
        <w:tc>
          <w:tcPr>
            <w:tcW w:w="1017" w:type="dxa"/>
          </w:tcPr>
          <w:p w14:paraId="00DF12D2"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37" w:type="dxa"/>
          </w:tcPr>
          <w:p w14:paraId="08E1AF06"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78.67</w:t>
            </w:r>
          </w:p>
        </w:tc>
      </w:tr>
      <w:tr w:rsidR="00CC5DE6" w:rsidRPr="005B1CCB" w14:paraId="42FB040D" w14:textId="77777777" w:rsidTr="0017439F">
        <w:trPr>
          <w:jc w:val="center"/>
        </w:trPr>
        <w:tc>
          <w:tcPr>
            <w:tcW w:w="2254" w:type="dxa"/>
            <w:vMerge w:val="restart"/>
          </w:tcPr>
          <w:p w14:paraId="1EB8C91C"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437</w:t>
            </w:r>
          </w:p>
        </w:tc>
        <w:tc>
          <w:tcPr>
            <w:tcW w:w="2254" w:type="dxa"/>
          </w:tcPr>
          <w:p w14:paraId="3207F25E"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C02</w:t>
            </w:r>
          </w:p>
        </w:tc>
        <w:tc>
          <w:tcPr>
            <w:tcW w:w="1049" w:type="dxa"/>
          </w:tcPr>
          <w:p w14:paraId="75E9C6A7"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05" w:type="dxa"/>
          </w:tcPr>
          <w:p w14:paraId="2476F1F3"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128.529</w:t>
            </w:r>
          </w:p>
        </w:tc>
        <w:tc>
          <w:tcPr>
            <w:tcW w:w="1017" w:type="dxa"/>
          </w:tcPr>
          <w:p w14:paraId="022CC5BB" w14:textId="77777777" w:rsidR="00CC5DE6" w:rsidRPr="005B1CCB" w:rsidRDefault="00CC5DE6" w:rsidP="0017439F">
            <w:pPr>
              <w:rPr>
                <w:rFonts w:ascii="Palatino Linotype" w:hAnsi="Palatino Linotype"/>
                <w:sz w:val="24"/>
                <w:szCs w:val="24"/>
                <w:lang w:bidi="en-US"/>
              </w:rPr>
            </w:pPr>
          </w:p>
        </w:tc>
        <w:tc>
          <w:tcPr>
            <w:tcW w:w="1237" w:type="dxa"/>
          </w:tcPr>
          <w:p w14:paraId="0AAA513B" w14:textId="77777777" w:rsidR="00CC5DE6" w:rsidRPr="005B1CCB" w:rsidRDefault="00CC5DE6" w:rsidP="0017439F">
            <w:pPr>
              <w:rPr>
                <w:rFonts w:ascii="Palatino Linotype" w:hAnsi="Palatino Linotype"/>
                <w:sz w:val="24"/>
                <w:szCs w:val="24"/>
                <w:lang w:bidi="en-US"/>
              </w:rPr>
            </w:pPr>
          </w:p>
        </w:tc>
      </w:tr>
      <w:tr w:rsidR="00CC5DE6" w:rsidRPr="005B1CCB" w14:paraId="5FCC565F" w14:textId="77777777" w:rsidTr="0017439F">
        <w:trPr>
          <w:jc w:val="center"/>
        </w:trPr>
        <w:tc>
          <w:tcPr>
            <w:tcW w:w="2254" w:type="dxa"/>
            <w:vMerge/>
          </w:tcPr>
          <w:p w14:paraId="32D7395C" w14:textId="77777777" w:rsidR="00CC5DE6" w:rsidRPr="005B1CCB" w:rsidRDefault="00CC5DE6" w:rsidP="0017439F">
            <w:pPr>
              <w:jc w:val="center"/>
              <w:rPr>
                <w:rFonts w:ascii="Palatino Linotype" w:hAnsi="Palatino Linotype"/>
                <w:b/>
                <w:sz w:val="24"/>
                <w:szCs w:val="24"/>
                <w:lang w:bidi="en-US"/>
              </w:rPr>
            </w:pPr>
          </w:p>
        </w:tc>
        <w:tc>
          <w:tcPr>
            <w:tcW w:w="2254" w:type="dxa"/>
          </w:tcPr>
          <w:p w14:paraId="05C05664"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C03</w:t>
            </w:r>
          </w:p>
        </w:tc>
        <w:tc>
          <w:tcPr>
            <w:tcW w:w="1049" w:type="dxa"/>
          </w:tcPr>
          <w:p w14:paraId="3EBEF73F" w14:textId="77777777" w:rsidR="00CC5DE6" w:rsidRPr="005B1CCB" w:rsidRDefault="00CC5DE6" w:rsidP="0017439F">
            <w:pPr>
              <w:rPr>
                <w:rFonts w:ascii="Palatino Linotype" w:hAnsi="Palatino Linotype"/>
                <w:sz w:val="24"/>
                <w:szCs w:val="24"/>
                <w:lang w:bidi="en-US"/>
              </w:rPr>
            </w:pPr>
          </w:p>
        </w:tc>
        <w:tc>
          <w:tcPr>
            <w:tcW w:w="1205" w:type="dxa"/>
          </w:tcPr>
          <w:p w14:paraId="3F1FF937" w14:textId="77777777" w:rsidR="00CC5DE6" w:rsidRPr="005B1CCB" w:rsidRDefault="00CC5DE6" w:rsidP="0017439F">
            <w:pPr>
              <w:rPr>
                <w:rFonts w:ascii="Palatino Linotype" w:hAnsi="Palatino Linotype"/>
                <w:sz w:val="24"/>
                <w:szCs w:val="24"/>
                <w:lang w:bidi="en-US"/>
              </w:rPr>
            </w:pPr>
          </w:p>
        </w:tc>
        <w:tc>
          <w:tcPr>
            <w:tcW w:w="1017" w:type="dxa"/>
          </w:tcPr>
          <w:p w14:paraId="48A877D7"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0.292</w:t>
            </w:r>
          </w:p>
        </w:tc>
        <w:tc>
          <w:tcPr>
            <w:tcW w:w="1237" w:type="dxa"/>
          </w:tcPr>
          <w:p w14:paraId="020A4A2D"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135.374</w:t>
            </w:r>
          </w:p>
        </w:tc>
      </w:tr>
      <w:tr w:rsidR="00CC5DE6" w:rsidRPr="005B1CCB" w14:paraId="42C85E61" w14:textId="77777777" w:rsidTr="0017439F">
        <w:trPr>
          <w:jc w:val="center"/>
        </w:trPr>
        <w:tc>
          <w:tcPr>
            <w:tcW w:w="2254" w:type="dxa"/>
            <w:vMerge w:val="restart"/>
          </w:tcPr>
          <w:p w14:paraId="3D1A52EE"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438</w:t>
            </w:r>
          </w:p>
        </w:tc>
        <w:tc>
          <w:tcPr>
            <w:tcW w:w="2254" w:type="dxa"/>
          </w:tcPr>
          <w:p w14:paraId="35EC4BD4"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D02</w:t>
            </w:r>
          </w:p>
        </w:tc>
        <w:tc>
          <w:tcPr>
            <w:tcW w:w="1049" w:type="dxa"/>
          </w:tcPr>
          <w:p w14:paraId="4525D5EA"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05" w:type="dxa"/>
          </w:tcPr>
          <w:p w14:paraId="578C39F0"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74.396</w:t>
            </w:r>
          </w:p>
        </w:tc>
        <w:tc>
          <w:tcPr>
            <w:tcW w:w="1017" w:type="dxa"/>
          </w:tcPr>
          <w:p w14:paraId="3997946A" w14:textId="77777777" w:rsidR="00CC5DE6" w:rsidRPr="005B1CCB" w:rsidRDefault="00CC5DE6" w:rsidP="0017439F">
            <w:pPr>
              <w:rPr>
                <w:rFonts w:ascii="Palatino Linotype" w:hAnsi="Palatino Linotype"/>
                <w:sz w:val="24"/>
                <w:szCs w:val="24"/>
                <w:lang w:bidi="en-US"/>
              </w:rPr>
            </w:pPr>
          </w:p>
        </w:tc>
        <w:tc>
          <w:tcPr>
            <w:tcW w:w="1237" w:type="dxa"/>
          </w:tcPr>
          <w:p w14:paraId="07257363" w14:textId="77777777" w:rsidR="00CC5DE6" w:rsidRPr="005B1CCB" w:rsidRDefault="00CC5DE6" w:rsidP="0017439F">
            <w:pPr>
              <w:rPr>
                <w:rFonts w:ascii="Palatino Linotype" w:hAnsi="Palatino Linotype"/>
                <w:sz w:val="24"/>
                <w:szCs w:val="24"/>
                <w:lang w:bidi="en-US"/>
              </w:rPr>
            </w:pPr>
          </w:p>
        </w:tc>
      </w:tr>
      <w:tr w:rsidR="00CC5DE6" w:rsidRPr="005B1CCB" w14:paraId="1F4F3787" w14:textId="77777777" w:rsidTr="0017439F">
        <w:trPr>
          <w:jc w:val="center"/>
        </w:trPr>
        <w:tc>
          <w:tcPr>
            <w:tcW w:w="2254" w:type="dxa"/>
            <w:vMerge/>
          </w:tcPr>
          <w:p w14:paraId="1BD978AC" w14:textId="77777777" w:rsidR="00CC5DE6" w:rsidRPr="005B1CCB" w:rsidRDefault="00CC5DE6" w:rsidP="0017439F">
            <w:pPr>
              <w:jc w:val="center"/>
              <w:rPr>
                <w:rFonts w:ascii="Palatino Linotype" w:hAnsi="Palatino Linotype"/>
                <w:b/>
                <w:sz w:val="24"/>
                <w:szCs w:val="24"/>
                <w:lang w:bidi="en-US"/>
              </w:rPr>
            </w:pPr>
          </w:p>
        </w:tc>
        <w:tc>
          <w:tcPr>
            <w:tcW w:w="2254" w:type="dxa"/>
          </w:tcPr>
          <w:p w14:paraId="00F71244"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D03</w:t>
            </w:r>
          </w:p>
        </w:tc>
        <w:tc>
          <w:tcPr>
            <w:tcW w:w="1049" w:type="dxa"/>
          </w:tcPr>
          <w:p w14:paraId="21845B86" w14:textId="77777777" w:rsidR="00CC5DE6" w:rsidRPr="005B1CCB" w:rsidRDefault="00CC5DE6" w:rsidP="0017439F">
            <w:pPr>
              <w:rPr>
                <w:rFonts w:ascii="Palatino Linotype" w:hAnsi="Palatino Linotype"/>
                <w:sz w:val="24"/>
                <w:szCs w:val="24"/>
                <w:lang w:bidi="en-US"/>
              </w:rPr>
            </w:pPr>
          </w:p>
        </w:tc>
        <w:tc>
          <w:tcPr>
            <w:tcW w:w="1205" w:type="dxa"/>
          </w:tcPr>
          <w:p w14:paraId="6DB7EC95" w14:textId="77777777" w:rsidR="00CC5DE6" w:rsidRPr="005B1CCB" w:rsidRDefault="00CC5DE6" w:rsidP="0017439F">
            <w:pPr>
              <w:rPr>
                <w:rFonts w:ascii="Palatino Linotype" w:hAnsi="Palatino Linotype"/>
                <w:sz w:val="24"/>
                <w:szCs w:val="24"/>
                <w:lang w:bidi="en-US"/>
              </w:rPr>
            </w:pPr>
          </w:p>
        </w:tc>
        <w:tc>
          <w:tcPr>
            <w:tcW w:w="1017" w:type="dxa"/>
          </w:tcPr>
          <w:p w14:paraId="43FC11B8"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37" w:type="dxa"/>
          </w:tcPr>
          <w:p w14:paraId="38408C32"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77.417</w:t>
            </w:r>
          </w:p>
        </w:tc>
      </w:tr>
      <w:tr w:rsidR="00CC5DE6" w:rsidRPr="005B1CCB" w14:paraId="5128D013" w14:textId="77777777" w:rsidTr="0017439F">
        <w:trPr>
          <w:jc w:val="center"/>
        </w:trPr>
        <w:tc>
          <w:tcPr>
            <w:tcW w:w="2254" w:type="dxa"/>
            <w:vMerge w:val="restart"/>
          </w:tcPr>
          <w:p w14:paraId="3D11F5F5"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440</w:t>
            </w:r>
          </w:p>
        </w:tc>
        <w:tc>
          <w:tcPr>
            <w:tcW w:w="2254" w:type="dxa"/>
          </w:tcPr>
          <w:p w14:paraId="75158F84"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E02</w:t>
            </w:r>
          </w:p>
        </w:tc>
        <w:tc>
          <w:tcPr>
            <w:tcW w:w="1049" w:type="dxa"/>
          </w:tcPr>
          <w:p w14:paraId="572FC126"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36.365</w:t>
            </w:r>
          </w:p>
        </w:tc>
        <w:tc>
          <w:tcPr>
            <w:tcW w:w="1205" w:type="dxa"/>
          </w:tcPr>
          <w:p w14:paraId="5E11B4EE"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106.618</w:t>
            </w:r>
          </w:p>
        </w:tc>
        <w:tc>
          <w:tcPr>
            <w:tcW w:w="1017" w:type="dxa"/>
          </w:tcPr>
          <w:p w14:paraId="6856FE67" w14:textId="77777777" w:rsidR="00CC5DE6" w:rsidRPr="005B1CCB" w:rsidRDefault="00CC5DE6" w:rsidP="0017439F">
            <w:pPr>
              <w:rPr>
                <w:rFonts w:ascii="Palatino Linotype" w:hAnsi="Palatino Linotype"/>
                <w:sz w:val="24"/>
                <w:szCs w:val="24"/>
                <w:lang w:bidi="en-US"/>
              </w:rPr>
            </w:pPr>
          </w:p>
        </w:tc>
        <w:tc>
          <w:tcPr>
            <w:tcW w:w="1237" w:type="dxa"/>
          </w:tcPr>
          <w:p w14:paraId="6C6A9D7E" w14:textId="77777777" w:rsidR="00CC5DE6" w:rsidRPr="005B1CCB" w:rsidRDefault="00CC5DE6" w:rsidP="0017439F">
            <w:pPr>
              <w:rPr>
                <w:rFonts w:ascii="Palatino Linotype" w:hAnsi="Palatino Linotype"/>
                <w:sz w:val="24"/>
                <w:szCs w:val="24"/>
                <w:lang w:bidi="en-US"/>
              </w:rPr>
            </w:pPr>
          </w:p>
        </w:tc>
      </w:tr>
      <w:tr w:rsidR="00CC5DE6" w:rsidRPr="005B1CCB" w14:paraId="66D31A84" w14:textId="77777777" w:rsidTr="0017439F">
        <w:trPr>
          <w:jc w:val="center"/>
        </w:trPr>
        <w:tc>
          <w:tcPr>
            <w:tcW w:w="2254" w:type="dxa"/>
            <w:vMerge/>
          </w:tcPr>
          <w:p w14:paraId="25C358EC" w14:textId="77777777" w:rsidR="00CC5DE6" w:rsidRPr="005B1CCB" w:rsidRDefault="00CC5DE6" w:rsidP="0017439F">
            <w:pPr>
              <w:jc w:val="center"/>
              <w:rPr>
                <w:rFonts w:ascii="Palatino Linotype" w:hAnsi="Palatino Linotype"/>
                <w:b/>
                <w:sz w:val="24"/>
                <w:szCs w:val="24"/>
                <w:lang w:bidi="en-US"/>
              </w:rPr>
            </w:pPr>
          </w:p>
        </w:tc>
        <w:tc>
          <w:tcPr>
            <w:tcW w:w="2254" w:type="dxa"/>
          </w:tcPr>
          <w:p w14:paraId="52371E6A"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E03</w:t>
            </w:r>
          </w:p>
        </w:tc>
        <w:tc>
          <w:tcPr>
            <w:tcW w:w="1049" w:type="dxa"/>
          </w:tcPr>
          <w:p w14:paraId="2796A9B1" w14:textId="77777777" w:rsidR="00CC5DE6" w:rsidRPr="005B1CCB" w:rsidRDefault="00CC5DE6" w:rsidP="0017439F">
            <w:pPr>
              <w:rPr>
                <w:rFonts w:ascii="Palatino Linotype" w:hAnsi="Palatino Linotype"/>
                <w:sz w:val="24"/>
                <w:szCs w:val="24"/>
                <w:lang w:bidi="en-US"/>
              </w:rPr>
            </w:pPr>
          </w:p>
        </w:tc>
        <w:tc>
          <w:tcPr>
            <w:tcW w:w="1205" w:type="dxa"/>
          </w:tcPr>
          <w:p w14:paraId="59F8B554" w14:textId="77777777" w:rsidR="00CC5DE6" w:rsidRPr="005B1CCB" w:rsidRDefault="00CC5DE6" w:rsidP="0017439F">
            <w:pPr>
              <w:rPr>
                <w:rFonts w:ascii="Palatino Linotype" w:hAnsi="Palatino Linotype"/>
                <w:sz w:val="24"/>
                <w:szCs w:val="24"/>
                <w:lang w:bidi="en-US"/>
              </w:rPr>
            </w:pPr>
          </w:p>
        </w:tc>
        <w:tc>
          <w:tcPr>
            <w:tcW w:w="1017" w:type="dxa"/>
          </w:tcPr>
          <w:p w14:paraId="3551430A"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37" w:type="dxa"/>
          </w:tcPr>
          <w:p w14:paraId="0985A337"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122.538</w:t>
            </w:r>
          </w:p>
        </w:tc>
      </w:tr>
      <w:tr w:rsidR="00CC5DE6" w:rsidRPr="005B1CCB" w14:paraId="60DAF64E" w14:textId="77777777" w:rsidTr="0017439F">
        <w:trPr>
          <w:jc w:val="center"/>
        </w:trPr>
        <w:tc>
          <w:tcPr>
            <w:tcW w:w="2254" w:type="dxa"/>
            <w:vMerge w:val="restart"/>
          </w:tcPr>
          <w:p w14:paraId="4BAD3A3B"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459</w:t>
            </w:r>
          </w:p>
        </w:tc>
        <w:tc>
          <w:tcPr>
            <w:tcW w:w="2254" w:type="dxa"/>
          </w:tcPr>
          <w:p w14:paraId="4F9FC213"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F02</w:t>
            </w:r>
          </w:p>
        </w:tc>
        <w:tc>
          <w:tcPr>
            <w:tcW w:w="1049" w:type="dxa"/>
          </w:tcPr>
          <w:p w14:paraId="3EE5282C"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05" w:type="dxa"/>
          </w:tcPr>
          <w:p w14:paraId="7842EE95"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84.868</w:t>
            </w:r>
          </w:p>
        </w:tc>
        <w:tc>
          <w:tcPr>
            <w:tcW w:w="1017" w:type="dxa"/>
          </w:tcPr>
          <w:p w14:paraId="3AC7B8B9" w14:textId="77777777" w:rsidR="00CC5DE6" w:rsidRPr="005B1CCB" w:rsidRDefault="00CC5DE6" w:rsidP="0017439F">
            <w:pPr>
              <w:rPr>
                <w:rFonts w:ascii="Palatino Linotype" w:hAnsi="Palatino Linotype"/>
                <w:sz w:val="24"/>
                <w:szCs w:val="24"/>
                <w:lang w:bidi="en-US"/>
              </w:rPr>
            </w:pPr>
          </w:p>
        </w:tc>
        <w:tc>
          <w:tcPr>
            <w:tcW w:w="1237" w:type="dxa"/>
          </w:tcPr>
          <w:p w14:paraId="1B066EF2" w14:textId="77777777" w:rsidR="00CC5DE6" w:rsidRPr="005B1CCB" w:rsidRDefault="00CC5DE6" w:rsidP="0017439F">
            <w:pPr>
              <w:rPr>
                <w:rFonts w:ascii="Palatino Linotype" w:hAnsi="Palatino Linotype"/>
                <w:sz w:val="24"/>
                <w:szCs w:val="24"/>
                <w:lang w:bidi="en-US"/>
              </w:rPr>
            </w:pPr>
          </w:p>
        </w:tc>
      </w:tr>
      <w:tr w:rsidR="00CC5DE6" w:rsidRPr="005B1CCB" w14:paraId="7570E475" w14:textId="77777777" w:rsidTr="0017439F">
        <w:trPr>
          <w:jc w:val="center"/>
        </w:trPr>
        <w:tc>
          <w:tcPr>
            <w:tcW w:w="2254" w:type="dxa"/>
            <w:vMerge/>
          </w:tcPr>
          <w:p w14:paraId="4B27F79C" w14:textId="77777777" w:rsidR="00CC5DE6" w:rsidRPr="005B1CCB" w:rsidRDefault="00CC5DE6" w:rsidP="0017439F">
            <w:pPr>
              <w:jc w:val="center"/>
              <w:rPr>
                <w:rFonts w:ascii="Palatino Linotype" w:hAnsi="Palatino Linotype"/>
                <w:b/>
                <w:sz w:val="24"/>
                <w:szCs w:val="24"/>
                <w:lang w:bidi="en-US"/>
              </w:rPr>
            </w:pPr>
          </w:p>
        </w:tc>
        <w:tc>
          <w:tcPr>
            <w:tcW w:w="2254" w:type="dxa"/>
          </w:tcPr>
          <w:p w14:paraId="5752FD61"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F03</w:t>
            </w:r>
          </w:p>
        </w:tc>
        <w:tc>
          <w:tcPr>
            <w:tcW w:w="1049" w:type="dxa"/>
          </w:tcPr>
          <w:p w14:paraId="25CF46AF" w14:textId="77777777" w:rsidR="00CC5DE6" w:rsidRPr="005B1CCB" w:rsidRDefault="00CC5DE6" w:rsidP="0017439F">
            <w:pPr>
              <w:rPr>
                <w:rFonts w:ascii="Palatino Linotype" w:hAnsi="Palatino Linotype"/>
                <w:sz w:val="24"/>
                <w:szCs w:val="24"/>
                <w:lang w:bidi="en-US"/>
              </w:rPr>
            </w:pPr>
          </w:p>
        </w:tc>
        <w:tc>
          <w:tcPr>
            <w:tcW w:w="1205" w:type="dxa"/>
          </w:tcPr>
          <w:p w14:paraId="1BD77640" w14:textId="77777777" w:rsidR="00CC5DE6" w:rsidRPr="005B1CCB" w:rsidRDefault="00CC5DE6" w:rsidP="0017439F">
            <w:pPr>
              <w:rPr>
                <w:rFonts w:ascii="Palatino Linotype" w:hAnsi="Palatino Linotype"/>
                <w:sz w:val="24"/>
                <w:szCs w:val="24"/>
                <w:lang w:bidi="en-US"/>
              </w:rPr>
            </w:pPr>
          </w:p>
        </w:tc>
        <w:tc>
          <w:tcPr>
            <w:tcW w:w="1017" w:type="dxa"/>
          </w:tcPr>
          <w:p w14:paraId="33E04473"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37" w:type="dxa"/>
          </w:tcPr>
          <w:p w14:paraId="3DAEC964"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90.424</w:t>
            </w:r>
          </w:p>
        </w:tc>
      </w:tr>
      <w:tr w:rsidR="00CC5DE6" w:rsidRPr="005B1CCB" w14:paraId="34B8B549" w14:textId="77777777" w:rsidTr="0017439F">
        <w:trPr>
          <w:jc w:val="center"/>
        </w:trPr>
        <w:tc>
          <w:tcPr>
            <w:tcW w:w="2254" w:type="dxa"/>
            <w:vMerge w:val="restart"/>
          </w:tcPr>
          <w:p w14:paraId="06F94243"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466</w:t>
            </w:r>
          </w:p>
        </w:tc>
        <w:tc>
          <w:tcPr>
            <w:tcW w:w="2254" w:type="dxa"/>
          </w:tcPr>
          <w:p w14:paraId="236FAB3B"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G02</w:t>
            </w:r>
          </w:p>
        </w:tc>
        <w:tc>
          <w:tcPr>
            <w:tcW w:w="1049" w:type="dxa"/>
          </w:tcPr>
          <w:p w14:paraId="0E08B454"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05" w:type="dxa"/>
          </w:tcPr>
          <w:p w14:paraId="7EFAAF56"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97.287</w:t>
            </w:r>
          </w:p>
        </w:tc>
        <w:tc>
          <w:tcPr>
            <w:tcW w:w="1017" w:type="dxa"/>
          </w:tcPr>
          <w:p w14:paraId="7225789D" w14:textId="77777777" w:rsidR="00CC5DE6" w:rsidRPr="005B1CCB" w:rsidRDefault="00CC5DE6" w:rsidP="0017439F">
            <w:pPr>
              <w:rPr>
                <w:rFonts w:ascii="Palatino Linotype" w:hAnsi="Palatino Linotype"/>
                <w:sz w:val="24"/>
                <w:szCs w:val="24"/>
                <w:lang w:bidi="en-US"/>
              </w:rPr>
            </w:pPr>
          </w:p>
        </w:tc>
        <w:tc>
          <w:tcPr>
            <w:tcW w:w="1237" w:type="dxa"/>
          </w:tcPr>
          <w:p w14:paraId="22912156" w14:textId="77777777" w:rsidR="00CC5DE6" w:rsidRPr="005B1CCB" w:rsidRDefault="00CC5DE6" w:rsidP="0017439F">
            <w:pPr>
              <w:rPr>
                <w:rFonts w:ascii="Palatino Linotype" w:hAnsi="Palatino Linotype"/>
                <w:sz w:val="24"/>
                <w:szCs w:val="24"/>
                <w:lang w:bidi="en-US"/>
              </w:rPr>
            </w:pPr>
          </w:p>
        </w:tc>
      </w:tr>
      <w:tr w:rsidR="00CC5DE6" w:rsidRPr="005B1CCB" w14:paraId="5218B10D" w14:textId="77777777" w:rsidTr="0017439F">
        <w:trPr>
          <w:jc w:val="center"/>
        </w:trPr>
        <w:tc>
          <w:tcPr>
            <w:tcW w:w="2254" w:type="dxa"/>
            <w:vMerge/>
          </w:tcPr>
          <w:p w14:paraId="2D0F9194" w14:textId="77777777" w:rsidR="00CC5DE6" w:rsidRPr="005B1CCB" w:rsidRDefault="00CC5DE6" w:rsidP="0017439F">
            <w:pPr>
              <w:jc w:val="center"/>
              <w:rPr>
                <w:rFonts w:ascii="Palatino Linotype" w:hAnsi="Palatino Linotype"/>
                <w:b/>
                <w:sz w:val="24"/>
                <w:szCs w:val="24"/>
                <w:lang w:bidi="en-US"/>
              </w:rPr>
            </w:pPr>
          </w:p>
        </w:tc>
        <w:tc>
          <w:tcPr>
            <w:tcW w:w="2254" w:type="dxa"/>
          </w:tcPr>
          <w:p w14:paraId="4950AF5C"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G03</w:t>
            </w:r>
          </w:p>
        </w:tc>
        <w:tc>
          <w:tcPr>
            <w:tcW w:w="1049" w:type="dxa"/>
          </w:tcPr>
          <w:p w14:paraId="37643909" w14:textId="77777777" w:rsidR="00CC5DE6" w:rsidRPr="005B1CCB" w:rsidRDefault="00CC5DE6" w:rsidP="0017439F">
            <w:pPr>
              <w:rPr>
                <w:rFonts w:ascii="Palatino Linotype" w:hAnsi="Palatino Linotype"/>
                <w:sz w:val="24"/>
                <w:szCs w:val="24"/>
                <w:lang w:bidi="en-US"/>
              </w:rPr>
            </w:pPr>
          </w:p>
        </w:tc>
        <w:tc>
          <w:tcPr>
            <w:tcW w:w="1205" w:type="dxa"/>
          </w:tcPr>
          <w:p w14:paraId="1AECD53B" w14:textId="77777777" w:rsidR="00CC5DE6" w:rsidRPr="005B1CCB" w:rsidRDefault="00CC5DE6" w:rsidP="0017439F">
            <w:pPr>
              <w:rPr>
                <w:rFonts w:ascii="Palatino Linotype" w:hAnsi="Palatino Linotype"/>
                <w:sz w:val="24"/>
                <w:szCs w:val="24"/>
                <w:lang w:bidi="en-US"/>
              </w:rPr>
            </w:pPr>
          </w:p>
        </w:tc>
        <w:tc>
          <w:tcPr>
            <w:tcW w:w="1017" w:type="dxa"/>
          </w:tcPr>
          <w:p w14:paraId="0ABCEC70"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0.815</w:t>
            </w:r>
          </w:p>
        </w:tc>
        <w:tc>
          <w:tcPr>
            <w:tcW w:w="1237" w:type="dxa"/>
          </w:tcPr>
          <w:p w14:paraId="0CC73A6A"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107.541</w:t>
            </w:r>
          </w:p>
        </w:tc>
      </w:tr>
      <w:tr w:rsidR="00CC5DE6" w:rsidRPr="005B1CCB" w14:paraId="063574C7" w14:textId="77777777" w:rsidTr="0017439F">
        <w:trPr>
          <w:jc w:val="center"/>
        </w:trPr>
        <w:tc>
          <w:tcPr>
            <w:tcW w:w="2254" w:type="dxa"/>
            <w:vMerge w:val="restart"/>
          </w:tcPr>
          <w:p w14:paraId="184D1093"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481</w:t>
            </w:r>
          </w:p>
        </w:tc>
        <w:tc>
          <w:tcPr>
            <w:tcW w:w="2254" w:type="dxa"/>
          </w:tcPr>
          <w:p w14:paraId="5F818A80"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H02</w:t>
            </w:r>
          </w:p>
        </w:tc>
        <w:tc>
          <w:tcPr>
            <w:tcW w:w="1049" w:type="dxa"/>
          </w:tcPr>
          <w:p w14:paraId="07AB4C0F"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15.934</w:t>
            </w:r>
          </w:p>
        </w:tc>
        <w:tc>
          <w:tcPr>
            <w:tcW w:w="1205" w:type="dxa"/>
          </w:tcPr>
          <w:p w14:paraId="5191A314"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240.149</w:t>
            </w:r>
          </w:p>
        </w:tc>
        <w:tc>
          <w:tcPr>
            <w:tcW w:w="1017" w:type="dxa"/>
          </w:tcPr>
          <w:p w14:paraId="5B2A28FB" w14:textId="77777777" w:rsidR="00CC5DE6" w:rsidRPr="005B1CCB" w:rsidRDefault="00CC5DE6" w:rsidP="0017439F">
            <w:pPr>
              <w:rPr>
                <w:rFonts w:ascii="Palatino Linotype" w:hAnsi="Palatino Linotype"/>
                <w:sz w:val="24"/>
                <w:szCs w:val="24"/>
                <w:lang w:bidi="en-US"/>
              </w:rPr>
            </w:pPr>
          </w:p>
        </w:tc>
        <w:tc>
          <w:tcPr>
            <w:tcW w:w="1237" w:type="dxa"/>
          </w:tcPr>
          <w:p w14:paraId="7B73028A" w14:textId="77777777" w:rsidR="00CC5DE6" w:rsidRPr="005B1CCB" w:rsidRDefault="00CC5DE6" w:rsidP="0017439F">
            <w:pPr>
              <w:rPr>
                <w:rFonts w:ascii="Palatino Linotype" w:hAnsi="Palatino Linotype"/>
                <w:sz w:val="24"/>
                <w:szCs w:val="24"/>
                <w:lang w:bidi="en-US"/>
              </w:rPr>
            </w:pPr>
          </w:p>
        </w:tc>
      </w:tr>
      <w:tr w:rsidR="00CC5DE6" w:rsidRPr="005B1CCB" w14:paraId="6FC327D9" w14:textId="77777777" w:rsidTr="0017439F">
        <w:trPr>
          <w:jc w:val="center"/>
        </w:trPr>
        <w:tc>
          <w:tcPr>
            <w:tcW w:w="2254" w:type="dxa"/>
            <w:vMerge/>
          </w:tcPr>
          <w:p w14:paraId="4BCDA785" w14:textId="77777777" w:rsidR="00CC5DE6" w:rsidRPr="005B1CCB" w:rsidRDefault="00CC5DE6" w:rsidP="0017439F">
            <w:pPr>
              <w:jc w:val="center"/>
              <w:rPr>
                <w:rFonts w:ascii="Palatino Linotype" w:hAnsi="Palatino Linotype"/>
                <w:b/>
                <w:sz w:val="24"/>
                <w:szCs w:val="24"/>
                <w:lang w:bidi="en-US"/>
              </w:rPr>
            </w:pPr>
          </w:p>
        </w:tc>
        <w:tc>
          <w:tcPr>
            <w:tcW w:w="2254" w:type="dxa"/>
          </w:tcPr>
          <w:p w14:paraId="2BA0801F"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H03</w:t>
            </w:r>
          </w:p>
        </w:tc>
        <w:tc>
          <w:tcPr>
            <w:tcW w:w="1049" w:type="dxa"/>
          </w:tcPr>
          <w:p w14:paraId="475FE0D4" w14:textId="77777777" w:rsidR="00CC5DE6" w:rsidRPr="005B1CCB" w:rsidRDefault="00CC5DE6" w:rsidP="0017439F">
            <w:pPr>
              <w:rPr>
                <w:rFonts w:ascii="Palatino Linotype" w:hAnsi="Palatino Linotype"/>
                <w:sz w:val="24"/>
                <w:szCs w:val="24"/>
                <w:lang w:bidi="en-US"/>
              </w:rPr>
            </w:pPr>
          </w:p>
        </w:tc>
        <w:tc>
          <w:tcPr>
            <w:tcW w:w="1205" w:type="dxa"/>
          </w:tcPr>
          <w:p w14:paraId="44410E5D" w14:textId="77777777" w:rsidR="00CC5DE6" w:rsidRPr="005B1CCB" w:rsidRDefault="00CC5DE6" w:rsidP="0017439F">
            <w:pPr>
              <w:rPr>
                <w:rFonts w:ascii="Palatino Linotype" w:hAnsi="Palatino Linotype"/>
                <w:sz w:val="24"/>
                <w:szCs w:val="24"/>
                <w:lang w:bidi="en-US"/>
              </w:rPr>
            </w:pPr>
          </w:p>
        </w:tc>
        <w:tc>
          <w:tcPr>
            <w:tcW w:w="1017" w:type="dxa"/>
          </w:tcPr>
          <w:p w14:paraId="0ED0EE77"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0.342</w:t>
            </w:r>
          </w:p>
        </w:tc>
        <w:tc>
          <w:tcPr>
            <w:tcW w:w="1237" w:type="dxa"/>
          </w:tcPr>
          <w:p w14:paraId="0058F532"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262.298</w:t>
            </w:r>
          </w:p>
        </w:tc>
      </w:tr>
      <w:tr w:rsidR="00CC5DE6" w:rsidRPr="005B1CCB" w14:paraId="6B74DA0B" w14:textId="77777777" w:rsidTr="0017439F">
        <w:trPr>
          <w:jc w:val="center"/>
        </w:trPr>
        <w:tc>
          <w:tcPr>
            <w:tcW w:w="2254" w:type="dxa"/>
            <w:vMerge w:val="restart"/>
          </w:tcPr>
          <w:p w14:paraId="2CDCA1E0" w14:textId="77777777" w:rsidR="00CC5DE6" w:rsidRPr="005B1CCB" w:rsidRDefault="00CC5DE6" w:rsidP="0017439F">
            <w:pPr>
              <w:jc w:val="center"/>
              <w:rPr>
                <w:rFonts w:ascii="Palatino Linotype" w:hAnsi="Palatino Linotype"/>
                <w:b/>
                <w:sz w:val="24"/>
                <w:szCs w:val="24"/>
                <w:lang w:bidi="en-US"/>
              </w:rPr>
            </w:pPr>
            <w:r w:rsidRPr="005B1CCB">
              <w:rPr>
                <w:rFonts w:ascii="Palatino Linotype" w:hAnsi="Palatino Linotype"/>
                <w:b/>
                <w:sz w:val="24"/>
                <w:szCs w:val="24"/>
                <w:lang w:bidi="en-US"/>
              </w:rPr>
              <w:t>No template control</w:t>
            </w:r>
          </w:p>
        </w:tc>
        <w:tc>
          <w:tcPr>
            <w:tcW w:w="2254" w:type="dxa"/>
          </w:tcPr>
          <w:p w14:paraId="273AE1C6"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A04-D04</w:t>
            </w:r>
          </w:p>
        </w:tc>
        <w:tc>
          <w:tcPr>
            <w:tcW w:w="1049" w:type="dxa"/>
          </w:tcPr>
          <w:p w14:paraId="18F422C7"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05" w:type="dxa"/>
          </w:tcPr>
          <w:p w14:paraId="68E6E875"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017" w:type="dxa"/>
          </w:tcPr>
          <w:p w14:paraId="7D70CB3C" w14:textId="77777777" w:rsidR="00CC5DE6" w:rsidRPr="005B1CCB" w:rsidRDefault="00CC5DE6" w:rsidP="0017439F">
            <w:pPr>
              <w:rPr>
                <w:rFonts w:ascii="Palatino Linotype" w:hAnsi="Palatino Linotype"/>
                <w:sz w:val="24"/>
                <w:szCs w:val="24"/>
                <w:lang w:bidi="en-US"/>
              </w:rPr>
            </w:pPr>
          </w:p>
        </w:tc>
        <w:tc>
          <w:tcPr>
            <w:tcW w:w="1237" w:type="dxa"/>
          </w:tcPr>
          <w:p w14:paraId="6B31AADD" w14:textId="77777777" w:rsidR="00CC5DE6" w:rsidRPr="005B1CCB" w:rsidRDefault="00CC5DE6" w:rsidP="0017439F">
            <w:pPr>
              <w:rPr>
                <w:rFonts w:ascii="Palatino Linotype" w:hAnsi="Palatino Linotype"/>
                <w:sz w:val="24"/>
                <w:szCs w:val="24"/>
                <w:lang w:bidi="en-US"/>
              </w:rPr>
            </w:pPr>
          </w:p>
        </w:tc>
      </w:tr>
      <w:tr w:rsidR="00CC5DE6" w:rsidRPr="005B1CCB" w14:paraId="1224EDB5" w14:textId="77777777" w:rsidTr="0017439F">
        <w:trPr>
          <w:jc w:val="center"/>
        </w:trPr>
        <w:tc>
          <w:tcPr>
            <w:tcW w:w="2254" w:type="dxa"/>
            <w:vMerge/>
          </w:tcPr>
          <w:p w14:paraId="7CDDB847" w14:textId="77777777" w:rsidR="00CC5DE6" w:rsidRPr="005B1CCB" w:rsidRDefault="00CC5DE6" w:rsidP="0017439F">
            <w:pPr>
              <w:rPr>
                <w:rFonts w:ascii="Palatino Linotype" w:hAnsi="Palatino Linotype"/>
                <w:sz w:val="24"/>
                <w:szCs w:val="24"/>
                <w:lang w:bidi="en-US"/>
              </w:rPr>
            </w:pPr>
          </w:p>
        </w:tc>
        <w:tc>
          <w:tcPr>
            <w:tcW w:w="2254" w:type="dxa"/>
          </w:tcPr>
          <w:p w14:paraId="60F3655E"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ED4-HD4</w:t>
            </w:r>
          </w:p>
        </w:tc>
        <w:tc>
          <w:tcPr>
            <w:tcW w:w="1049" w:type="dxa"/>
          </w:tcPr>
          <w:p w14:paraId="74849E70" w14:textId="77777777" w:rsidR="00CC5DE6" w:rsidRPr="005B1CCB" w:rsidRDefault="00CC5DE6" w:rsidP="0017439F">
            <w:pPr>
              <w:rPr>
                <w:rFonts w:ascii="Palatino Linotype" w:hAnsi="Palatino Linotype"/>
                <w:sz w:val="24"/>
                <w:szCs w:val="24"/>
                <w:lang w:bidi="en-US"/>
              </w:rPr>
            </w:pPr>
          </w:p>
        </w:tc>
        <w:tc>
          <w:tcPr>
            <w:tcW w:w="1205" w:type="dxa"/>
          </w:tcPr>
          <w:p w14:paraId="1EBF1FFB" w14:textId="77777777" w:rsidR="00CC5DE6" w:rsidRPr="005B1CCB" w:rsidRDefault="00CC5DE6" w:rsidP="0017439F">
            <w:pPr>
              <w:rPr>
                <w:rFonts w:ascii="Palatino Linotype" w:hAnsi="Palatino Linotype"/>
                <w:sz w:val="24"/>
                <w:szCs w:val="24"/>
                <w:lang w:bidi="en-US"/>
              </w:rPr>
            </w:pPr>
          </w:p>
        </w:tc>
        <w:tc>
          <w:tcPr>
            <w:tcW w:w="1017" w:type="dxa"/>
          </w:tcPr>
          <w:p w14:paraId="253AAC3D"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c>
          <w:tcPr>
            <w:tcW w:w="1237" w:type="dxa"/>
          </w:tcPr>
          <w:p w14:paraId="56EE61A5" w14:textId="77777777" w:rsidR="00CC5DE6" w:rsidRPr="005B1CCB" w:rsidRDefault="00CC5DE6" w:rsidP="0017439F">
            <w:pPr>
              <w:rPr>
                <w:rFonts w:ascii="Palatino Linotype" w:hAnsi="Palatino Linotype"/>
                <w:sz w:val="24"/>
                <w:szCs w:val="24"/>
                <w:lang w:bidi="en-US"/>
              </w:rPr>
            </w:pPr>
            <w:r w:rsidRPr="005B1CCB">
              <w:rPr>
                <w:rFonts w:ascii="Palatino Linotype" w:hAnsi="Palatino Linotype"/>
                <w:sz w:val="24"/>
                <w:szCs w:val="24"/>
                <w:lang w:bidi="en-US"/>
              </w:rPr>
              <w:t>0</w:t>
            </w:r>
          </w:p>
        </w:tc>
      </w:tr>
    </w:tbl>
    <w:p w14:paraId="2DBFE869" w14:textId="77777777" w:rsidR="00B81ECB" w:rsidRDefault="00B81ECB" w:rsidP="00467ABD">
      <w:pPr>
        <w:keepNext/>
        <w:rPr>
          <w:noProof/>
          <w:lang w:eastAsia="en-GB"/>
        </w:rPr>
      </w:pPr>
    </w:p>
    <w:p w14:paraId="3643CBB4" w14:textId="77777777" w:rsidR="00B81ECB" w:rsidRDefault="00B81ECB" w:rsidP="00467ABD">
      <w:pPr>
        <w:keepNext/>
        <w:rPr>
          <w:noProof/>
          <w:lang w:eastAsia="en-GB"/>
        </w:rPr>
      </w:pPr>
    </w:p>
    <w:p w14:paraId="61EA7DC6" w14:textId="77777777" w:rsidR="00467ABD" w:rsidRPr="005B1CCB" w:rsidRDefault="00467ABD" w:rsidP="00467ABD">
      <w:pPr>
        <w:keepNext/>
      </w:pPr>
      <w:r w:rsidRPr="005B1CCB">
        <w:rPr>
          <w:noProof/>
          <w:lang w:eastAsia="en-GB"/>
        </w:rPr>
        <w:drawing>
          <wp:inline distT="0" distB="0" distL="0" distR="0" wp14:anchorId="50933BB1" wp14:editId="3B65C9E5">
            <wp:extent cx="5942473" cy="4064635"/>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BEBA8EAE-BF5A-486C-A8C5-ECC9F3942E4B}">
                          <a14:imgProps xmlns:a14="http://schemas.microsoft.com/office/drawing/2010/main">
                            <a14:imgLayer r:embed="rId85">
                              <a14:imgEffect>
                                <a14:sharpenSoften amount="43000"/>
                              </a14:imgEffect>
                            </a14:imgLayer>
                          </a14:imgProps>
                        </a:ext>
                      </a:extLst>
                    </a:blip>
                    <a:stretch>
                      <a:fillRect/>
                    </a:stretch>
                  </pic:blipFill>
                  <pic:spPr>
                    <a:xfrm>
                      <a:off x="0" y="0"/>
                      <a:ext cx="5956653" cy="4074334"/>
                    </a:xfrm>
                    <a:prstGeom prst="rect">
                      <a:avLst/>
                    </a:prstGeom>
                  </pic:spPr>
                </pic:pic>
              </a:graphicData>
            </a:graphic>
          </wp:inline>
        </w:drawing>
      </w:r>
    </w:p>
    <w:p w14:paraId="7BE7F668" w14:textId="77777777" w:rsidR="004C1F04" w:rsidRPr="005B1CCB" w:rsidRDefault="00467ABD" w:rsidP="00467ABD">
      <w:pPr>
        <w:pStyle w:val="Caption"/>
        <w:jc w:val="center"/>
        <w:rPr>
          <w:sz w:val="22"/>
          <w:szCs w:val="22"/>
        </w:rPr>
      </w:pPr>
      <w:bookmarkStart w:id="215" w:name="_Toc84519655"/>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60</w:t>
      </w:r>
      <w:r w:rsidRPr="005B1CCB">
        <w:rPr>
          <w:sz w:val="22"/>
          <w:szCs w:val="22"/>
        </w:rPr>
        <w:fldChar w:fldCharType="end"/>
      </w:r>
      <w:r w:rsidRPr="005B1CCB">
        <w:rPr>
          <w:sz w:val="22"/>
          <w:szCs w:val="22"/>
        </w:rPr>
        <w:t>:</w:t>
      </w:r>
      <w:r w:rsidR="00C13092" w:rsidRPr="005B1CCB">
        <w:rPr>
          <w:sz w:val="22"/>
          <w:szCs w:val="22"/>
        </w:rPr>
        <w:t xml:space="preserve"> KRAS detected in cfDNA isolated from 1mL plasma from patients’ samples. A) KRASpG12D (blue bars) and corresponding wild type control (red bars) copies per ng of cfDNA for corresponding patients; B) KRASpG13D (blue bars) and corresponding wild type control (red bars) copies per ng of cfDNA for corresponding patients; C) KRASpG12D (blue bars) and KRASpG13D (red bars) using left-handed Y-axis and corresponding WT controls (green bars for pG12D and purple bars for pG13D) using right-</w:t>
      </w:r>
      <w:r w:rsidR="00C13092" w:rsidRPr="005B1CCB">
        <w:rPr>
          <w:rFonts w:ascii="Calibri" w:hAnsi="Calibri" w:cs="Calibri"/>
          <w:i w:val="0"/>
          <w:iCs w:val="0"/>
          <w:color w:val="000000"/>
          <w:sz w:val="22"/>
          <w:szCs w:val="22"/>
          <w:shd w:val="clear" w:color="auto" w:fill="FFFFFF"/>
        </w:rPr>
        <w:t xml:space="preserve"> </w:t>
      </w:r>
      <w:r w:rsidR="00C13092" w:rsidRPr="005B1CCB">
        <w:rPr>
          <w:sz w:val="22"/>
          <w:szCs w:val="22"/>
        </w:rPr>
        <w:t>handed Y-axis (showing similar values for WT detected in both KRASpG12D and KRASpG13D assays); and D) Percent KRASpG12D/WT (blue circle, left Y-axis) and KRASpG13D/WT (red square, right Y-axis) ratio detected in corresponding patient sample.</w:t>
      </w:r>
      <w:bookmarkEnd w:id="215"/>
    </w:p>
    <w:p w14:paraId="0CE5000D" w14:textId="77777777" w:rsidR="00251094" w:rsidRPr="005B1CCB" w:rsidRDefault="00251094" w:rsidP="00251094"/>
    <w:p w14:paraId="483FA766" w14:textId="77777777" w:rsidR="00E043C4" w:rsidRPr="005B1CCB" w:rsidRDefault="00E043C4" w:rsidP="00E043C4">
      <w:pPr>
        <w:pStyle w:val="Heading3"/>
      </w:pPr>
      <w:bookmarkStart w:id="216" w:name="_Toc84528153"/>
      <w:r w:rsidRPr="005B1CCB">
        <w:t>False positive and negative investigation (Four patient sample</w:t>
      </w:r>
      <w:r w:rsidR="001C076C" w:rsidRPr="005B1CCB">
        <w:t xml:space="preserve"> sub-study</w:t>
      </w:r>
      <w:r w:rsidRPr="005B1CCB">
        <w:t>)</w:t>
      </w:r>
      <w:bookmarkEnd w:id="216"/>
    </w:p>
    <w:p w14:paraId="4D05C221" w14:textId="2356F1F0" w:rsidR="000D66C6" w:rsidRPr="005B1CCB" w:rsidRDefault="00A13646" w:rsidP="00316116">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F5164C" w:rsidRPr="005B1CCB">
        <w:rPr>
          <w:rFonts w:ascii="Palatino Linotype" w:hAnsi="Palatino Linotype"/>
          <w:sz w:val="24"/>
          <w:szCs w:val="24"/>
          <w:lang w:bidi="en-US"/>
        </w:rPr>
        <w:t>The method for label-free electrochemical detection</w:t>
      </w:r>
      <w:r w:rsidR="00FE2651" w:rsidRPr="005B1CCB">
        <w:rPr>
          <w:rFonts w:ascii="Palatino Linotype" w:hAnsi="Palatino Linotype"/>
          <w:sz w:val="24"/>
          <w:szCs w:val="24"/>
          <w:lang w:bidi="en-US"/>
        </w:rPr>
        <w:t xml:space="preserve"> developed so far was applied to the detection </w:t>
      </w:r>
      <w:r w:rsidR="00D47C03">
        <w:rPr>
          <w:rFonts w:ascii="Palatino Linotype" w:hAnsi="Palatino Linotype"/>
          <w:sz w:val="24"/>
          <w:szCs w:val="24"/>
          <w:lang w:bidi="en-US"/>
        </w:rPr>
        <w:t xml:space="preserve">of </w:t>
      </w:r>
      <w:r w:rsidR="00FE2651" w:rsidRPr="005B1CCB">
        <w:rPr>
          <w:rFonts w:ascii="Palatino Linotype" w:hAnsi="Palatino Linotype"/>
          <w:sz w:val="24"/>
          <w:szCs w:val="24"/>
          <w:lang w:bidi="en-US"/>
        </w:rPr>
        <w:t xml:space="preserve">KRAS pG12D and pG13D mutations. </w:t>
      </w:r>
      <w:r w:rsidR="00AE4C1E" w:rsidRPr="005B1CCB">
        <w:rPr>
          <w:rFonts w:ascii="Palatino Linotype" w:hAnsi="Palatino Linotype"/>
          <w:sz w:val="24"/>
          <w:szCs w:val="24"/>
          <w:lang w:bidi="en-US"/>
        </w:rPr>
        <w:t xml:space="preserve">As </w:t>
      </w:r>
      <w:r w:rsidR="000048C5" w:rsidRPr="005B1CCB">
        <w:rPr>
          <w:rFonts w:ascii="Palatino Linotype" w:hAnsi="Palatino Linotype"/>
          <w:sz w:val="24"/>
          <w:szCs w:val="24"/>
          <w:lang w:bidi="en-US"/>
        </w:rPr>
        <w:t xml:space="preserve">some </w:t>
      </w:r>
      <w:r w:rsidR="00AE4C1E" w:rsidRPr="005B1CCB">
        <w:rPr>
          <w:rFonts w:ascii="Palatino Linotype" w:hAnsi="Palatino Linotype"/>
          <w:sz w:val="24"/>
          <w:szCs w:val="24"/>
          <w:lang w:bidi="en-US"/>
        </w:rPr>
        <w:t xml:space="preserve">false positives and negatives were noted from the initial set of experiments using the blind patient samples, </w:t>
      </w:r>
      <w:r w:rsidR="00251094" w:rsidRPr="005B1CCB">
        <w:rPr>
          <w:rFonts w:ascii="Palatino Linotype" w:hAnsi="Palatino Linotype"/>
          <w:sz w:val="24"/>
          <w:szCs w:val="24"/>
          <w:lang w:bidi="en-US"/>
        </w:rPr>
        <w:t>a</w:t>
      </w:r>
      <w:r w:rsidR="00AE4C1E" w:rsidRPr="005B1CCB">
        <w:rPr>
          <w:rFonts w:ascii="Palatino Linotype" w:hAnsi="Palatino Linotype"/>
          <w:sz w:val="24"/>
          <w:szCs w:val="24"/>
          <w:lang w:bidi="en-US"/>
        </w:rPr>
        <w:t xml:space="preserve"> sub-group study was </w:t>
      </w:r>
      <w:r w:rsidR="00F543A3" w:rsidRPr="005B1CCB">
        <w:rPr>
          <w:rFonts w:ascii="Palatino Linotype" w:hAnsi="Palatino Linotype"/>
          <w:sz w:val="24"/>
          <w:szCs w:val="24"/>
          <w:lang w:bidi="en-US"/>
        </w:rPr>
        <w:t xml:space="preserve">identified and tests </w:t>
      </w:r>
      <w:r w:rsidR="00AE4C1E" w:rsidRPr="005B1CCB">
        <w:rPr>
          <w:rFonts w:ascii="Palatino Linotype" w:hAnsi="Palatino Linotype"/>
          <w:sz w:val="24"/>
          <w:szCs w:val="24"/>
          <w:lang w:bidi="en-US"/>
        </w:rPr>
        <w:t xml:space="preserve">carried out using the information obtained from the ddPCR results. </w:t>
      </w:r>
      <w:r w:rsidR="00E043C4" w:rsidRPr="005B1CCB">
        <w:rPr>
          <w:rFonts w:ascii="Palatino Linotype" w:hAnsi="Palatino Linotype"/>
          <w:sz w:val="24"/>
          <w:szCs w:val="24"/>
          <w:lang w:bidi="en-US"/>
        </w:rPr>
        <w:t>Patients 440, 459, 466 and 481 were selected out of the cohort of 8 patients after the ddPCR</w:t>
      </w:r>
      <w:r w:rsidR="00316116" w:rsidRPr="005B1CCB">
        <w:rPr>
          <w:rFonts w:ascii="Palatino Linotype" w:hAnsi="Palatino Linotype"/>
          <w:sz w:val="24"/>
          <w:szCs w:val="24"/>
          <w:lang w:bidi="en-US"/>
        </w:rPr>
        <w:t xml:space="preserve"> results showed a high presence of KRAS pG12D in patients 440 and 481, and a low but measurable level of KRAS pG13D in patients 466 and 481. Patient 459 tested negative for both mutations so was selected as a negative control. These experiments were conducted using </w:t>
      </w:r>
      <w:r w:rsidR="00AE4C1E" w:rsidRPr="005B1CCB">
        <w:rPr>
          <w:rFonts w:ascii="Palatino Linotype" w:hAnsi="Palatino Linotype"/>
          <w:sz w:val="24"/>
          <w:szCs w:val="24"/>
          <w:lang w:bidi="en-US"/>
        </w:rPr>
        <w:t xml:space="preserve">single chip </w:t>
      </w:r>
      <w:r w:rsidR="00316116" w:rsidRPr="005B1CCB">
        <w:rPr>
          <w:rFonts w:ascii="Palatino Linotype" w:hAnsi="Palatino Linotype"/>
          <w:sz w:val="24"/>
          <w:szCs w:val="24"/>
          <w:lang w:bidi="en-US"/>
        </w:rPr>
        <w:t>CNT-modified SPCEs (n=3)</w:t>
      </w:r>
      <w:r w:rsidR="00AE4C1E" w:rsidRPr="005B1CCB">
        <w:rPr>
          <w:rFonts w:ascii="Palatino Linotype" w:hAnsi="Palatino Linotype"/>
          <w:sz w:val="24"/>
          <w:szCs w:val="24"/>
          <w:lang w:bidi="en-US"/>
        </w:rPr>
        <w:t xml:space="preserve"> </w:t>
      </w:r>
      <w:r w:rsidR="00FB3300" w:rsidRPr="005B1CCB">
        <w:rPr>
          <w:rFonts w:ascii="Palatino Linotype" w:hAnsi="Palatino Linotype"/>
          <w:sz w:val="24"/>
          <w:szCs w:val="24"/>
          <w:lang w:bidi="en-US"/>
        </w:rPr>
        <w:t xml:space="preserve">rather than the 8 x working electrode chips </w:t>
      </w:r>
      <w:r w:rsidR="00AE4C1E" w:rsidRPr="005B1CCB">
        <w:rPr>
          <w:rFonts w:ascii="Palatino Linotype" w:hAnsi="Palatino Linotype"/>
          <w:sz w:val="24"/>
          <w:szCs w:val="24"/>
          <w:lang w:bidi="en-US"/>
        </w:rPr>
        <w:t>to rul</w:t>
      </w:r>
      <w:r w:rsidR="007F38A5" w:rsidRPr="005B1CCB">
        <w:rPr>
          <w:rFonts w:ascii="Palatino Linotype" w:hAnsi="Palatino Linotype"/>
          <w:sz w:val="24"/>
          <w:szCs w:val="24"/>
          <w:lang w:bidi="en-US"/>
        </w:rPr>
        <w:t>e</w:t>
      </w:r>
      <w:r w:rsidR="00AE4C1E" w:rsidRPr="005B1CCB">
        <w:rPr>
          <w:rFonts w:ascii="Palatino Linotype" w:hAnsi="Palatino Linotype"/>
          <w:sz w:val="24"/>
          <w:szCs w:val="24"/>
          <w:lang w:bidi="en-US"/>
        </w:rPr>
        <w:t xml:space="preserve"> out cross-reactivity</w:t>
      </w:r>
      <w:r w:rsidR="00316116" w:rsidRPr="005B1CCB">
        <w:rPr>
          <w:rFonts w:ascii="Palatino Linotype" w:hAnsi="Palatino Linotype"/>
          <w:sz w:val="24"/>
          <w:szCs w:val="24"/>
          <w:lang w:bidi="en-US"/>
        </w:rPr>
        <w:t xml:space="preserve"> and the hybridisation results are shown in </w:t>
      </w:r>
      <w:r w:rsidR="007A5020" w:rsidRPr="005B1CCB">
        <w:rPr>
          <w:rFonts w:ascii="Palatino Linotype" w:hAnsi="Palatino Linotype"/>
          <w:sz w:val="24"/>
          <w:szCs w:val="24"/>
          <w:lang w:bidi="en-US"/>
        </w:rPr>
        <w:t>F</w:t>
      </w:r>
      <w:r w:rsidR="00316116" w:rsidRPr="005B1CCB">
        <w:rPr>
          <w:rFonts w:ascii="Palatino Linotype" w:hAnsi="Palatino Linotype"/>
          <w:sz w:val="24"/>
          <w:szCs w:val="24"/>
          <w:lang w:bidi="en-US"/>
        </w:rPr>
        <w:t xml:space="preserve">igure </w:t>
      </w:r>
      <w:r w:rsidR="00251094" w:rsidRPr="005B1CCB">
        <w:rPr>
          <w:rFonts w:ascii="Palatino Linotype" w:hAnsi="Palatino Linotype"/>
          <w:sz w:val="24"/>
          <w:szCs w:val="24"/>
          <w:lang w:bidi="en-US"/>
        </w:rPr>
        <w:t>61</w:t>
      </w:r>
      <w:r w:rsidR="00316116" w:rsidRPr="005B1CCB">
        <w:rPr>
          <w:rFonts w:ascii="Palatino Linotype" w:hAnsi="Palatino Linotype"/>
          <w:sz w:val="24"/>
          <w:szCs w:val="24"/>
          <w:lang w:bidi="en-US"/>
        </w:rPr>
        <w:t>.</w:t>
      </w:r>
      <w:r w:rsidR="00FB3300" w:rsidRPr="005B1CCB">
        <w:rPr>
          <w:rFonts w:ascii="Palatino Linotype" w:hAnsi="Palatino Linotype"/>
          <w:sz w:val="24"/>
          <w:szCs w:val="24"/>
          <w:lang w:bidi="en-US"/>
        </w:rPr>
        <w:t xml:space="preserve"> Also, these results and the associated analysis contain plots made using both cyclic voltammetry and square wave peak current changes.</w:t>
      </w:r>
    </w:p>
    <w:p w14:paraId="70F5502A" w14:textId="77777777" w:rsidR="007B1591" w:rsidRPr="005B1CCB" w:rsidRDefault="00284B97" w:rsidP="007B1591">
      <w:pPr>
        <w:keepNext/>
        <w:spacing w:line="360" w:lineRule="auto"/>
        <w:jc w:val="center"/>
      </w:pPr>
      <w:r w:rsidRPr="005B1CCB">
        <w:rPr>
          <w:noProof/>
          <w:lang w:eastAsia="en-GB"/>
        </w:rPr>
        <w:drawing>
          <wp:inline distT="0" distB="0" distL="0" distR="0" wp14:anchorId="4AFF32CD" wp14:editId="3B4CCFCB">
            <wp:extent cx="6042333" cy="40843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BEBA8EAE-BF5A-486C-A8C5-ECC9F3942E4B}">
                          <a14:imgProps xmlns:a14="http://schemas.microsoft.com/office/drawing/2010/main">
                            <a14:imgLayer r:embed="rId87">
                              <a14:imgEffect>
                                <a14:sharpenSoften amount="37000"/>
                              </a14:imgEffect>
                              <a14:imgEffect>
                                <a14:brightnessContrast bright="13000"/>
                              </a14:imgEffect>
                            </a14:imgLayer>
                          </a14:imgProps>
                        </a:ext>
                      </a:extLst>
                    </a:blip>
                    <a:stretch>
                      <a:fillRect/>
                    </a:stretch>
                  </pic:blipFill>
                  <pic:spPr>
                    <a:xfrm>
                      <a:off x="0" y="0"/>
                      <a:ext cx="6111644" cy="4131171"/>
                    </a:xfrm>
                    <a:prstGeom prst="rect">
                      <a:avLst/>
                    </a:prstGeom>
                  </pic:spPr>
                </pic:pic>
              </a:graphicData>
            </a:graphic>
          </wp:inline>
        </w:drawing>
      </w:r>
    </w:p>
    <w:p w14:paraId="0E1155D8" w14:textId="77777777" w:rsidR="00C02E60" w:rsidRPr="005B1CCB" w:rsidRDefault="007B1591" w:rsidP="007B1591">
      <w:pPr>
        <w:pStyle w:val="Caption"/>
        <w:jc w:val="center"/>
      </w:pPr>
      <w:bookmarkStart w:id="217" w:name="_Toc84519656"/>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61</w:t>
      </w:r>
      <w:r w:rsidRPr="005B1CCB">
        <w:rPr>
          <w:sz w:val="22"/>
          <w:szCs w:val="22"/>
        </w:rPr>
        <w:fldChar w:fldCharType="end"/>
      </w:r>
      <w:r w:rsidRPr="005B1CCB">
        <w:rPr>
          <w:sz w:val="22"/>
          <w:szCs w:val="22"/>
        </w:rPr>
        <w:t>:</w:t>
      </w:r>
      <w:r w:rsidRPr="005B1CCB">
        <w:t xml:space="preserve"> </w:t>
      </w:r>
      <w:r w:rsidR="00D9780B" w:rsidRPr="005B1CCB">
        <w:rPr>
          <w:sz w:val="24"/>
          <w:szCs w:val="24"/>
        </w:rPr>
        <w:t xml:space="preserve">SWV measurements showing </w:t>
      </w:r>
      <w:r w:rsidR="00B5184E" w:rsidRPr="005B1CCB">
        <w:rPr>
          <w:sz w:val="24"/>
          <w:szCs w:val="24"/>
        </w:rPr>
        <w:t xml:space="preserve">DNA hybridisation </w:t>
      </w:r>
      <w:r w:rsidR="00D9780B" w:rsidRPr="005B1CCB">
        <w:rPr>
          <w:sz w:val="24"/>
          <w:szCs w:val="24"/>
        </w:rPr>
        <w:t xml:space="preserve">using pG12d and pG13D mutant probes on amplified and </w:t>
      </w:r>
      <w:r w:rsidR="00964088" w:rsidRPr="005B1CCB">
        <w:rPr>
          <w:sz w:val="24"/>
          <w:szCs w:val="24"/>
        </w:rPr>
        <w:t>Non-amplified cfDNA samples</w:t>
      </w:r>
      <w:r w:rsidR="00284B97" w:rsidRPr="005B1CCB">
        <w:rPr>
          <w:sz w:val="24"/>
          <w:szCs w:val="24"/>
        </w:rPr>
        <w:t xml:space="preserve"> (ng/</w:t>
      </w:r>
      <w:r w:rsidR="00284B97" w:rsidRPr="005B1CCB">
        <w:rPr>
          <w:rFonts w:cstheme="minorHAnsi"/>
          <w:sz w:val="24"/>
          <w:szCs w:val="24"/>
        </w:rPr>
        <w:t>µ</w:t>
      </w:r>
      <w:r w:rsidR="00284B97" w:rsidRPr="005B1CCB">
        <w:rPr>
          <w:sz w:val="24"/>
          <w:szCs w:val="24"/>
        </w:rPr>
        <w:t>l)</w:t>
      </w:r>
      <w:bookmarkEnd w:id="217"/>
      <w:r w:rsidR="00B5184E" w:rsidRPr="005B1CCB">
        <w:rPr>
          <w:sz w:val="24"/>
          <w:szCs w:val="24"/>
        </w:rPr>
        <w:t xml:space="preserve"> </w:t>
      </w:r>
    </w:p>
    <w:p w14:paraId="4A16F93D" w14:textId="77777777" w:rsidR="00E043C4" w:rsidRPr="005B1CCB" w:rsidRDefault="00E043C4" w:rsidP="00E043C4">
      <w:pPr>
        <w:rPr>
          <w:lang w:bidi="en-US"/>
        </w:rPr>
      </w:pPr>
    </w:p>
    <w:p w14:paraId="6E6474B8" w14:textId="5923D9CB" w:rsidR="00F049C1" w:rsidRPr="005B1CCB" w:rsidRDefault="007B1591" w:rsidP="008E4C5F">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ED17F8" w:rsidRPr="005B1CCB">
        <w:rPr>
          <w:rFonts w:ascii="Palatino Linotype" w:hAnsi="Palatino Linotype"/>
          <w:sz w:val="24"/>
          <w:szCs w:val="24"/>
          <w:lang w:bidi="en-US"/>
        </w:rPr>
        <w:t xml:space="preserve">The KRAS pG12D </w:t>
      </w:r>
      <w:r w:rsidR="00FB3300" w:rsidRPr="005B1CCB">
        <w:rPr>
          <w:rFonts w:ascii="Palatino Linotype" w:hAnsi="Palatino Linotype"/>
          <w:sz w:val="24"/>
          <w:szCs w:val="24"/>
          <w:lang w:bidi="en-US"/>
        </w:rPr>
        <w:t xml:space="preserve">and pG13D mutations were not clearly detected in patient 440 from analysing the data for peak current both before and after amplification using phusion PCR. In all four plots presented, the signal does not change between unamplified testing and post amplification testing. Patient 459 gave consistently lower and stable signal changes for the two mutations with no sign of an obvious increase following amplification which gave some confidence the mutations were not being falsely detected for this particular sample. Interestingly, Figure </w:t>
      </w:r>
      <w:r w:rsidR="00251094" w:rsidRPr="005B1CCB">
        <w:rPr>
          <w:rFonts w:ascii="Palatino Linotype" w:hAnsi="Palatino Linotype"/>
          <w:sz w:val="24"/>
          <w:szCs w:val="24"/>
          <w:lang w:bidi="en-US"/>
        </w:rPr>
        <w:t>61</w:t>
      </w:r>
      <w:r w:rsidR="00FB3300" w:rsidRPr="005B1CCB">
        <w:rPr>
          <w:rFonts w:ascii="Palatino Linotype" w:hAnsi="Palatino Linotype"/>
          <w:sz w:val="24"/>
          <w:szCs w:val="24"/>
          <w:lang w:bidi="en-US"/>
        </w:rPr>
        <w:t xml:space="preserve"> shows that </w:t>
      </w:r>
      <w:r w:rsidR="00F049C1" w:rsidRPr="005B1CCB">
        <w:rPr>
          <w:rFonts w:ascii="Palatino Linotype" w:hAnsi="Palatino Linotype"/>
          <w:sz w:val="24"/>
          <w:szCs w:val="24"/>
          <w:lang w:bidi="en-US"/>
        </w:rPr>
        <w:t>the patients positive for pG12D (481) and double positive (466) both showed much higher signal increases following DNA amplification, suggesting that in combination</w:t>
      </w:r>
      <w:r w:rsidR="00D47C03">
        <w:rPr>
          <w:rFonts w:ascii="Palatino Linotype" w:hAnsi="Palatino Linotype"/>
          <w:sz w:val="24"/>
          <w:szCs w:val="24"/>
          <w:lang w:bidi="en-US"/>
        </w:rPr>
        <w:t>,</w:t>
      </w:r>
      <w:r w:rsidR="00F049C1" w:rsidRPr="005B1CCB">
        <w:rPr>
          <w:rFonts w:ascii="Palatino Linotype" w:hAnsi="Palatino Linotype"/>
          <w:sz w:val="24"/>
          <w:szCs w:val="24"/>
          <w:lang w:bidi="en-US"/>
        </w:rPr>
        <w:t xml:space="preserve"> the DNA amplification reaction and choice of probes were detecting the presence of mutations (with some potential cross-reactivity between the pG12D and pG13D primer sets). This was investigated further by performing </w:t>
      </w:r>
      <w:r w:rsidR="00D240BE" w:rsidRPr="005B1CCB">
        <w:rPr>
          <w:rFonts w:ascii="Palatino Linotype" w:hAnsi="Palatino Linotype"/>
          <w:sz w:val="24"/>
          <w:szCs w:val="24"/>
          <w:lang w:bidi="en-US"/>
        </w:rPr>
        <w:t xml:space="preserve">both a one-way and </w:t>
      </w:r>
      <w:r w:rsidR="00F049C1" w:rsidRPr="005B1CCB">
        <w:rPr>
          <w:rFonts w:ascii="Palatino Linotype" w:hAnsi="Palatino Linotype"/>
          <w:sz w:val="24"/>
          <w:szCs w:val="24"/>
          <w:lang w:bidi="en-US"/>
        </w:rPr>
        <w:t xml:space="preserve">two-way ANOVA </w:t>
      </w:r>
      <w:r w:rsidR="000E55F7" w:rsidRPr="005B1CCB">
        <w:rPr>
          <w:rFonts w:ascii="Palatino Linotype" w:hAnsi="Palatino Linotype"/>
          <w:sz w:val="24"/>
          <w:szCs w:val="24"/>
          <w:lang w:bidi="en-US"/>
        </w:rPr>
        <w:t xml:space="preserve">tests. </w:t>
      </w:r>
      <w:r w:rsidR="00D240BE" w:rsidRPr="005B1CCB">
        <w:rPr>
          <w:rFonts w:ascii="Palatino Linotype" w:hAnsi="Palatino Linotype"/>
          <w:sz w:val="24"/>
          <w:szCs w:val="24"/>
          <w:lang w:bidi="en-US"/>
        </w:rPr>
        <w:t xml:space="preserve"> </w:t>
      </w:r>
    </w:p>
    <w:p w14:paraId="1EDEB5B3" w14:textId="77777777" w:rsidR="00441004" w:rsidRPr="005B1CCB" w:rsidRDefault="00441004" w:rsidP="008E4C5F">
      <w:pPr>
        <w:spacing w:line="360" w:lineRule="auto"/>
        <w:jc w:val="both"/>
        <w:rPr>
          <w:rFonts w:ascii="Palatino Linotype" w:hAnsi="Palatino Linotype"/>
          <w:sz w:val="24"/>
          <w:szCs w:val="24"/>
          <w:lang w:bidi="en-US"/>
        </w:rPr>
      </w:pPr>
    </w:p>
    <w:p w14:paraId="60ED5B6F" w14:textId="77777777" w:rsidR="00FB5E02" w:rsidRPr="005B1CCB" w:rsidRDefault="00FB5E02" w:rsidP="00441004">
      <w:pPr>
        <w:pStyle w:val="Heading3"/>
      </w:pPr>
      <w:bookmarkStart w:id="218" w:name="_Toc84528154"/>
      <w:r w:rsidRPr="005B1CCB">
        <w:t xml:space="preserve">ANOVA </w:t>
      </w:r>
      <w:r w:rsidR="00441004" w:rsidRPr="005B1CCB">
        <w:t>one</w:t>
      </w:r>
      <w:r w:rsidRPr="005B1CCB">
        <w:t>-</w:t>
      </w:r>
      <w:r w:rsidR="00441004" w:rsidRPr="005B1CCB">
        <w:t>way</w:t>
      </w:r>
      <w:r w:rsidRPr="005B1CCB">
        <w:t xml:space="preserve"> </w:t>
      </w:r>
      <w:r w:rsidR="00441004" w:rsidRPr="005B1CCB">
        <w:t>tests</w:t>
      </w:r>
      <w:r w:rsidR="006E3BE4" w:rsidRPr="005B1CCB">
        <w:t xml:space="preserve"> </w:t>
      </w:r>
      <w:r w:rsidR="00441004" w:rsidRPr="005B1CCB">
        <w:t>on</w:t>
      </w:r>
      <w:r w:rsidR="006E3BE4" w:rsidRPr="005B1CCB">
        <w:t xml:space="preserve"> </w:t>
      </w:r>
      <w:r w:rsidR="00441004" w:rsidRPr="005B1CCB">
        <w:t>non</w:t>
      </w:r>
      <w:r w:rsidR="006E3BE4" w:rsidRPr="005B1CCB">
        <w:t>-</w:t>
      </w:r>
      <w:r w:rsidR="00441004" w:rsidRPr="005B1CCB">
        <w:t>amplified</w:t>
      </w:r>
      <w:r w:rsidR="006E3BE4" w:rsidRPr="005B1CCB">
        <w:t xml:space="preserve"> </w:t>
      </w:r>
      <w:r w:rsidR="00A37CB3" w:rsidRPr="005B1CCB">
        <w:t xml:space="preserve">cfDNA </w:t>
      </w:r>
      <w:r w:rsidR="00441004" w:rsidRPr="005B1CCB">
        <w:t>samples</w:t>
      </w:r>
      <w:bookmarkEnd w:id="218"/>
    </w:p>
    <w:p w14:paraId="0CD98F23" w14:textId="77777777" w:rsidR="00B01391" w:rsidRPr="005B1CCB" w:rsidRDefault="00B01391" w:rsidP="00F075E1">
      <w:pPr>
        <w:spacing w:line="360" w:lineRule="auto"/>
        <w:jc w:val="both"/>
        <w:rPr>
          <w:rFonts w:ascii="Palatino Linotype" w:hAnsi="Palatino Linotype"/>
          <w:sz w:val="24"/>
          <w:szCs w:val="24"/>
        </w:rPr>
      </w:pPr>
      <w:r w:rsidRPr="005B1CCB">
        <w:rPr>
          <w:rFonts w:ascii="Palatino Linotype" w:hAnsi="Palatino Linotype"/>
          <w:sz w:val="24"/>
          <w:szCs w:val="24"/>
        </w:rPr>
        <w:t xml:space="preserve">At the 0.05 level using CV measurements from the KRAS pG12D and pG13D hybridisation on patients 440, 459, 466 and 481, the population means of the </w:t>
      </w:r>
      <w:r w:rsidR="0073512E" w:rsidRPr="005B1CCB">
        <w:rPr>
          <w:rFonts w:ascii="Palatino Linotype" w:hAnsi="Palatino Linotype"/>
          <w:sz w:val="24"/>
          <w:szCs w:val="24"/>
        </w:rPr>
        <w:t>no-amplified cf</w:t>
      </w:r>
      <w:r w:rsidRPr="005B1CCB">
        <w:rPr>
          <w:rFonts w:ascii="Palatino Linotype" w:hAnsi="Palatino Linotype"/>
          <w:sz w:val="24"/>
          <w:szCs w:val="24"/>
        </w:rPr>
        <w:t xml:space="preserve">DNA targets </w:t>
      </w:r>
      <w:r w:rsidR="0073512E" w:rsidRPr="005B1CCB">
        <w:rPr>
          <w:rFonts w:ascii="Palatino Linotype" w:hAnsi="Palatino Linotype"/>
          <w:sz w:val="24"/>
          <w:szCs w:val="24"/>
        </w:rPr>
        <w:t xml:space="preserve">are shown in </w:t>
      </w:r>
      <w:r w:rsidRPr="005B1CCB">
        <w:rPr>
          <w:rFonts w:ascii="Palatino Linotype" w:hAnsi="Palatino Linotype"/>
          <w:sz w:val="24"/>
          <w:szCs w:val="24"/>
          <w:lang w:bidi="en-US"/>
        </w:rPr>
        <w:t>Figures 6</w:t>
      </w:r>
      <w:r w:rsidR="00251094" w:rsidRPr="005B1CCB">
        <w:rPr>
          <w:rFonts w:ascii="Palatino Linotype" w:hAnsi="Palatino Linotype"/>
          <w:sz w:val="24"/>
          <w:szCs w:val="24"/>
          <w:lang w:bidi="en-US"/>
        </w:rPr>
        <w:t>2</w:t>
      </w:r>
      <w:r w:rsidRPr="005B1CCB">
        <w:rPr>
          <w:rFonts w:ascii="Palatino Linotype" w:hAnsi="Palatino Linotype"/>
          <w:sz w:val="24"/>
          <w:szCs w:val="24"/>
          <w:lang w:bidi="en-US"/>
        </w:rPr>
        <w:t xml:space="preserve"> – 6</w:t>
      </w:r>
      <w:r w:rsidR="00251094" w:rsidRPr="005B1CCB">
        <w:rPr>
          <w:rFonts w:ascii="Palatino Linotype" w:hAnsi="Palatino Linotype"/>
          <w:sz w:val="24"/>
          <w:szCs w:val="24"/>
          <w:lang w:bidi="en-US"/>
        </w:rPr>
        <w:t>5</w:t>
      </w:r>
      <w:r w:rsidR="00CF3D4B" w:rsidRPr="005B1CCB">
        <w:rPr>
          <w:rFonts w:ascii="Palatino Linotype" w:hAnsi="Palatino Linotype"/>
          <w:sz w:val="24"/>
          <w:szCs w:val="24"/>
          <w:lang w:bidi="en-US"/>
        </w:rPr>
        <w:t>.</w:t>
      </w:r>
    </w:p>
    <w:p w14:paraId="1154F514" w14:textId="77777777" w:rsidR="00F075E1" w:rsidRPr="005B1CCB" w:rsidRDefault="0072351A" w:rsidP="00F075E1">
      <w:pPr>
        <w:keepNext/>
        <w:spacing w:line="360" w:lineRule="auto"/>
        <w:jc w:val="center"/>
      </w:pPr>
      <w:r w:rsidRPr="005B1CCB">
        <w:rPr>
          <w:rFonts w:ascii="Palatino Linotype" w:hAnsi="Palatino Linotype"/>
          <w:b/>
          <w:noProof/>
          <w:sz w:val="24"/>
          <w:szCs w:val="24"/>
          <w:lang w:eastAsia="en-GB"/>
        </w:rPr>
        <w:drawing>
          <wp:inline distT="0" distB="0" distL="0" distR="0" wp14:anchorId="0CCC791D" wp14:editId="1B4F0343">
            <wp:extent cx="3896139" cy="255397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8">
                      <a:extLst>
                        <a:ext uri="{28A0092B-C50C-407E-A947-70E740481C1C}">
                          <a14:useLocalDpi xmlns:a14="http://schemas.microsoft.com/office/drawing/2010/main" val="0"/>
                        </a:ext>
                      </a:extLst>
                    </a:blip>
                    <a:srcRect l="12077" b="9175"/>
                    <a:stretch/>
                  </pic:blipFill>
                  <pic:spPr bwMode="auto">
                    <a:xfrm>
                      <a:off x="0" y="0"/>
                      <a:ext cx="3923617" cy="2571982"/>
                    </a:xfrm>
                    <a:prstGeom prst="rect">
                      <a:avLst/>
                    </a:prstGeom>
                    <a:noFill/>
                    <a:ln>
                      <a:noFill/>
                    </a:ln>
                    <a:extLst>
                      <a:ext uri="{53640926-AAD7-44D8-BBD7-CCE9431645EC}">
                        <a14:shadowObscured xmlns:a14="http://schemas.microsoft.com/office/drawing/2010/main"/>
                      </a:ext>
                    </a:extLst>
                  </pic:spPr>
                </pic:pic>
              </a:graphicData>
            </a:graphic>
          </wp:inline>
        </w:drawing>
      </w:r>
    </w:p>
    <w:p w14:paraId="034ABF0F" w14:textId="77777777" w:rsidR="00FB5E02" w:rsidRPr="005B1CCB" w:rsidRDefault="00F075E1" w:rsidP="00F075E1">
      <w:pPr>
        <w:pStyle w:val="Caption"/>
        <w:jc w:val="center"/>
        <w:rPr>
          <w:sz w:val="22"/>
          <w:szCs w:val="22"/>
        </w:rPr>
      </w:pPr>
      <w:bookmarkStart w:id="219" w:name="_Toc84519657"/>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62</w:t>
      </w:r>
      <w:r w:rsidRPr="005B1CCB">
        <w:rPr>
          <w:sz w:val="22"/>
          <w:szCs w:val="22"/>
        </w:rPr>
        <w:fldChar w:fldCharType="end"/>
      </w:r>
      <w:r w:rsidRPr="005B1CCB">
        <w:rPr>
          <w:sz w:val="22"/>
          <w:szCs w:val="22"/>
        </w:rPr>
        <w:t>:</w:t>
      </w:r>
      <w:r w:rsidR="004E76B5" w:rsidRPr="005B1CCB">
        <w:rPr>
          <w:sz w:val="22"/>
          <w:szCs w:val="22"/>
        </w:rPr>
        <w:t xml:space="preserve"> One way ANOVA tests using the TUKEY test to determine the relationship between the peak current values obtained pG12D hybridisation measured using CV in</w:t>
      </w:r>
      <w:r w:rsidR="00A37CB3" w:rsidRPr="005B1CCB">
        <w:rPr>
          <w:sz w:val="22"/>
          <w:szCs w:val="22"/>
        </w:rPr>
        <w:t xml:space="preserve"> unamplified samples from</w:t>
      </w:r>
      <w:r w:rsidR="004E76B5" w:rsidRPr="005B1CCB">
        <w:rPr>
          <w:sz w:val="22"/>
          <w:szCs w:val="22"/>
        </w:rPr>
        <w:t xml:space="preserve"> patients 440, 459, 466 and 481</w:t>
      </w:r>
      <w:bookmarkEnd w:id="219"/>
    </w:p>
    <w:p w14:paraId="65905E2A" w14:textId="77777777" w:rsidR="00701B05" w:rsidRPr="005B1CCB" w:rsidRDefault="00701B05" w:rsidP="00701B05"/>
    <w:p w14:paraId="6E79688B" w14:textId="77777777" w:rsidR="00BC78E6" w:rsidRPr="005B1CCB" w:rsidRDefault="001428FD" w:rsidP="00BC78E6">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BC78E6" w:rsidRPr="005B1CCB">
        <w:rPr>
          <w:rFonts w:ascii="Palatino Linotype" w:hAnsi="Palatino Linotype"/>
          <w:sz w:val="24"/>
          <w:szCs w:val="24"/>
        </w:rPr>
        <w:t>From Figure 6</w:t>
      </w:r>
      <w:r w:rsidR="00251094" w:rsidRPr="005B1CCB">
        <w:rPr>
          <w:rFonts w:ascii="Palatino Linotype" w:hAnsi="Palatino Linotype"/>
          <w:sz w:val="24"/>
          <w:szCs w:val="24"/>
        </w:rPr>
        <w:t>2</w:t>
      </w:r>
      <w:r w:rsidR="00BC78E6" w:rsidRPr="005B1CCB">
        <w:rPr>
          <w:rFonts w:ascii="Palatino Linotype" w:hAnsi="Palatino Linotype"/>
          <w:sz w:val="24"/>
          <w:szCs w:val="24"/>
        </w:rPr>
        <w:t>, Patients 466 and 481 had the highest significant difference which was expected as confirmed by the concentrations of KRAS pG12D in the ddPCR results in the previous section (i.e.</w:t>
      </w:r>
      <w:r w:rsidR="0054039C">
        <w:rPr>
          <w:rFonts w:ascii="Palatino Linotype" w:hAnsi="Palatino Linotype"/>
          <w:sz w:val="24"/>
          <w:szCs w:val="24"/>
        </w:rPr>
        <w:t>,</w:t>
      </w:r>
      <w:r w:rsidR="00BC78E6" w:rsidRPr="005B1CCB">
        <w:rPr>
          <w:rFonts w:ascii="Palatino Linotype" w:hAnsi="Palatino Linotype"/>
          <w:sz w:val="24"/>
          <w:szCs w:val="24"/>
        </w:rPr>
        <w:t xml:space="preserve"> KRAS pG12D was not detected in patient 466 while patient 481 </w:t>
      </w:r>
      <w:r w:rsidR="00BF0112" w:rsidRPr="005B1CCB">
        <w:rPr>
          <w:rFonts w:ascii="Palatino Linotype" w:hAnsi="Palatino Linotype"/>
          <w:sz w:val="24"/>
          <w:szCs w:val="24"/>
        </w:rPr>
        <w:t>showed the presence of the mutation</w:t>
      </w:r>
      <w:r w:rsidRPr="005B1CCB">
        <w:rPr>
          <w:rFonts w:ascii="Palatino Linotype" w:hAnsi="Palatino Linotype"/>
          <w:sz w:val="24"/>
          <w:szCs w:val="24"/>
        </w:rPr>
        <w:t>)</w:t>
      </w:r>
      <w:r w:rsidR="00BC78E6" w:rsidRPr="005B1CCB">
        <w:rPr>
          <w:rFonts w:ascii="Palatino Linotype" w:hAnsi="Palatino Linotype"/>
          <w:sz w:val="24"/>
          <w:szCs w:val="24"/>
        </w:rPr>
        <w:t xml:space="preserve">. </w:t>
      </w:r>
      <w:r w:rsidR="00BF0112" w:rsidRPr="005B1CCB">
        <w:rPr>
          <w:rFonts w:ascii="Palatino Linotype" w:hAnsi="Palatino Linotype"/>
          <w:sz w:val="24"/>
          <w:szCs w:val="24"/>
        </w:rPr>
        <w:t>A</w:t>
      </w:r>
      <w:r w:rsidR="00BC78E6" w:rsidRPr="005B1CCB">
        <w:rPr>
          <w:rFonts w:ascii="Palatino Linotype" w:hAnsi="Palatino Linotype"/>
          <w:sz w:val="24"/>
          <w:szCs w:val="24"/>
        </w:rPr>
        <w:t xml:space="preserve"> significant difference was observed between patient 440 and 481. </w:t>
      </w:r>
      <w:r w:rsidR="00BF0112" w:rsidRPr="005B1CCB">
        <w:rPr>
          <w:rFonts w:ascii="Palatino Linotype" w:hAnsi="Palatino Linotype"/>
          <w:sz w:val="24"/>
          <w:szCs w:val="24"/>
        </w:rPr>
        <w:t>T</w:t>
      </w:r>
      <w:r w:rsidRPr="005B1CCB">
        <w:rPr>
          <w:rFonts w:ascii="Palatino Linotype" w:hAnsi="Palatino Linotype"/>
          <w:sz w:val="24"/>
          <w:szCs w:val="24"/>
        </w:rPr>
        <w:t xml:space="preserve">his is </w:t>
      </w:r>
      <w:r w:rsidR="00BF0112" w:rsidRPr="005B1CCB">
        <w:rPr>
          <w:rFonts w:ascii="Palatino Linotype" w:hAnsi="Palatino Linotype"/>
          <w:sz w:val="24"/>
          <w:szCs w:val="24"/>
        </w:rPr>
        <w:t xml:space="preserve">not </w:t>
      </w:r>
      <w:r w:rsidRPr="005B1CCB">
        <w:rPr>
          <w:rFonts w:ascii="Palatino Linotype" w:hAnsi="Palatino Linotype"/>
          <w:sz w:val="24"/>
          <w:szCs w:val="24"/>
        </w:rPr>
        <w:t>as expected because patients 440 and 481 both contained KRAS pG12D mutants</w:t>
      </w:r>
      <w:r w:rsidR="00BF0112" w:rsidRPr="005B1CCB">
        <w:rPr>
          <w:rFonts w:ascii="Palatino Linotype" w:hAnsi="Palatino Linotype"/>
          <w:sz w:val="24"/>
          <w:szCs w:val="24"/>
        </w:rPr>
        <w:t xml:space="preserve"> meaning that the null hypothesis is rejected</w:t>
      </w:r>
      <w:r w:rsidRPr="005B1CCB">
        <w:rPr>
          <w:rFonts w:ascii="Palatino Linotype" w:hAnsi="Palatino Linotype"/>
          <w:sz w:val="24"/>
          <w:szCs w:val="24"/>
        </w:rPr>
        <w:t xml:space="preserve">. </w:t>
      </w:r>
      <w:r w:rsidR="009E0881" w:rsidRPr="005B1CCB">
        <w:rPr>
          <w:rFonts w:ascii="Palatino Linotype" w:hAnsi="Palatino Linotype"/>
          <w:sz w:val="24"/>
          <w:szCs w:val="24"/>
        </w:rPr>
        <w:t xml:space="preserve">High F-values showing the variability of repeated measurements taken on each sample and between all four samples is given as 7.039 and 9.833 respectively. </w:t>
      </w:r>
      <w:r w:rsidRPr="005B1CCB">
        <w:rPr>
          <w:rFonts w:ascii="Palatino Linotype" w:hAnsi="Palatino Linotype"/>
          <w:sz w:val="24"/>
          <w:szCs w:val="24"/>
        </w:rPr>
        <w:t>All other comparisons showed a slight significant difference which could be attributed to wild-type DNA interference and bio-fouling.</w:t>
      </w:r>
    </w:p>
    <w:p w14:paraId="42AC93EF" w14:textId="77777777" w:rsidR="008C12CB" w:rsidRPr="005B1CCB" w:rsidRDefault="004E76B5" w:rsidP="008C12CB">
      <w:pPr>
        <w:keepNext/>
        <w:spacing w:line="360" w:lineRule="auto"/>
        <w:jc w:val="center"/>
      </w:pPr>
      <w:r w:rsidRPr="005B1CCB">
        <w:rPr>
          <w:rFonts w:ascii="Palatino Linotype" w:hAnsi="Palatino Linotype"/>
          <w:b/>
          <w:noProof/>
          <w:sz w:val="24"/>
          <w:szCs w:val="24"/>
          <w:lang w:eastAsia="en-GB"/>
        </w:rPr>
        <w:drawing>
          <wp:inline distT="0" distB="0" distL="0" distR="0" wp14:anchorId="413CDDE2" wp14:editId="5718F7F3">
            <wp:extent cx="4482619" cy="31606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9">
                      <a:extLst>
                        <a:ext uri="{28A0092B-C50C-407E-A947-70E740481C1C}">
                          <a14:useLocalDpi xmlns:a14="http://schemas.microsoft.com/office/drawing/2010/main" val="0"/>
                        </a:ext>
                      </a:extLst>
                    </a:blip>
                    <a:srcRect l="12319" b="8859"/>
                    <a:stretch/>
                  </pic:blipFill>
                  <pic:spPr bwMode="auto">
                    <a:xfrm>
                      <a:off x="0" y="0"/>
                      <a:ext cx="4502822" cy="3174888"/>
                    </a:xfrm>
                    <a:prstGeom prst="rect">
                      <a:avLst/>
                    </a:prstGeom>
                    <a:noFill/>
                    <a:ln>
                      <a:noFill/>
                    </a:ln>
                    <a:extLst>
                      <a:ext uri="{53640926-AAD7-44D8-BBD7-CCE9431645EC}">
                        <a14:shadowObscured xmlns:a14="http://schemas.microsoft.com/office/drawing/2010/main"/>
                      </a:ext>
                    </a:extLst>
                  </pic:spPr>
                </pic:pic>
              </a:graphicData>
            </a:graphic>
          </wp:inline>
        </w:drawing>
      </w:r>
    </w:p>
    <w:p w14:paraId="71B3FFFA" w14:textId="77777777" w:rsidR="00A37CB3" w:rsidRPr="005B1CCB" w:rsidRDefault="008C12CB" w:rsidP="008C12CB">
      <w:pPr>
        <w:pStyle w:val="Caption"/>
        <w:jc w:val="center"/>
        <w:rPr>
          <w:sz w:val="22"/>
          <w:szCs w:val="22"/>
        </w:rPr>
      </w:pPr>
      <w:bookmarkStart w:id="220" w:name="_Toc84519658"/>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63</w:t>
      </w:r>
      <w:r w:rsidRPr="005B1CCB">
        <w:rPr>
          <w:sz w:val="22"/>
          <w:szCs w:val="22"/>
        </w:rPr>
        <w:fldChar w:fldCharType="end"/>
      </w:r>
      <w:r w:rsidRPr="005B1CCB">
        <w:rPr>
          <w:sz w:val="22"/>
          <w:szCs w:val="22"/>
        </w:rPr>
        <w:t>:</w:t>
      </w:r>
      <w:r w:rsidRPr="005B1CCB">
        <w:t xml:space="preserve"> </w:t>
      </w:r>
      <w:r w:rsidR="004E76B5" w:rsidRPr="005B1CCB">
        <w:rPr>
          <w:sz w:val="22"/>
          <w:szCs w:val="22"/>
        </w:rPr>
        <w:t>One way ANOVA tests using the TUKEY test to determine the relationship between the peak current values obtained pG13D hybridisation measured using CV in</w:t>
      </w:r>
      <w:r w:rsidR="00A37CB3" w:rsidRPr="005B1CCB">
        <w:rPr>
          <w:sz w:val="22"/>
          <w:szCs w:val="22"/>
        </w:rPr>
        <w:t xml:space="preserve"> unamplified samples from</w:t>
      </w:r>
      <w:r w:rsidR="004E76B5" w:rsidRPr="005B1CCB">
        <w:rPr>
          <w:sz w:val="22"/>
          <w:szCs w:val="22"/>
        </w:rPr>
        <w:t xml:space="preserve"> patients 440, 459, 466 and 481</w:t>
      </w:r>
      <w:bookmarkEnd w:id="220"/>
    </w:p>
    <w:p w14:paraId="217016F4" w14:textId="77777777" w:rsidR="00251094" w:rsidRPr="005B1CCB" w:rsidRDefault="00251094" w:rsidP="00251094"/>
    <w:p w14:paraId="642D4F4D" w14:textId="77777777" w:rsidR="00C77E7C" w:rsidRDefault="001428FD" w:rsidP="00A73EF7">
      <w:pPr>
        <w:spacing w:line="360" w:lineRule="auto"/>
        <w:jc w:val="both"/>
        <w:rPr>
          <w:rFonts w:ascii="Palatino Linotype" w:hAnsi="Palatino Linotype"/>
          <w:sz w:val="24"/>
          <w:szCs w:val="24"/>
        </w:rPr>
      </w:pPr>
      <w:r w:rsidRPr="005B1CCB">
        <w:t xml:space="preserve">    </w:t>
      </w:r>
      <w:r w:rsidRPr="005B1CCB">
        <w:rPr>
          <w:rFonts w:ascii="Palatino Linotype" w:hAnsi="Palatino Linotype"/>
          <w:sz w:val="24"/>
          <w:szCs w:val="24"/>
        </w:rPr>
        <w:t>From the KRAS pG13D hybridisations, Figure 6</w:t>
      </w:r>
      <w:r w:rsidR="00251094" w:rsidRPr="005B1CCB">
        <w:rPr>
          <w:rFonts w:ascii="Palatino Linotype" w:hAnsi="Palatino Linotype"/>
          <w:sz w:val="24"/>
          <w:szCs w:val="24"/>
        </w:rPr>
        <w:t>3</w:t>
      </w:r>
      <w:r w:rsidRPr="005B1CCB">
        <w:rPr>
          <w:rFonts w:ascii="Palatino Linotype" w:hAnsi="Palatino Linotype"/>
          <w:sz w:val="24"/>
          <w:szCs w:val="24"/>
        </w:rPr>
        <w:t xml:space="preserve"> shows that the relationships between patients (466 and 481, 459 and 481, 459 and 466) were not significantly different. </w:t>
      </w:r>
      <w:r w:rsidR="00A73EF7" w:rsidRPr="005B1CCB">
        <w:rPr>
          <w:rFonts w:ascii="Palatino Linotype" w:hAnsi="Palatino Linotype"/>
          <w:sz w:val="24"/>
          <w:szCs w:val="24"/>
        </w:rPr>
        <w:t xml:space="preserve">It is expected that only 466 and 481 should not have shown any significant difference as both patients tested positive for the KRAS pG13D mutations. </w:t>
      </w:r>
      <w:r w:rsidR="009E0881" w:rsidRPr="005B1CCB">
        <w:rPr>
          <w:rFonts w:ascii="Palatino Linotype" w:hAnsi="Palatino Linotype"/>
          <w:sz w:val="24"/>
          <w:szCs w:val="24"/>
        </w:rPr>
        <w:t xml:space="preserve">High F-values showing the variability of repeated measurements taken on each sample and between all four samples is given as </w:t>
      </w:r>
      <w:r w:rsidR="00F61052" w:rsidRPr="005B1CCB">
        <w:rPr>
          <w:rFonts w:ascii="Palatino Linotype" w:hAnsi="Palatino Linotype"/>
          <w:sz w:val="24"/>
          <w:szCs w:val="24"/>
        </w:rPr>
        <w:t>22.084</w:t>
      </w:r>
      <w:r w:rsidR="009E0881" w:rsidRPr="005B1CCB">
        <w:rPr>
          <w:rFonts w:ascii="Palatino Linotype" w:hAnsi="Palatino Linotype"/>
          <w:sz w:val="24"/>
          <w:szCs w:val="24"/>
        </w:rPr>
        <w:t xml:space="preserve"> and </w:t>
      </w:r>
      <w:r w:rsidR="00F61052" w:rsidRPr="005B1CCB">
        <w:rPr>
          <w:rFonts w:ascii="Palatino Linotype" w:hAnsi="Palatino Linotype"/>
          <w:sz w:val="24"/>
          <w:szCs w:val="24"/>
        </w:rPr>
        <w:t>114.017</w:t>
      </w:r>
      <w:r w:rsidR="009E0881" w:rsidRPr="005B1CCB">
        <w:rPr>
          <w:rFonts w:ascii="Palatino Linotype" w:hAnsi="Palatino Linotype"/>
          <w:sz w:val="24"/>
          <w:szCs w:val="24"/>
        </w:rPr>
        <w:t xml:space="preserve"> respectively. </w:t>
      </w:r>
      <w:r w:rsidR="00A73EF7" w:rsidRPr="00C46733">
        <w:rPr>
          <w:rFonts w:ascii="Palatino Linotype" w:hAnsi="Palatino Linotype"/>
          <w:sz w:val="24"/>
          <w:szCs w:val="24"/>
        </w:rPr>
        <w:t>As these results were carried out on non-amplified samples, it is assumed that the false negatives occurred as a result of the wild-type DNA interference</w:t>
      </w:r>
      <w:r w:rsidR="00A73EF7" w:rsidRPr="005B1CCB">
        <w:rPr>
          <w:rFonts w:ascii="Palatino Linotype" w:hAnsi="Palatino Linotype"/>
          <w:sz w:val="24"/>
          <w:szCs w:val="24"/>
        </w:rPr>
        <w:t>.</w:t>
      </w:r>
    </w:p>
    <w:p w14:paraId="394833CF" w14:textId="77777777" w:rsidR="00B81ECB" w:rsidRDefault="00B81ECB" w:rsidP="00A73EF7">
      <w:pPr>
        <w:spacing w:line="360" w:lineRule="auto"/>
        <w:jc w:val="both"/>
        <w:rPr>
          <w:rFonts w:ascii="Palatino Linotype" w:hAnsi="Palatino Linotype"/>
          <w:sz w:val="24"/>
          <w:szCs w:val="24"/>
        </w:rPr>
      </w:pPr>
    </w:p>
    <w:p w14:paraId="21F86930" w14:textId="77777777" w:rsidR="00B81ECB" w:rsidRPr="005B1CCB" w:rsidRDefault="00B81ECB" w:rsidP="00A73EF7">
      <w:pPr>
        <w:spacing w:line="360" w:lineRule="auto"/>
        <w:jc w:val="both"/>
        <w:rPr>
          <w:rFonts w:ascii="Palatino Linotype" w:hAnsi="Palatino Linotype"/>
          <w:sz w:val="24"/>
          <w:szCs w:val="24"/>
        </w:rPr>
      </w:pPr>
    </w:p>
    <w:p w14:paraId="51E819DF" w14:textId="77777777" w:rsidR="00FB5E02" w:rsidRPr="005B1CCB" w:rsidRDefault="00A37CB3" w:rsidP="00441004">
      <w:pPr>
        <w:pStyle w:val="Heading3"/>
      </w:pPr>
      <w:bookmarkStart w:id="221" w:name="_Toc84528155"/>
      <w:r w:rsidRPr="005B1CCB">
        <w:t xml:space="preserve">ANOVA </w:t>
      </w:r>
      <w:r w:rsidR="00441004" w:rsidRPr="005B1CCB">
        <w:t>one</w:t>
      </w:r>
      <w:r w:rsidRPr="005B1CCB">
        <w:t>-</w:t>
      </w:r>
      <w:r w:rsidR="00441004" w:rsidRPr="005B1CCB">
        <w:t>way</w:t>
      </w:r>
      <w:r w:rsidRPr="005B1CCB">
        <w:t xml:space="preserve"> </w:t>
      </w:r>
      <w:r w:rsidR="00441004" w:rsidRPr="005B1CCB">
        <w:t>tests on amplified</w:t>
      </w:r>
      <w:r w:rsidRPr="005B1CCB">
        <w:t xml:space="preserve"> cfDNA </w:t>
      </w:r>
      <w:r w:rsidR="00441004" w:rsidRPr="005B1CCB">
        <w:t>samples</w:t>
      </w:r>
      <w:bookmarkEnd w:id="221"/>
    </w:p>
    <w:p w14:paraId="50356C22" w14:textId="77777777" w:rsidR="008C12CB" w:rsidRPr="005B1CCB" w:rsidRDefault="00A37CB3" w:rsidP="008C12CB">
      <w:pPr>
        <w:keepNext/>
        <w:spacing w:line="360" w:lineRule="auto"/>
        <w:jc w:val="center"/>
      </w:pPr>
      <w:r w:rsidRPr="005B1CCB">
        <w:rPr>
          <w:rFonts w:ascii="Palatino Linotype" w:hAnsi="Palatino Linotype"/>
          <w:b/>
          <w:noProof/>
          <w:sz w:val="24"/>
          <w:szCs w:val="24"/>
          <w:lang w:eastAsia="en-GB"/>
        </w:rPr>
        <w:drawing>
          <wp:inline distT="0" distB="0" distL="0" distR="0" wp14:anchorId="73ECFEBD" wp14:editId="65F59437">
            <wp:extent cx="4214192" cy="2802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0">
                      <a:extLst>
                        <a:ext uri="{28A0092B-C50C-407E-A947-70E740481C1C}">
                          <a14:useLocalDpi xmlns:a14="http://schemas.microsoft.com/office/drawing/2010/main" val="0"/>
                        </a:ext>
                      </a:extLst>
                    </a:blip>
                    <a:srcRect l="12560" b="10125"/>
                    <a:stretch/>
                  </pic:blipFill>
                  <pic:spPr bwMode="auto">
                    <a:xfrm>
                      <a:off x="0" y="0"/>
                      <a:ext cx="4279514" cy="2845691"/>
                    </a:xfrm>
                    <a:prstGeom prst="rect">
                      <a:avLst/>
                    </a:prstGeom>
                    <a:noFill/>
                    <a:ln>
                      <a:noFill/>
                    </a:ln>
                    <a:extLst>
                      <a:ext uri="{53640926-AAD7-44D8-BBD7-CCE9431645EC}">
                        <a14:shadowObscured xmlns:a14="http://schemas.microsoft.com/office/drawing/2010/main"/>
                      </a:ext>
                    </a:extLst>
                  </pic:spPr>
                </pic:pic>
              </a:graphicData>
            </a:graphic>
          </wp:inline>
        </w:drawing>
      </w:r>
    </w:p>
    <w:p w14:paraId="2C823250" w14:textId="77777777" w:rsidR="00A37CB3" w:rsidRPr="005B1CCB" w:rsidRDefault="008C12CB" w:rsidP="008C12CB">
      <w:pPr>
        <w:pStyle w:val="Caption"/>
        <w:jc w:val="center"/>
        <w:rPr>
          <w:sz w:val="22"/>
          <w:szCs w:val="22"/>
        </w:rPr>
      </w:pPr>
      <w:bookmarkStart w:id="222" w:name="_Toc84519659"/>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64</w:t>
      </w:r>
      <w:r w:rsidRPr="005B1CCB">
        <w:rPr>
          <w:sz w:val="22"/>
          <w:szCs w:val="22"/>
        </w:rPr>
        <w:fldChar w:fldCharType="end"/>
      </w:r>
      <w:r w:rsidRPr="005B1CCB">
        <w:rPr>
          <w:sz w:val="22"/>
          <w:szCs w:val="22"/>
        </w:rPr>
        <w:t>:</w:t>
      </w:r>
      <w:r w:rsidR="00A37CB3" w:rsidRPr="005B1CCB">
        <w:rPr>
          <w:sz w:val="22"/>
          <w:szCs w:val="22"/>
        </w:rPr>
        <w:t xml:space="preserve"> One way ANOVA tests using the TUKEY test to determine the relationship between the peak current values obtained pG12D hybridisation measured using CV in amplified samples from patients 440, 459, 466 and 481</w:t>
      </w:r>
      <w:bookmarkEnd w:id="222"/>
    </w:p>
    <w:p w14:paraId="19D0F85D" w14:textId="77777777" w:rsidR="00441004" w:rsidRPr="005B1CCB" w:rsidRDefault="00441004" w:rsidP="00441004"/>
    <w:p w14:paraId="00D4BE56" w14:textId="77777777" w:rsidR="00A73EF7" w:rsidRPr="005B1CCB" w:rsidRDefault="004742EA" w:rsidP="00C77E7C">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A73EF7" w:rsidRPr="005B1CCB">
        <w:rPr>
          <w:rFonts w:ascii="Palatino Linotype" w:hAnsi="Palatino Linotype"/>
          <w:sz w:val="24"/>
          <w:szCs w:val="24"/>
        </w:rPr>
        <w:t>From Figure 6</w:t>
      </w:r>
      <w:r w:rsidR="00251094" w:rsidRPr="005B1CCB">
        <w:rPr>
          <w:rFonts w:ascii="Palatino Linotype" w:hAnsi="Palatino Linotype"/>
          <w:sz w:val="24"/>
          <w:szCs w:val="24"/>
        </w:rPr>
        <w:t>4</w:t>
      </w:r>
      <w:r w:rsidR="00A73EF7" w:rsidRPr="005B1CCB">
        <w:rPr>
          <w:rFonts w:ascii="Palatino Linotype" w:hAnsi="Palatino Linotype"/>
          <w:sz w:val="24"/>
          <w:szCs w:val="24"/>
        </w:rPr>
        <w:t xml:space="preserve">, </w:t>
      </w:r>
      <w:r w:rsidR="00B81ECB">
        <w:rPr>
          <w:rFonts w:ascii="Palatino Linotype" w:hAnsi="Palatino Linotype"/>
          <w:sz w:val="24"/>
          <w:szCs w:val="24"/>
        </w:rPr>
        <w:t>n</w:t>
      </w:r>
      <w:r w:rsidR="00A73EF7" w:rsidRPr="005B1CCB">
        <w:rPr>
          <w:rFonts w:ascii="Palatino Linotype" w:hAnsi="Palatino Linotype"/>
          <w:sz w:val="24"/>
          <w:szCs w:val="24"/>
        </w:rPr>
        <w:t xml:space="preserve">o significant difference was observed between patients 440 and 481. This confirms the results observed after testing the samples using ddPCR as KRAS G12D was identified in both patients. </w:t>
      </w:r>
      <w:r w:rsidR="000665DA" w:rsidRPr="005B1CCB">
        <w:rPr>
          <w:rFonts w:ascii="Palatino Linotype" w:hAnsi="Palatino Linotype"/>
          <w:sz w:val="24"/>
          <w:szCs w:val="24"/>
        </w:rPr>
        <w:t>A significant difference was observed between patients 459 and 466. Again, this was not expected as both patients tested positive for the KRAS pG12D mutants and testing was done using amplified samples. F-values showing the variability of repeated measurements taken on each sample and between all four samples is given as 5.958 and 0.229 respectively. These values were low suggesting less variability in the measurements, and especially between the samples.</w:t>
      </w:r>
    </w:p>
    <w:p w14:paraId="7C96A5B5" w14:textId="77777777" w:rsidR="004D7764" w:rsidRPr="005B1CCB" w:rsidRDefault="00B01391" w:rsidP="004D7764">
      <w:pPr>
        <w:keepNext/>
        <w:spacing w:line="360" w:lineRule="auto"/>
        <w:jc w:val="center"/>
      </w:pPr>
      <w:r w:rsidRPr="005B1CCB">
        <w:rPr>
          <w:rFonts w:ascii="Palatino Linotype" w:hAnsi="Palatino Linotype"/>
          <w:b/>
          <w:noProof/>
          <w:sz w:val="24"/>
          <w:szCs w:val="24"/>
          <w:lang w:eastAsia="en-GB"/>
        </w:rPr>
        <w:drawing>
          <wp:inline distT="0" distB="0" distL="0" distR="0" wp14:anchorId="1943F00E" wp14:editId="5E5CF60B">
            <wp:extent cx="3876261" cy="29257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1">
                      <a:extLst>
                        <a:ext uri="{28A0092B-C50C-407E-A947-70E740481C1C}">
                          <a14:useLocalDpi xmlns:a14="http://schemas.microsoft.com/office/drawing/2010/main" val="0"/>
                        </a:ext>
                      </a:extLst>
                    </a:blip>
                    <a:srcRect l="12560" b="7594"/>
                    <a:stretch/>
                  </pic:blipFill>
                  <pic:spPr bwMode="auto">
                    <a:xfrm>
                      <a:off x="0" y="0"/>
                      <a:ext cx="3899153" cy="2943037"/>
                    </a:xfrm>
                    <a:prstGeom prst="rect">
                      <a:avLst/>
                    </a:prstGeom>
                    <a:noFill/>
                    <a:ln>
                      <a:noFill/>
                    </a:ln>
                    <a:extLst>
                      <a:ext uri="{53640926-AAD7-44D8-BBD7-CCE9431645EC}">
                        <a14:shadowObscured xmlns:a14="http://schemas.microsoft.com/office/drawing/2010/main"/>
                      </a:ext>
                    </a:extLst>
                  </pic:spPr>
                </pic:pic>
              </a:graphicData>
            </a:graphic>
          </wp:inline>
        </w:drawing>
      </w:r>
    </w:p>
    <w:p w14:paraId="3A600100" w14:textId="77777777" w:rsidR="00A37CB3" w:rsidRPr="005B1CCB" w:rsidRDefault="004D7764" w:rsidP="004D7764">
      <w:pPr>
        <w:pStyle w:val="Caption"/>
        <w:jc w:val="center"/>
        <w:rPr>
          <w:sz w:val="22"/>
          <w:szCs w:val="22"/>
        </w:rPr>
      </w:pPr>
      <w:bookmarkStart w:id="223" w:name="_Toc84519660"/>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65</w:t>
      </w:r>
      <w:r w:rsidRPr="005B1CCB">
        <w:rPr>
          <w:sz w:val="22"/>
          <w:szCs w:val="22"/>
        </w:rPr>
        <w:fldChar w:fldCharType="end"/>
      </w:r>
      <w:r w:rsidRPr="005B1CCB">
        <w:t xml:space="preserve">: </w:t>
      </w:r>
      <w:r w:rsidR="00B01391" w:rsidRPr="005B1CCB">
        <w:rPr>
          <w:sz w:val="22"/>
          <w:szCs w:val="22"/>
        </w:rPr>
        <w:t>One way ANOVA tests using the TUKEY test to determine the relationship between the peak current values obtained pG13D hybridisation measured using CV in amplified samples from patients 440, 459, 466 and 481</w:t>
      </w:r>
      <w:bookmarkEnd w:id="223"/>
    </w:p>
    <w:p w14:paraId="10131FC4" w14:textId="77777777" w:rsidR="000665DA" w:rsidRPr="005B1CCB" w:rsidRDefault="004742EA" w:rsidP="001428F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p>
    <w:p w14:paraId="48B64F9C" w14:textId="77777777" w:rsidR="001428FD" w:rsidRPr="005B1CCB" w:rsidRDefault="000665DA" w:rsidP="001428FD">
      <w:pPr>
        <w:spacing w:line="360" w:lineRule="auto"/>
        <w:jc w:val="both"/>
        <w:rPr>
          <w:rFonts w:ascii="Palatino Linotype" w:hAnsi="Palatino Linotype"/>
          <w:sz w:val="24"/>
          <w:szCs w:val="24"/>
        </w:rPr>
      </w:pPr>
      <w:r w:rsidRPr="005B1CCB">
        <w:rPr>
          <w:rFonts w:ascii="Palatino Linotype" w:hAnsi="Palatino Linotype"/>
          <w:sz w:val="24"/>
          <w:szCs w:val="24"/>
        </w:rPr>
        <w:t xml:space="preserve">   </w:t>
      </w:r>
      <w:r w:rsidR="00F127A2" w:rsidRPr="00C46733">
        <w:rPr>
          <w:rFonts w:ascii="Palatino Linotype" w:hAnsi="Palatino Linotype"/>
          <w:sz w:val="24"/>
          <w:szCs w:val="24"/>
        </w:rPr>
        <w:t>All the pair relationships, except (patients 466 and 481) observed in Figure 6</w:t>
      </w:r>
      <w:r w:rsidR="004742EA" w:rsidRPr="00C46733">
        <w:rPr>
          <w:rFonts w:ascii="Palatino Linotype" w:hAnsi="Palatino Linotype"/>
          <w:sz w:val="24"/>
          <w:szCs w:val="24"/>
        </w:rPr>
        <w:t>5</w:t>
      </w:r>
      <w:r w:rsidR="00F127A2" w:rsidRPr="00C46733">
        <w:rPr>
          <w:rFonts w:ascii="Palatino Linotype" w:hAnsi="Palatino Linotype"/>
          <w:sz w:val="24"/>
          <w:szCs w:val="24"/>
        </w:rPr>
        <w:t xml:space="preserve"> were expected to show no significant difference. </w:t>
      </w:r>
      <w:r w:rsidR="006D338A" w:rsidRPr="00C46733">
        <w:rPr>
          <w:rFonts w:ascii="Palatino Linotype" w:hAnsi="Palatino Linotype"/>
          <w:sz w:val="24"/>
          <w:szCs w:val="24"/>
        </w:rPr>
        <w:t xml:space="preserve">The interactions between patients (440 and 481, 466 and 481) indicates that the difference of means is significant at the 0.05 level. </w:t>
      </w:r>
      <w:r w:rsidRPr="00C46733">
        <w:rPr>
          <w:rFonts w:ascii="Palatino Linotype" w:hAnsi="Palatino Linotype"/>
          <w:sz w:val="24"/>
          <w:szCs w:val="24"/>
        </w:rPr>
        <w:t xml:space="preserve">F-values showing the variability of repeated measurements taken on each sample and between all four samples is given as 7.326 and 3.475 respectively. </w:t>
      </w:r>
      <w:r w:rsidR="00F127A2" w:rsidRPr="00C46733">
        <w:rPr>
          <w:rFonts w:ascii="Palatino Linotype" w:hAnsi="Palatino Linotype"/>
          <w:sz w:val="24"/>
          <w:szCs w:val="24"/>
        </w:rPr>
        <w:t>This result and t</w:t>
      </w:r>
      <w:r w:rsidR="001428FD" w:rsidRPr="00C46733">
        <w:rPr>
          <w:rFonts w:ascii="Palatino Linotype" w:hAnsi="Palatino Linotype"/>
          <w:sz w:val="24"/>
          <w:szCs w:val="24"/>
        </w:rPr>
        <w:t>he large error bars observed in all the results can be attributed to the high variation in all the electrodes used making it difficult to pull the analytical signals out. This can be mitigated in the future by producing electrodes in house to reduce variation and improve resolution of the analytical signal.</w:t>
      </w:r>
    </w:p>
    <w:p w14:paraId="1518F05C" w14:textId="2C69DC97" w:rsidR="00441004" w:rsidRDefault="00441004" w:rsidP="001428FD">
      <w:pPr>
        <w:spacing w:line="360" w:lineRule="auto"/>
        <w:jc w:val="both"/>
        <w:rPr>
          <w:rFonts w:ascii="Palatino Linotype" w:hAnsi="Palatino Linotype"/>
          <w:sz w:val="24"/>
          <w:szCs w:val="24"/>
        </w:rPr>
      </w:pPr>
    </w:p>
    <w:p w14:paraId="74405AC7" w14:textId="63E780E6" w:rsidR="00AE736A" w:rsidRDefault="00AE736A" w:rsidP="001428FD">
      <w:pPr>
        <w:spacing w:line="360" w:lineRule="auto"/>
        <w:jc w:val="both"/>
        <w:rPr>
          <w:rFonts w:ascii="Palatino Linotype" w:hAnsi="Palatino Linotype"/>
          <w:sz w:val="24"/>
          <w:szCs w:val="24"/>
        </w:rPr>
      </w:pPr>
    </w:p>
    <w:p w14:paraId="4348D417" w14:textId="77777777" w:rsidR="00AE736A" w:rsidRPr="005B1CCB" w:rsidRDefault="00AE736A" w:rsidP="001428FD">
      <w:pPr>
        <w:spacing w:line="360" w:lineRule="auto"/>
        <w:jc w:val="both"/>
        <w:rPr>
          <w:rFonts w:ascii="Palatino Linotype" w:hAnsi="Palatino Linotype"/>
          <w:sz w:val="24"/>
          <w:szCs w:val="24"/>
        </w:rPr>
      </w:pPr>
    </w:p>
    <w:p w14:paraId="78C9C758" w14:textId="77777777" w:rsidR="000D66C6" w:rsidRPr="005B1CCB" w:rsidRDefault="000D66C6" w:rsidP="00441004">
      <w:pPr>
        <w:pStyle w:val="Heading3"/>
      </w:pPr>
      <w:bookmarkStart w:id="224" w:name="_Toc84528156"/>
      <w:r w:rsidRPr="005B1CCB">
        <w:t xml:space="preserve">ANOVA </w:t>
      </w:r>
      <w:r w:rsidR="00441004" w:rsidRPr="005B1CCB">
        <w:t>two-way tests on unamplified and amplified samples</w:t>
      </w:r>
      <w:bookmarkEnd w:id="224"/>
    </w:p>
    <w:p w14:paraId="6FF17792" w14:textId="77777777" w:rsidR="000D66C6" w:rsidRPr="005B1CCB" w:rsidRDefault="000D66C6" w:rsidP="004122B1">
      <w:pPr>
        <w:spacing w:line="360" w:lineRule="auto"/>
        <w:jc w:val="both"/>
        <w:rPr>
          <w:rFonts w:ascii="Palatino Linotype" w:hAnsi="Palatino Linotype"/>
          <w:sz w:val="24"/>
          <w:szCs w:val="24"/>
          <w:lang w:bidi="en-US"/>
        </w:rPr>
      </w:pPr>
      <w:r w:rsidRPr="005B1CCB">
        <w:rPr>
          <w:rFonts w:ascii="Palatino Linotype" w:hAnsi="Palatino Linotype"/>
          <w:sz w:val="24"/>
          <w:szCs w:val="24"/>
        </w:rPr>
        <w:t xml:space="preserve">   </w:t>
      </w:r>
      <w:r w:rsidR="00717922" w:rsidRPr="005B1CCB">
        <w:rPr>
          <w:rFonts w:ascii="Palatino Linotype" w:hAnsi="Palatino Linotype"/>
          <w:sz w:val="24"/>
          <w:szCs w:val="24"/>
        </w:rPr>
        <w:t>A two-way ANOVA statistical test was used to determine how the mean of patient</w:t>
      </w:r>
      <w:r w:rsidR="004122B1" w:rsidRPr="005B1CCB">
        <w:rPr>
          <w:rFonts w:ascii="Palatino Linotype" w:hAnsi="Palatino Linotype"/>
          <w:sz w:val="24"/>
          <w:szCs w:val="24"/>
        </w:rPr>
        <w:t xml:space="preserve"> samples</w:t>
      </w:r>
      <w:r w:rsidR="00717922" w:rsidRPr="005B1CCB">
        <w:rPr>
          <w:rFonts w:ascii="Palatino Linotype" w:hAnsi="Palatino Linotype"/>
          <w:sz w:val="24"/>
          <w:szCs w:val="24"/>
        </w:rPr>
        <w:t xml:space="preserve"> 440,</w:t>
      </w:r>
      <w:r w:rsidR="004122B1" w:rsidRPr="005B1CCB">
        <w:rPr>
          <w:rFonts w:ascii="Palatino Linotype" w:hAnsi="Palatino Linotype"/>
          <w:sz w:val="24"/>
          <w:szCs w:val="24"/>
        </w:rPr>
        <w:t xml:space="preserve"> </w:t>
      </w:r>
      <w:r w:rsidR="00717922" w:rsidRPr="005B1CCB">
        <w:rPr>
          <w:rFonts w:ascii="Palatino Linotype" w:hAnsi="Palatino Linotype"/>
          <w:sz w:val="24"/>
          <w:szCs w:val="24"/>
        </w:rPr>
        <w:t>459, 466 and 481 change</w:t>
      </w:r>
      <w:r w:rsidR="004122B1" w:rsidRPr="005B1CCB">
        <w:rPr>
          <w:rFonts w:ascii="Palatino Linotype" w:hAnsi="Palatino Linotype"/>
          <w:sz w:val="24"/>
          <w:szCs w:val="24"/>
        </w:rPr>
        <w:t>d</w:t>
      </w:r>
      <w:r w:rsidR="00717922" w:rsidRPr="005B1CCB">
        <w:rPr>
          <w:rFonts w:ascii="Palatino Linotype" w:hAnsi="Palatino Linotype"/>
          <w:sz w:val="24"/>
          <w:szCs w:val="24"/>
        </w:rPr>
        <w:t xml:space="preserve"> according to the levels of two categorical variables (Unamplified and Amplified cfD</w:t>
      </w:r>
      <w:r w:rsidR="00DB335A" w:rsidRPr="005B1CCB">
        <w:rPr>
          <w:rFonts w:ascii="Palatino Linotype" w:hAnsi="Palatino Linotype"/>
          <w:sz w:val="24"/>
          <w:szCs w:val="24"/>
        </w:rPr>
        <w:t>NA samples for the four patient samples in the sub-study group</w:t>
      </w:r>
      <w:r w:rsidR="00717922" w:rsidRPr="005B1CCB">
        <w:rPr>
          <w:rFonts w:ascii="Palatino Linotype" w:hAnsi="Palatino Linotype"/>
          <w:sz w:val="24"/>
          <w:szCs w:val="24"/>
        </w:rPr>
        <w:t xml:space="preserve">). </w:t>
      </w:r>
      <w:r w:rsidRPr="005B1CCB">
        <w:rPr>
          <w:rFonts w:ascii="Palatino Linotype" w:hAnsi="Palatino Linotype"/>
          <w:sz w:val="24"/>
          <w:szCs w:val="24"/>
        </w:rPr>
        <w:t xml:space="preserve">At the 0.05 level for both CV and SWV measurements for the KRAS pG12D and pG13D hybridisation on patients 440, 459, 466 and 481, the population means of both the DNA targets and patient IDs are significantly different and the interaction between the DNA targets and </w:t>
      </w:r>
      <w:r w:rsidR="001E32B9" w:rsidRPr="005B1CCB">
        <w:rPr>
          <w:rFonts w:ascii="Palatino Linotype" w:hAnsi="Palatino Linotype"/>
          <w:sz w:val="24"/>
          <w:szCs w:val="24"/>
        </w:rPr>
        <w:t xml:space="preserve">all the </w:t>
      </w:r>
      <w:r w:rsidRPr="005B1CCB">
        <w:rPr>
          <w:rFonts w:ascii="Palatino Linotype" w:hAnsi="Palatino Linotype"/>
          <w:sz w:val="24"/>
          <w:szCs w:val="24"/>
        </w:rPr>
        <w:t xml:space="preserve">patient </w:t>
      </w:r>
      <w:r w:rsidR="001E32B9" w:rsidRPr="005B1CCB">
        <w:rPr>
          <w:rFonts w:ascii="Palatino Linotype" w:hAnsi="Palatino Linotype"/>
          <w:sz w:val="24"/>
          <w:szCs w:val="24"/>
        </w:rPr>
        <w:t xml:space="preserve">(440, 459, 466 and 481) </w:t>
      </w:r>
      <w:r w:rsidRPr="005B1CCB">
        <w:rPr>
          <w:rFonts w:ascii="Palatino Linotype" w:hAnsi="Palatino Linotype"/>
          <w:sz w:val="24"/>
          <w:szCs w:val="24"/>
        </w:rPr>
        <w:t xml:space="preserve">is significant </w:t>
      </w:r>
      <w:r w:rsidRPr="005B1CCB">
        <w:rPr>
          <w:rFonts w:ascii="Palatino Linotype" w:hAnsi="Palatino Linotype"/>
          <w:sz w:val="24"/>
          <w:szCs w:val="24"/>
          <w:lang w:bidi="en-US"/>
        </w:rPr>
        <w:t>(Figures 6</w:t>
      </w:r>
      <w:r w:rsidR="009F4D8D" w:rsidRPr="005B1CCB">
        <w:rPr>
          <w:rFonts w:ascii="Palatino Linotype" w:hAnsi="Palatino Linotype"/>
          <w:sz w:val="24"/>
          <w:szCs w:val="24"/>
          <w:lang w:bidi="en-US"/>
        </w:rPr>
        <w:t>6</w:t>
      </w:r>
      <w:r w:rsidRPr="005B1CCB">
        <w:rPr>
          <w:rFonts w:ascii="Palatino Linotype" w:hAnsi="Palatino Linotype"/>
          <w:sz w:val="24"/>
          <w:szCs w:val="24"/>
          <w:lang w:bidi="en-US"/>
        </w:rPr>
        <w:t xml:space="preserve"> – 6</w:t>
      </w:r>
      <w:r w:rsidR="009F4D8D" w:rsidRPr="005B1CCB">
        <w:rPr>
          <w:rFonts w:ascii="Palatino Linotype" w:hAnsi="Palatino Linotype"/>
          <w:sz w:val="24"/>
          <w:szCs w:val="24"/>
          <w:lang w:bidi="en-US"/>
        </w:rPr>
        <w:t>9</w:t>
      </w:r>
      <w:r w:rsidRPr="005B1CCB">
        <w:rPr>
          <w:rFonts w:ascii="Palatino Linotype" w:hAnsi="Palatino Linotype"/>
          <w:sz w:val="24"/>
          <w:szCs w:val="24"/>
          <w:lang w:bidi="en-US"/>
        </w:rPr>
        <w:t>)</w:t>
      </w:r>
      <w:r w:rsidRPr="005B1CCB">
        <w:rPr>
          <w:rFonts w:ascii="Palatino Linotype" w:hAnsi="Palatino Linotype"/>
          <w:sz w:val="24"/>
          <w:szCs w:val="24"/>
        </w:rPr>
        <w:t>.</w:t>
      </w:r>
      <w:r w:rsidR="001E32B9" w:rsidRPr="005B1CCB">
        <w:rPr>
          <w:rFonts w:ascii="Palatino Linotype" w:hAnsi="Palatino Linotype"/>
          <w:sz w:val="24"/>
          <w:szCs w:val="24"/>
        </w:rPr>
        <w:t xml:space="preserve"> </w:t>
      </w:r>
    </w:p>
    <w:p w14:paraId="1D851EF1" w14:textId="77777777" w:rsidR="004D7764" w:rsidRPr="005B1CCB" w:rsidRDefault="00C953AD" w:rsidP="004D7764">
      <w:pPr>
        <w:keepNext/>
        <w:jc w:val="center"/>
      </w:pPr>
      <w:r w:rsidRPr="005B1CCB">
        <w:rPr>
          <w:noProof/>
          <w:lang w:eastAsia="en-GB"/>
        </w:rPr>
        <w:drawing>
          <wp:inline distT="0" distB="0" distL="0" distR="0" wp14:anchorId="2F57DD3D" wp14:editId="58CF2D73">
            <wp:extent cx="5250120" cy="3424173"/>
            <wp:effectExtent l="0" t="0" r="8255"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BEBA8EAE-BF5A-486C-A8C5-ECC9F3942E4B}">
                          <a14:imgProps xmlns:a14="http://schemas.microsoft.com/office/drawing/2010/main">
                            <a14:imgLayer r:embed="rId93">
                              <a14:imgEffect>
                                <a14:sharpenSoften amount="31000"/>
                              </a14:imgEffect>
                            </a14:imgLayer>
                          </a14:imgProps>
                        </a:ext>
                      </a:extLst>
                    </a:blip>
                    <a:srcRect t="8032"/>
                    <a:stretch/>
                  </pic:blipFill>
                  <pic:spPr bwMode="auto">
                    <a:xfrm>
                      <a:off x="0" y="0"/>
                      <a:ext cx="5282854" cy="3445522"/>
                    </a:xfrm>
                    <a:prstGeom prst="rect">
                      <a:avLst/>
                    </a:prstGeom>
                    <a:ln>
                      <a:noFill/>
                    </a:ln>
                    <a:extLst>
                      <a:ext uri="{53640926-AAD7-44D8-BBD7-CCE9431645EC}">
                        <a14:shadowObscured xmlns:a14="http://schemas.microsoft.com/office/drawing/2010/main"/>
                      </a:ext>
                    </a:extLst>
                  </pic:spPr>
                </pic:pic>
              </a:graphicData>
            </a:graphic>
          </wp:inline>
        </w:drawing>
      </w:r>
    </w:p>
    <w:p w14:paraId="1700C39E" w14:textId="77777777" w:rsidR="00C953AD" w:rsidRPr="005B1CCB" w:rsidRDefault="004D7764" w:rsidP="004D7764">
      <w:pPr>
        <w:pStyle w:val="Caption"/>
        <w:jc w:val="center"/>
        <w:rPr>
          <w:sz w:val="22"/>
          <w:szCs w:val="22"/>
        </w:rPr>
      </w:pPr>
      <w:bookmarkStart w:id="225" w:name="_Toc84519661"/>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66</w:t>
      </w:r>
      <w:r w:rsidRPr="005B1CCB">
        <w:rPr>
          <w:sz w:val="22"/>
          <w:szCs w:val="22"/>
        </w:rPr>
        <w:fldChar w:fldCharType="end"/>
      </w:r>
      <w:r w:rsidRPr="005B1CCB">
        <w:rPr>
          <w:sz w:val="22"/>
          <w:szCs w:val="22"/>
        </w:rPr>
        <w:t>:</w:t>
      </w:r>
      <w:r w:rsidRPr="005B1CCB">
        <w:t xml:space="preserve"> </w:t>
      </w:r>
      <w:r w:rsidR="00C505FF" w:rsidRPr="005B1CCB">
        <w:rPr>
          <w:sz w:val="22"/>
          <w:szCs w:val="22"/>
        </w:rPr>
        <w:t>ANOVA two-way test showing CV interactions between unamplified and amplified cfDNA targets using KRAS pG12D mutant probe</w:t>
      </w:r>
      <w:bookmarkEnd w:id="225"/>
    </w:p>
    <w:p w14:paraId="135D437E" w14:textId="77777777" w:rsidR="004D7764" w:rsidRPr="005B1CCB" w:rsidRDefault="00734DDE" w:rsidP="004D7764">
      <w:pPr>
        <w:keepNext/>
        <w:jc w:val="center"/>
      </w:pPr>
      <w:r w:rsidRPr="005B1CCB">
        <w:rPr>
          <w:rFonts w:ascii="Palatino Linotype" w:hAnsi="Palatino Linotype"/>
          <w:noProof/>
          <w:sz w:val="24"/>
          <w:szCs w:val="24"/>
          <w:lang w:eastAsia="en-GB"/>
        </w:rPr>
        <w:drawing>
          <wp:inline distT="0" distB="0" distL="0" distR="0" wp14:anchorId="1F0F68C6" wp14:editId="2D333F29">
            <wp:extent cx="5925477" cy="3478696"/>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4">
                      <a:extLst>
                        <a:ext uri="{28A0092B-C50C-407E-A947-70E740481C1C}">
                          <a14:useLocalDpi xmlns:a14="http://schemas.microsoft.com/office/drawing/2010/main" val="0"/>
                        </a:ext>
                      </a:extLst>
                    </a:blip>
                    <a:srcRect l="3089" t="13358" r="9366" b="6188"/>
                    <a:stretch/>
                  </pic:blipFill>
                  <pic:spPr bwMode="auto">
                    <a:xfrm>
                      <a:off x="0" y="0"/>
                      <a:ext cx="5981797" cy="3511760"/>
                    </a:xfrm>
                    <a:prstGeom prst="rect">
                      <a:avLst/>
                    </a:prstGeom>
                    <a:noFill/>
                    <a:ln>
                      <a:noFill/>
                    </a:ln>
                    <a:extLst>
                      <a:ext uri="{53640926-AAD7-44D8-BBD7-CCE9431645EC}">
                        <a14:shadowObscured xmlns:a14="http://schemas.microsoft.com/office/drawing/2010/main"/>
                      </a:ext>
                    </a:extLst>
                  </pic:spPr>
                </pic:pic>
              </a:graphicData>
            </a:graphic>
          </wp:inline>
        </w:drawing>
      </w:r>
    </w:p>
    <w:p w14:paraId="7BF2E9FF" w14:textId="77777777" w:rsidR="00734DDE" w:rsidRPr="005B1CCB" w:rsidRDefault="004D7764" w:rsidP="004D7764">
      <w:pPr>
        <w:pStyle w:val="Caption"/>
        <w:jc w:val="center"/>
      </w:pPr>
      <w:bookmarkStart w:id="226" w:name="_Toc84519662"/>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67</w:t>
      </w:r>
      <w:r w:rsidRPr="005B1CCB">
        <w:rPr>
          <w:sz w:val="22"/>
          <w:szCs w:val="22"/>
        </w:rPr>
        <w:fldChar w:fldCharType="end"/>
      </w:r>
      <w:r w:rsidRPr="005B1CCB">
        <w:rPr>
          <w:sz w:val="22"/>
          <w:szCs w:val="22"/>
        </w:rPr>
        <w:t>:</w:t>
      </w:r>
      <w:r w:rsidRPr="005B1CCB">
        <w:t xml:space="preserve"> </w:t>
      </w:r>
      <w:r w:rsidR="00734DDE" w:rsidRPr="005B1CCB">
        <w:rPr>
          <w:sz w:val="22"/>
          <w:szCs w:val="22"/>
        </w:rPr>
        <w:t>ANOVA two-way test showing SWV interactions between unamplified and amplified cfDNA targets using KRAS pG12D mutant probe</w:t>
      </w:r>
      <w:bookmarkEnd w:id="226"/>
    </w:p>
    <w:p w14:paraId="3107E8CE" w14:textId="77777777" w:rsidR="008B592C" w:rsidRPr="005B1CCB" w:rsidRDefault="006819CE" w:rsidP="008B592C">
      <w:pPr>
        <w:keepNext/>
        <w:jc w:val="center"/>
      </w:pPr>
      <w:r w:rsidRPr="005B1CCB">
        <w:rPr>
          <w:rFonts w:ascii="Palatino Linotype" w:hAnsi="Palatino Linotype"/>
          <w:noProof/>
          <w:sz w:val="24"/>
          <w:szCs w:val="24"/>
          <w:lang w:eastAsia="en-GB"/>
        </w:rPr>
        <w:drawing>
          <wp:inline distT="0" distB="0" distL="0" distR="0" wp14:anchorId="220AC975" wp14:editId="12DF64E0">
            <wp:extent cx="5876818" cy="3693859"/>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5">
                      <a:extLst>
                        <a:ext uri="{28A0092B-C50C-407E-A947-70E740481C1C}">
                          <a14:useLocalDpi xmlns:a14="http://schemas.microsoft.com/office/drawing/2010/main" val="0"/>
                        </a:ext>
                      </a:extLst>
                    </a:blip>
                    <a:srcRect l="1962" t="13445" r="9181" b="6313"/>
                    <a:stretch/>
                  </pic:blipFill>
                  <pic:spPr bwMode="auto">
                    <a:xfrm>
                      <a:off x="0" y="0"/>
                      <a:ext cx="5890614" cy="3702530"/>
                    </a:xfrm>
                    <a:prstGeom prst="rect">
                      <a:avLst/>
                    </a:prstGeom>
                    <a:noFill/>
                    <a:ln>
                      <a:noFill/>
                    </a:ln>
                    <a:extLst>
                      <a:ext uri="{53640926-AAD7-44D8-BBD7-CCE9431645EC}">
                        <a14:shadowObscured xmlns:a14="http://schemas.microsoft.com/office/drawing/2010/main"/>
                      </a:ext>
                    </a:extLst>
                  </pic:spPr>
                </pic:pic>
              </a:graphicData>
            </a:graphic>
          </wp:inline>
        </w:drawing>
      </w:r>
    </w:p>
    <w:p w14:paraId="177AE268" w14:textId="77777777" w:rsidR="00163D69" w:rsidRPr="005B1CCB" w:rsidRDefault="008B592C" w:rsidP="008B592C">
      <w:pPr>
        <w:pStyle w:val="Caption"/>
        <w:jc w:val="center"/>
        <w:rPr>
          <w:sz w:val="22"/>
          <w:szCs w:val="22"/>
        </w:rPr>
      </w:pPr>
      <w:bookmarkStart w:id="227" w:name="_Toc84519663"/>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68</w:t>
      </w:r>
      <w:r w:rsidRPr="005B1CCB">
        <w:rPr>
          <w:sz w:val="22"/>
          <w:szCs w:val="22"/>
        </w:rPr>
        <w:fldChar w:fldCharType="end"/>
      </w:r>
      <w:r w:rsidRPr="005B1CCB">
        <w:rPr>
          <w:sz w:val="22"/>
          <w:szCs w:val="22"/>
        </w:rPr>
        <w:t>:</w:t>
      </w:r>
      <w:r w:rsidRPr="005B1CCB">
        <w:t xml:space="preserve"> </w:t>
      </w:r>
      <w:r w:rsidR="006819CE" w:rsidRPr="005B1CCB">
        <w:rPr>
          <w:sz w:val="22"/>
          <w:szCs w:val="22"/>
        </w:rPr>
        <w:t>ANOVA two-way test showing CV interactions between unamplified and amplified cfDNA targets using KRAS pG13D mutant probe</w:t>
      </w:r>
      <w:bookmarkEnd w:id="227"/>
    </w:p>
    <w:p w14:paraId="604C72C4" w14:textId="77777777" w:rsidR="009F4D8D" w:rsidRPr="005B1CCB" w:rsidRDefault="009F4D8D" w:rsidP="009F4D8D"/>
    <w:p w14:paraId="6FDBB1E0" w14:textId="77777777" w:rsidR="008B592C" w:rsidRPr="005B1CCB" w:rsidRDefault="00377D98" w:rsidP="008B592C">
      <w:pPr>
        <w:keepNext/>
        <w:jc w:val="center"/>
      </w:pPr>
      <w:r w:rsidRPr="005B1CCB">
        <w:rPr>
          <w:rFonts w:ascii="Palatino Linotype" w:hAnsi="Palatino Linotype"/>
          <w:noProof/>
          <w:sz w:val="24"/>
          <w:szCs w:val="24"/>
          <w:lang w:eastAsia="en-GB"/>
        </w:rPr>
        <w:drawing>
          <wp:inline distT="0" distB="0" distL="0" distR="0" wp14:anchorId="1F2D90E9" wp14:editId="321D0294">
            <wp:extent cx="5823636" cy="3694266"/>
            <wp:effectExtent l="0" t="0" r="571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6">
                      <a:extLst>
                        <a:ext uri="{28A0092B-C50C-407E-A947-70E740481C1C}">
                          <a14:useLocalDpi xmlns:a14="http://schemas.microsoft.com/office/drawing/2010/main" val="0"/>
                        </a:ext>
                      </a:extLst>
                    </a:blip>
                    <a:srcRect l="2451" t="13641" r="9353" b="5979"/>
                    <a:stretch/>
                  </pic:blipFill>
                  <pic:spPr bwMode="auto">
                    <a:xfrm>
                      <a:off x="0" y="0"/>
                      <a:ext cx="5843922" cy="3707135"/>
                    </a:xfrm>
                    <a:prstGeom prst="rect">
                      <a:avLst/>
                    </a:prstGeom>
                    <a:noFill/>
                    <a:ln>
                      <a:noFill/>
                    </a:ln>
                    <a:extLst>
                      <a:ext uri="{53640926-AAD7-44D8-BBD7-CCE9431645EC}">
                        <a14:shadowObscured xmlns:a14="http://schemas.microsoft.com/office/drawing/2010/main"/>
                      </a:ext>
                    </a:extLst>
                  </pic:spPr>
                </pic:pic>
              </a:graphicData>
            </a:graphic>
          </wp:inline>
        </w:drawing>
      </w:r>
    </w:p>
    <w:p w14:paraId="5A43D50F" w14:textId="77777777" w:rsidR="004122B1" w:rsidRPr="005B1CCB" w:rsidRDefault="008B592C" w:rsidP="00701B05">
      <w:pPr>
        <w:pStyle w:val="Caption"/>
        <w:jc w:val="center"/>
        <w:rPr>
          <w:sz w:val="22"/>
          <w:szCs w:val="22"/>
        </w:rPr>
      </w:pPr>
      <w:bookmarkStart w:id="228" w:name="_Toc84519664"/>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69</w:t>
      </w:r>
      <w:r w:rsidRPr="005B1CCB">
        <w:rPr>
          <w:sz w:val="22"/>
          <w:szCs w:val="22"/>
        </w:rPr>
        <w:fldChar w:fldCharType="end"/>
      </w:r>
      <w:r w:rsidRPr="005B1CCB">
        <w:rPr>
          <w:sz w:val="22"/>
          <w:szCs w:val="22"/>
        </w:rPr>
        <w:t>:</w:t>
      </w:r>
      <w:r w:rsidR="00377D98" w:rsidRPr="005B1CCB">
        <w:rPr>
          <w:sz w:val="22"/>
          <w:szCs w:val="22"/>
        </w:rPr>
        <w:t xml:space="preserve"> ANOVA two-way test showing SWV interactions between unamplified and amplified cfDNA targets using KRAS pG13D mutant probe</w:t>
      </w:r>
      <w:bookmarkEnd w:id="228"/>
    </w:p>
    <w:p w14:paraId="775195DC" w14:textId="77777777" w:rsidR="00B81ECB" w:rsidRDefault="004122B1" w:rsidP="004122B1">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p>
    <w:p w14:paraId="0FEF0AF7" w14:textId="2F55001C" w:rsidR="004122B1" w:rsidRPr="005B1CCB" w:rsidRDefault="00B81ECB" w:rsidP="004122B1">
      <w:pPr>
        <w:spacing w:line="360" w:lineRule="auto"/>
        <w:jc w:val="both"/>
        <w:rPr>
          <w:rFonts w:ascii="Palatino Linotype" w:hAnsi="Palatino Linotype"/>
          <w:sz w:val="24"/>
          <w:szCs w:val="24"/>
          <w:lang w:bidi="en-US"/>
        </w:rPr>
      </w:pPr>
      <w:r>
        <w:rPr>
          <w:rFonts w:ascii="Palatino Linotype" w:hAnsi="Palatino Linotype"/>
          <w:sz w:val="24"/>
          <w:szCs w:val="24"/>
          <w:lang w:bidi="en-US"/>
        </w:rPr>
        <w:t xml:space="preserve">    </w:t>
      </w:r>
      <w:r w:rsidR="004122B1" w:rsidRPr="005B1CCB">
        <w:rPr>
          <w:rFonts w:ascii="Palatino Linotype" w:hAnsi="Palatino Linotype"/>
          <w:sz w:val="24"/>
          <w:szCs w:val="24"/>
        </w:rPr>
        <w:t>A closer interaction between unamplified and amplified samples is noted between patient samples 440 and 459 using both CV and SWV. For the pG12D hybridisation, all experiments show significant changes for the mutated samples 466 and 481 following amplification and detection. The pG12D positive sample (440) does not increase</w:t>
      </w:r>
      <w:r w:rsidR="007A07A1">
        <w:rPr>
          <w:rFonts w:ascii="Palatino Linotype" w:hAnsi="Palatino Linotype"/>
          <w:sz w:val="24"/>
          <w:szCs w:val="24"/>
        </w:rPr>
        <w:t>,</w:t>
      </w:r>
      <w:r w:rsidR="004122B1" w:rsidRPr="005B1CCB">
        <w:rPr>
          <w:rFonts w:ascii="Palatino Linotype" w:hAnsi="Palatino Linotype"/>
          <w:sz w:val="24"/>
          <w:szCs w:val="24"/>
        </w:rPr>
        <w:t xml:space="preserve"> giving a false negative result. For both pG12D and pG13D hybridisation, the negative patient sample (459) does not significantly change also giving a false negative result.</w:t>
      </w:r>
    </w:p>
    <w:p w14:paraId="60846AE3" w14:textId="77777777" w:rsidR="00700CE1" w:rsidRPr="005B1CCB" w:rsidRDefault="004122B1" w:rsidP="00700CE1">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C857B6" w:rsidRPr="005B1CCB">
        <w:rPr>
          <w:rFonts w:ascii="Palatino Linotype" w:hAnsi="Palatino Linotype"/>
          <w:sz w:val="24"/>
          <w:szCs w:val="24"/>
          <w:lang w:bidi="en-US"/>
        </w:rPr>
        <w:t>These results provide some early stage findings that it might be possible to detect post-amplification changes in electrochemical signal which could be diagnostically useful for revealing the presence of the mutational changes. There are some severe limitations in this early stage work which will be discussed in the following section.</w:t>
      </w:r>
    </w:p>
    <w:p w14:paraId="53057967" w14:textId="77777777" w:rsidR="00701B05" w:rsidRPr="005B1CCB" w:rsidRDefault="00701B05" w:rsidP="00700CE1">
      <w:pPr>
        <w:spacing w:line="360" w:lineRule="auto"/>
        <w:jc w:val="both"/>
        <w:rPr>
          <w:rFonts w:ascii="Palatino Linotype" w:hAnsi="Palatino Linotype"/>
          <w:sz w:val="24"/>
          <w:szCs w:val="24"/>
          <w:lang w:bidi="en-US"/>
        </w:rPr>
      </w:pPr>
    </w:p>
    <w:p w14:paraId="140F56B0" w14:textId="5BDE75F9" w:rsidR="003815F1" w:rsidRPr="005B1CCB" w:rsidRDefault="003815F1" w:rsidP="00492F11"/>
    <w:p w14:paraId="2B7D517D" w14:textId="7F1F1C14" w:rsidR="00B551CD" w:rsidRPr="005B1CCB" w:rsidRDefault="00B551CD" w:rsidP="00391B4A">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307F1C" w:rsidRPr="005B1CCB">
        <w:rPr>
          <w:rFonts w:ascii="Palatino Linotype" w:hAnsi="Palatino Linotype"/>
          <w:sz w:val="24"/>
          <w:szCs w:val="24"/>
          <w:lang w:bidi="en-US"/>
        </w:rPr>
        <w:t>The results presented in th</w:t>
      </w:r>
      <w:r w:rsidR="001D4586" w:rsidRPr="005B1CCB">
        <w:rPr>
          <w:rFonts w:ascii="Palatino Linotype" w:hAnsi="Palatino Linotype"/>
          <w:sz w:val="24"/>
          <w:szCs w:val="24"/>
          <w:lang w:bidi="en-US"/>
        </w:rPr>
        <w:t xml:space="preserve">is section </w:t>
      </w:r>
      <w:r w:rsidR="00307F1C" w:rsidRPr="005B1CCB">
        <w:rPr>
          <w:rFonts w:ascii="Palatino Linotype" w:hAnsi="Palatino Linotype"/>
          <w:sz w:val="24"/>
          <w:szCs w:val="24"/>
          <w:lang w:bidi="en-US"/>
        </w:rPr>
        <w:t xml:space="preserve">show the systematic development of a sensitive and specific electrochemical hybridisation assay using real patient samples. </w:t>
      </w:r>
      <w:r w:rsidRPr="005B1CCB">
        <w:rPr>
          <w:rFonts w:ascii="Palatino Linotype" w:hAnsi="Palatino Linotype"/>
          <w:sz w:val="24"/>
          <w:szCs w:val="24"/>
          <w:lang w:bidi="en-US"/>
        </w:rPr>
        <w:t xml:space="preserve">Control experiments were conducted using non-specific sequences of DNA. </w:t>
      </w:r>
      <w:r w:rsidRPr="00C46733">
        <w:rPr>
          <w:rFonts w:ascii="Palatino Linotype" w:hAnsi="Palatino Linotype"/>
          <w:sz w:val="24"/>
          <w:szCs w:val="24"/>
          <w:lang w:bidi="en-US"/>
        </w:rPr>
        <w:t>Although error for each measurement was accounted for, significant signal changes observed in the multi SPCE and multi CNT-modified SPCE might have been due to cross-hybridisation</w:t>
      </w:r>
      <w:r w:rsidR="00701B05" w:rsidRPr="005B1CCB">
        <w:rPr>
          <w:rFonts w:ascii="Palatino Linotype" w:hAnsi="Palatino Linotype"/>
          <w:sz w:val="24"/>
          <w:szCs w:val="24"/>
          <w:lang w:bidi="en-US"/>
        </w:rPr>
        <w:t xml:space="preserve"> </w:t>
      </w:r>
      <w:r w:rsidR="00701B0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{"citationItems":[{"id":"ITEM-1","itemData":{"DOI":"10.3390/s16101761","ISSN":"14248220","abstract":"In this review we present electrochemical biosensor developments, focusing on screen-printed electrodes (SPEs) and their applications. In particular, we discuss how SPEs enable simple integration, and the portability needed for on-field applications. First, we briefly discuss the general concept of biosensors and quickly move on to electrochemical biosensors. Drawing from research undertaken in this area, we cover the development of electrochemical DNA biosensors in great detail. Through specific examples, we describe the fabrication and surface modification of printed electrodes for sensitive and selective detection of targeted DNA sequences, as well as integration with reverse transcription-polymerase chain reaction (RT-PCR). For a more rounded approach, we also touch on electrochemical immunosensors and enzyme-based biosensors. Last, we present some electrochemical devices specifically developed for use with SPEs, including USB-powered compact mini potentiostat. The coupling demonstrates the practical use of printable electrode technologies for application at point-of-use. Although tremendous advances have indeed been made in this area, a few challenges remain. One of the main challenges is application of these technologies for on-field analysis, which involves complicated sample matrices.","author":[{"dropping-particle":"","family":"Yamanaka","given":"Keiichiro","non-dropping-particle":"","parse-names":false,"suffix":""},{"dropping-particle":"","family":"Vestergaard","given":"Mun’delanji C.","non-dropping-particle":"","parse-names":false,"suffix":""},{"dropping-particle":"","family":"Tamiya","given":"Eiichi","non-dropping-particle":"","parse-names":false,"suffix":""}],"container-title":"Sensors (Switzerland)","id":"ITEM-1","issue":"10","issued":{"date-parts":[["2016"]]},"page":"1-16","title":"Printable electrochemical biosensors: A focus on screen-printed electrodes and their application","type":"article-journal","volume":"16"},"uris":["http://www.mendeley.com/documents/?uuid=2343b118-81f3-4d8a-9d8d-7ead0294449f"]}],"mendeley":{"formattedCitation":"[115]","plainTextFormattedCitation":"[115]","previouslyFormattedCitation":"[115]"},"properties":{"noteIndex":0},"schema":"https://github.com/citation-style-language/schema/raw/master/csl-citation.json"}</w:instrText>
      </w:r>
      <w:r w:rsidR="00701B0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[115]</w:t>
      </w:r>
      <w:r w:rsidR="00701B05" w:rsidRPr="005B1CCB">
        <w:rPr>
          <w:rFonts w:ascii="Palatino Linotype" w:hAnsi="Palatino Linotype"/>
          <w:sz w:val="24"/>
          <w:szCs w:val="24"/>
          <w:lang w:bidi="en-US"/>
        </w:rPr>
        <w:fldChar w:fldCharType="end"/>
      </w:r>
      <w:r w:rsidRPr="005B1CCB">
        <w:rPr>
          <w:rFonts w:ascii="Palatino Linotype" w:hAnsi="Palatino Linotype"/>
          <w:sz w:val="24"/>
          <w:szCs w:val="24"/>
          <w:lang w:bidi="en-US"/>
        </w:rPr>
        <w:t xml:space="preserve">. </w:t>
      </w:r>
      <w:r w:rsidRPr="00C46733">
        <w:rPr>
          <w:rFonts w:ascii="Palatino Linotype" w:hAnsi="Palatino Linotype"/>
          <w:sz w:val="24"/>
          <w:szCs w:val="24"/>
          <w:lang w:bidi="en-US"/>
        </w:rPr>
        <w:t xml:space="preserve">This prompted the change to single CNT-modified SPCEs which were used to </w:t>
      </w:r>
      <w:r w:rsidR="00FA29C8" w:rsidRPr="00C46733">
        <w:rPr>
          <w:rFonts w:ascii="Palatino Linotype" w:hAnsi="Palatino Linotype"/>
          <w:sz w:val="24"/>
          <w:szCs w:val="24"/>
          <w:lang w:bidi="en-US"/>
        </w:rPr>
        <w:t xml:space="preserve">further </w:t>
      </w:r>
      <w:r w:rsidRPr="00C46733">
        <w:rPr>
          <w:rFonts w:ascii="Palatino Linotype" w:hAnsi="Palatino Linotype"/>
          <w:sz w:val="24"/>
          <w:szCs w:val="24"/>
          <w:lang w:bidi="en-US"/>
        </w:rPr>
        <w:t>investigate the false positives and negatives encountered from the initial hybridisation testing.</w:t>
      </w:r>
      <w:r w:rsidRPr="005B1CCB">
        <w:rPr>
          <w:rFonts w:ascii="Palatino Linotype" w:hAnsi="Palatino Linotype"/>
          <w:sz w:val="24"/>
          <w:szCs w:val="24"/>
          <w:lang w:bidi="en-US"/>
        </w:rPr>
        <w:t xml:space="preserve"> </w:t>
      </w:r>
    </w:p>
    <w:p w14:paraId="01AC010E" w14:textId="0060A84E" w:rsidR="001D1E56" w:rsidRPr="005B1CCB" w:rsidRDefault="00B551CD" w:rsidP="003A5A33">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700653" w:rsidRPr="005B1CCB">
        <w:rPr>
          <w:rFonts w:ascii="Palatino Linotype" w:hAnsi="Palatino Linotype"/>
          <w:sz w:val="24"/>
          <w:szCs w:val="24"/>
          <w:lang w:bidi="en-US"/>
        </w:rPr>
        <w:t>The non-</w:t>
      </w:r>
      <w:r w:rsidR="003567B1" w:rsidRPr="005B1CCB">
        <w:rPr>
          <w:rFonts w:ascii="Palatino Linotype" w:hAnsi="Palatino Linotype"/>
          <w:sz w:val="24"/>
          <w:szCs w:val="24"/>
          <w:lang w:bidi="en-US"/>
        </w:rPr>
        <w:t>complementary</w:t>
      </w:r>
      <w:r w:rsidR="00700653" w:rsidRPr="005B1CCB">
        <w:rPr>
          <w:rFonts w:ascii="Palatino Linotype" w:hAnsi="Palatino Linotype"/>
          <w:sz w:val="24"/>
          <w:szCs w:val="24"/>
          <w:lang w:bidi="en-US"/>
        </w:rPr>
        <w:t xml:space="preserve"> and </w:t>
      </w:r>
      <w:r w:rsidR="003567B1" w:rsidRPr="005B1CCB">
        <w:rPr>
          <w:rFonts w:ascii="Palatino Linotype" w:hAnsi="Palatino Linotype"/>
          <w:sz w:val="24"/>
          <w:szCs w:val="24"/>
          <w:lang w:bidi="en-US"/>
        </w:rPr>
        <w:t>complementary</w:t>
      </w:r>
      <w:r w:rsidR="00700653" w:rsidRPr="005B1CCB">
        <w:rPr>
          <w:rFonts w:ascii="Palatino Linotype" w:hAnsi="Palatino Linotype"/>
          <w:sz w:val="24"/>
          <w:szCs w:val="24"/>
          <w:lang w:bidi="en-US"/>
        </w:rPr>
        <w:t xml:space="preserve"> hybridisation using the wild-type amplicons (</w:t>
      </w:r>
      <w:r w:rsidR="003567B1" w:rsidRPr="005B1CCB">
        <w:rPr>
          <w:rFonts w:ascii="Palatino Linotype" w:hAnsi="Palatino Linotype"/>
          <w:sz w:val="24"/>
          <w:szCs w:val="24"/>
          <w:lang w:bidi="en-US"/>
        </w:rPr>
        <w:t>Figures 5</w:t>
      </w:r>
      <w:r w:rsidR="0095206C" w:rsidRPr="005B1CCB">
        <w:rPr>
          <w:rFonts w:ascii="Palatino Linotype" w:hAnsi="Palatino Linotype"/>
          <w:sz w:val="24"/>
          <w:szCs w:val="24"/>
          <w:lang w:bidi="en-US"/>
        </w:rPr>
        <w:t>5</w:t>
      </w:r>
      <w:r w:rsidR="00700653" w:rsidRPr="005B1CCB">
        <w:rPr>
          <w:rFonts w:ascii="Palatino Linotype" w:hAnsi="Palatino Linotype"/>
          <w:sz w:val="24"/>
          <w:szCs w:val="24"/>
          <w:lang w:bidi="en-US"/>
        </w:rPr>
        <w:t xml:space="preserve"> &amp; </w:t>
      </w:r>
      <w:r w:rsidR="003567B1" w:rsidRPr="005B1CCB">
        <w:rPr>
          <w:rFonts w:ascii="Palatino Linotype" w:hAnsi="Palatino Linotype"/>
          <w:sz w:val="24"/>
          <w:szCs w:val="24"/>
          <w:lang w:bidi="en-US"/>
        </w:rPr>
        <w:t>5</w:t>
      </w:r>
      <w:r w:rsidR="0095206C" w:rsidRPr="005B1CCB">
        <w:rPr>
          <w:rFonts w:ascii="Palatino Linotype" w:hAnsi="Palatino Linotype"/>
          <w:sz w:val="24"/>
          <w:szCs w:val="24"/>
          <w:lang w:bidi="en-US"/>
        </w:rPr>
        <w:t>6</w:t>
      </w:r>
      <w:r w:rsidR="00700653" w:rsidRPr="005B1CCB">
        <w:rPr>
          <w:rFonts w:ascii="Palatino Linotype" w:hAnsi="Palatino Linotype"/>
          <w:sz w:val="24"/>
          <w:szCs w:val="24"/>
          <w:lang w:bidi="en-US"/>
        </w:rPr>
        <w:t xml:space="preserve">) displayed large differences </w:t>
      </w:r>
      <w:r w:rsidR="00050229" w:rsidRPr="005B1CCB">
        <w:rPr>
          <w:rFonts w:ascii="Palatino Linotype" w:hAnsi="Palatino Linotype"/>
          <w:sz w:val="24"/>
          <w:szCs w:val="24"/>
          <w:lang w:bidi="en-US"/>
        </w:rPr>
        <w:t>proving that one base mis-match can be detected using the methods presented</w:t>
      </w:r>
      <w:r w:rsidR="00700653" w:rsidRPr="005B1CCB">
        <w:rPr>
          <w:rFonts w:ascii="Palatino Linotype" w:hAnsi="Palatino Linotype"/>
          <w:sz w:val="24"/>
          <w:szCs w:val="24"/>
          <w:lang w:bidi="en-US"/>
        </w:rPr>
        <w:t xml:space="preserve">. </w:t>
      </w:r>
      <w:r w:rsidR="00625252" w:rsidRPr="005B1CCB">
        <w:rPr>
          <w:rFonts w:ascii="Palatino Linotype" w:hAnsi="Palatino Linotype"/>
          <w:sz w:val="24"/>
          <w:szCs w:val="24"/>
          <w:lang w:bidi="en-US"/>
        </w:rPr>
        <w:t>Clinical samples are generally complex in terms of interfering compounds</w:t>
      </w:r>
      <w:r w:rsidR="007F2EF3" w:rsidRPr="005B1CCB">
        <w:rPr>
          <w:rFonts w:ascii="Palatino Linotype" w:hAnsi="Palatino Linotype"/>
          <w:sz w:val="24"/>
          <w:szCs w:val="24"/>
          <w:lang w:bidi="en-US"/>
        </w:rPr>
        <w:t>, proteins and cells which may foul the surface</w:t>
      </w:r>
      <w:r w:rsidR="00701B05" w:rsidRPr="005B1CCB">
        <w:rPr>
          <w:rFonts w:ascii="Palatino Linotype" w:hAnsi="Palatino Linotype"/>
          <w:sz w:val="24"/>
          <w:szCs w:val="24"/>
          <w:lang w:bidi="en-US"/>
        </w:rPr>
        <w:t xml:space="preserve"> </w:t>
      </w:r>
      <w:r w:rsidR="00701B0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10.1021/cr500279h","ISSN":"1520-6890","author":[{"dropping-particle":"","family":"Paleček","given":"Emil","non-dropping-particle":"","parse-names":false,"suffix":""},{"dropping-particle":"","family":"Tkáč","given":"Jan","non-dropping-particle":"","parse-names":false,"suffix":""},{"dropping-particle":"","family":"Bartošík","given":"Martin","non-dropping-particle":"","parse-names":false,"suffix":""},{"dropping-particle":"","family":"Bertók","given":"Tomáš","non-dropping-particle":"","parse-names":false,"suffix":""},{"dropping-particle":"","family":"Ostatná","given":"Veronika","non-dropping-particle":"","parse-names":false,"suffix":""},{"dropping-particle":"","family":"Paleček","given":"Jan","non-dropping-particle":"","parse-names":false,"suffix":""}],"container-title":"Chemical reviews","edition":"2015/02/09","id":"ITEM-1","issue":"5","issued":{"date-parts":[["2015","3","11"]]},"language":"eng","page":"2045-2108","publisher":"American Chemical Society","title":"Electrochemistry of nonconjugated proteins and glycoproteins. Toward sensors for biomedicine and glycomics","type":"article-journal","volume":"115"},"uris":["http://www.mendeley.com/documents/?uuid=51c083bb-7d0f-49ef-9e05-90abeb2d1152"]}],"mendeley":{"formattedCitation":"[248]","plainTextFormattedCitation":"[248]","previouslyFormattedCitation":"[248]"},"properties":{"noteIndex":0},"schema":"https://github.com/citation-style-language/schema/raw/master/csl-citation.json"}</w:instrText>
      </w:r>
      <w:r w:rsidR="00701B0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[248]</w:t>
      </w:r>
      <w:r w:rsidR="00701B05" w:rsidRPr="005B1CCB">
        <w:rPr>
          <w:rFonts w:ascii="Palatino Linotype" w:hAnsi="Palatino Linotype"/>
          <w:sz w:val="24"/>
          <w:szCs w:val="24"/>
          <w:lang w:bidi="en-US"/>
        </w:rPr>
        <w:fldChar w:fldCharType="end"/>
      </w:r>
      <w:r w:rsidR="00701B05" w:rsidRPr="005B1CCB">
        <w:rPr>
          <w:rFonts w:ascii="Palatino Linotype" w:hAnsi="Palatino Linotype"/>
          <w:sz w:val="24"/>
          <w:szCs w:val="24"/>
          <w:lang w:bidi="en-US"/>
        </w:rPr>
        <w:t xml:space="preserve"> </w:t>
      </w:r>
      <w:r w:rsidR="00701B05"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{"citationItems":[{"id":"ITEM-1","itemData":{"DOI":"doi:10.1515/revac-2015-0008","author":[{"dropping-particle":"","family":"Hanssen","given":"Benjamin L","non-dropping-particle":"","parse-names":false,"suffix":""},{"dropping-particle":"","family":"Siraj","given":"Shajahan","non-dropping-particle":"","parse-names":false,"suffix":""},{"dropping-particle":"","family":"Wong","given":"Danny K Y","non-dropping-particle":"","parse-names":false,"suffix":""}],"container-title":"Reviews in Analytical Chemistry","id":"ITEM-1","issue":"1","issued":{"date-parts":[["2016"]]},"page":"1-28","title":"Recent strategies to minimise fouling in electrochemical detection systems","type":"article-journal","volume":"35"},"uris":["http://www.mendeley.com/documents/?uuid=4b088749-53cc-441d-8634-e264b060eb46"]}],"mendeley":{"formattedCitation":"[249]","plainTextFormattedCitation":"[249]","previouslyFormattedCitation":"[249]"},"properties":{"noteIndex":0},"schema":"https://github.com/citation-style-language/schema/raw/master/csl-citation.json"}</w:instrText>
      </w:r>
      <w:r w:rsidR="00701B05"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[249]</w:t>
      </w:r>
      <w:r w:rsidR="00701B05" w:rsidRPr="005B1CCB">
        <w:rPr>
          <w:rFonts w:ascii="Palatino Linotype" w:hAnsi="Palatino Linotype"/>
          <w:sz w:val="24"/>
          <w:szCs w:val="24"/>
          <w:lang w:bidi="en-US"/>
        </w:rPr>
        <w:fldChar w:fldCharType="end"/>
      </w:r>
      <w:r w:rsidR="00625252" w:rsidRPr="005B1CCB">
        <w:rPr>
          <w:rFonts w:ascii="Palatino Linotype" w:hAnsi="Palatino Linotype"/>
          <w:sz w:val="24"/>
          <w:szCs w:val="24"/>
          <w:lang w:bidi="en-US"/>
        </w:rPr>
        <w:t xml:space="preserve">. </w:t>
      </w:r>
      <w:r w:rsidR="00FA2DE7" w:rsidRPr="005B1CCB">
        <w:rPr>
          <w:rFonts w:ascii="Palatino Linotype" w:hAnsi="Palatino Linotype"/>
          <w:sz w:val="24"/>
          <w:szCs w:val="24"/>
          <w:lang w:bidi="en-US"/>
        </w:rPr>
        <w:t>Some</w:t>
      </w:r>
      <w:r w:rsidR="00391B4A" w:rsidRPr="005B1CCB">
        <w:rPr>
          <w:rFonts w:ascii="Palatino Linotype" w:hAnsi="Palatino Linotype"/>
          <w:sz w:val="24"/>
          <w:szCs w:val="24"/>
          <w:lang w:bidi="en-US"/>
        </w:rPr>
        <w:t xml:space="preserve"> limitation</w:t>
      </w:r>
      <w:r w:rsidR="00FA2DE7" w:rsidRPr="005B1CCB">
        <w:rPr>
          <w:rFonts w:ascii="Palatino Linotype" w:hAnsi="Palatino Linotype"/>
          <w:sz w:val="24"/>
          <w:szCs w:val="24"/>
          <w:lang w:bidi="en-US"/>
        </w:rPr>
        <w:t>s encountered</w:t>
      </w:r>
      <w:r w:rsidR="00391B4A" w:rsidRPr="005B1CCB">
        <w:rPr>
          <w:rFonts w:ascii="Palatino Linotype" w:hAnsi="Palatino Linotype"/>
          <w:sz w:val="24"/>
          <w:szCs w:val="24"/>
          <w:lang w:bidi="en-US"/>
        </w:rPr>
        <w:t xml:space="preserve"> w</w:t>
      </w:r>
      <w:r w:rsidR="00FA2DE7" w:rsidRPr="005B1CCB">
        <w:rPr>
          <w:rFonts w:ascii="Palatino Linotype" w:hAnsi="Palatino Linotype"/>
          <w:sz w:val="24"/>
          <w:szCs w:val="24"/>
          <w:lang w:bidi="en-US"/>
        </w:rPr>
        <w:t>hen</w:t>
      </w:r>
      <w:r w:rsidR="00391B4A" w:rsidRPr="005B1CCB">
        <w:rPr>
          <w:rFonts w:ascii="Palatino Linotype" w:hAnsi="Palatino Linotype"/>
          <w:sz w:val="24"/>
          <w:szCs w:val="24"/>
          <w:lang w:bidi="en-US"/>
        </w:rPr>
        <w:t xml:space="preserve"> performing DNA hybridisation on screen printed electrodes using plasma samples </w:t>
      </w:r>
      <w:r w:rsidR="007A07A1" w:rsidRPr="005B1CCB">
        <w:rPr>
          <w:rFonts w:ascii="Palatino Linotype" w:hAnsi="Palatino Linotype"/>
          <w:sz w:val="24"/>
          <w:szCs w:val="24"/>
          <w:lang w:bidi="en-US"/>
        </w:rPr>
        <w:t>i</w:t>
      </w:r>
      <w:r w:rsidR="007A07A1">
        <w:rPr>
          <w:rFonts w:ascii="Palatino Linotype" w:hAnsi="Palatino Linotype"/>
          <w:sz w:val="24"/>
          <w:szCs w:val="24"/>
          <w:lang w:bidi="en-US"/>
        </w:rPr>
        <w:t>nclude</w:t>
      </w:r>
      <w:r w:rsidR="007A07A1" w:rsidRPr="005B1CCB">
        <w:rPr>
          <w:rFonts w:ascii="Palatino Linotype" w:hAnsi="Palatino Linotype"/>
          <w:sz w:val="24"/>
          <w:szCs w:val="24"/>
          <w:lang w:bidi="en-US"/>
        </w:rPr>
        <w:t xml:space="preserve"> </w:t>
      </w:r>
      <w:r w:rsidR="00FA2DE7" w:rsidRPr="005B1CCB">
        <w:rPr>
          <w:rFonts w:ascii="Palatino Linotype" w:hAnsi="Palatino Linotype"/>
          <w:sz w:val="24"/>
          <w:szCs w:val="24"/>
          <w:lang w:bidi="en-US"/>
        </w:rPr>
        <w:t xml:space="preserve">(1) </w:t>
      </w:r>
      <w:r w:rsidR="00391B4A" w:rsidRPr="005B1CCB">
        <w:rPr>
          <w:rFonts w:ascii="Palatino Linotype" w:hAnsi="Palatino Linotype"/>
          <w:sz w:val="24"/>
          <w:szCs w:val="24"/>
          <w:lang w:bidi="en-US"/>
        </w:rPr>
        <w:t>the coagulation that occurs when the samples are denatured prior to incubation on the electrode surface</w:t>
      </w:r>
      <w:r w:rsidR="00FA2DE7" w:rsidRPr="005B1CCB">
        <w:rPr>
          <w:rFonts w:ascii="Palatino Linotype" w:hAnsi="Palatino Linotype"/>
          <w:sz w:val="24"/>
          <w:szCs w:val="24"/>
          <w:lang w:bidi="en-US"/>
        </w:rPr>
        <w:t xml:space="preserve"> (2) The possible interaction of other cells and proteins contained in the plasma</w:t>
      </w:r>
      <w:r w:rsidR="00391B4A" w:rsidRPr="005B1CCB">
        <w:rPr>
          <w:rFonts w:ascii="Palatino Linotype" w:hAnsi="Palatino Linotype"/>
          <w:sz w:val="24"/>
          <w:szCs w:val="24"/>
          <w:lang w:bidi="en-US"/>
        </w:rPr>
        <w:t xml:space="preserve">. It is </w:t>
      </w:r>
      <w:r w:rsidR="00FA2DE7" w:rsidRPr="005B1CCB">
        <w:rPr>
          <w:rFonts w:ascii="Palatino Linotype" w:hAnsi="Palatino Linotype"/>
          <w:sz w:val="24"/>
          <w:szCs w:val="24"/>
          <w:lang w:bidi="en-US"/>
        </w:rPr>
        <w:t>likely</w:t>
      </w:r>
      <w:r w:rsidR="00391B4A" w:rsidRPr="005B1CCB">
        <w:rPr>
          <w:rFonts w:ascii="Palatino Linotype" w:hAnsi="Palatino Linotype"/>
          <w:sz w:val="24"/>
          <w:szCs w:val="24"/>
          <w:lang w:bidi="en-US"/>
        </w:rPr>
        <w:t xml:space="preserve"> that the semi-solid mass formed during coagulation could disrupt the formed SAM on the surface of the electrode and inhibit the hybridisation of target DNA strands.</w:t>
      </w:r>
      <w:r w:rsidR="00872397" w:rsidRPr="005B1CCB">
        <w:rPr>
          <w:rFonts w:ascii="Palatino Linotype" w:hAnsi="Palatino Linotype"/>
          <w:sz w:val="24"/>
          <w:szCs w:val="24"/>
          <w:lang w:bidi="en-US"/>
        </w:rPr>
        <w:t xml:space="preserve"> </w:t>
      </w:r>
      <w:r w:rsidR="00723322" w:rsidRPr="005B1CCB">
        <w:rPr>
          <w:rFonts w:ascii="Palatino Linotype" w:hAnsi="Palatino Linotype"/>
          <w:sz w:val="24"/>
          <w:szCs w:val="24"/>
          <w:lang w:bidi="en-US"/>
        </w:rPr>
        <w:t xml:space="preserve">The magnitude of current observed was not consistent among electrodes. </w:t>
      </w:r>
      <w:r w:rsidR="00925204" w:rsidRPr="005B1CCB">
        <w:rPr>
          <w:rFonts w:ascii="Palatino Linotype" w:hAnsi="Palatino Linotype"/>
          <w:sz w:val="24"/>
          <w:szCs w:val="24"/>
          <w:lang w:bidi="en-US"/>
        </w:rPr>
        <w:t xml:space="preserve">Overall, across different electrode types, </w:t>
      </w:r>
      <w:r w:rsidR="001D1E56" w:rsidRPr="005B1CCB">
        <w:rPr>
          <w:rFonts w:ascii="Palatino Linotype" w:hAnsi="Palatino Linotype"/>
          <w:sz w:val="24"/>
          <w:szCs w:val="24"/>
          <w:lang w:bidi="en-US"/>
        </w:rPr>
        <w:t>DPV showed better sensitivity with regular SPCEs while SWV showed better sensitivity with SPCE functionalised with CNTs.</w:t>
      </w:r>
    </w:p>
    <w:p w14:paraId="3EB124FE" w14:textId="3784E2F3" w:rsidR="0039783C" w:rsidRPr="005B1CCB" w:rsidRDefault="00872397" w:rsidP="003A5A33">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p>
    <w:p w14:paraId="2CE4F2E1" w14:textId="085A094F" w:rsidR="00C91D5D" w:rsidRDefault="00487F15" w:rsidP="003A5A33">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C91D5D" w:rsidRPr="005B1CCB">
        <w:rPr>
          <w:rFonts w:ascii="Palatino Linotype" w:hAnsi="Palatino Linotype"/>
          <w:sz w:val="24"/>
          <w:szCs w:val="24"/>
          <w:lang w:bidi="en-US"/>
        </w:rPr>
        <w:t xml:space="preserve">The DNA quantification results obtained using the </w:t>
      </w:r>
      <w:r w:rsidR="007F2EF3" w:rsidRPr="005B1CCB">
        <w:rPr>
          <w:rFonts w:ascii="Palatino Linotype" w:hAnsi="Palatino Linotype"/>
          <w:sz w:val="24"/>
          <w:szCs w:val="24"/>
          <w:lang w:bidi="en-US"/>
        </w:rPr>
        <w:t>Q</w:t>
      </w:r>
      <w:r w:rsidR="00C91D5D" w:rsidRPr="005B1CCB">
        <w:rPr>
          <w:rFonts w:ascii="Palatino Linotype" w:hAnsi="Palatino Linotype"/>
          <w:sz w:val="24"/>
          <w:szCs w:val="24"/>
          <w:lang w:bidi="en-US"/>
        </w:rPr>
        <w:t>ubit 4 fluorometer were slightly different from the results obtained using ddPCR and varied significantly from the DNA hybridisation results. From these results, it has been observed that the developed ctDNA array sensor will successfully detect mutations that have been amplified compared to non-amplified mutants. Although amplification-free detection is generating a lot of interest and success in ctDNA research</w:t>
      </w:r>
      <w:r w:rsidR="00D54317" w:rsidRPr="005B1CCB">
        <w:rPr>
          <w:rFonts w:ascii="Palatino Linotype" w:hAnsi="Palatino Linotype"/>
          <w:sz w:val="24"/>
          <w:szCs w:val="24"/>
          <w:lang w:bidi="en-US"/>
        </w:rPr>
        <w:t xml:space="preserve"> </w:t>
      </w:r>
      <w:r w:rsidR="00970C3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{"citationItems":[{"id":"ITEM-1","itemData":{"DOI":"10.1039/C5RA27625J","ISSN":"2046-2069","abstract":"&lt;p&gt; By integrating thin-layer molybdenum disulfide (MoS &lt;sub&gt;2&lt;/sub&gt; ) and graphene through a hydrothermal process and an ultrasonic method, a label-free, amplification-free and ultrasensitive circulating tumor DNA electrochemical sensor was made. &lt;/p&gt;","author":[{"dropping-particle":"","family":"Chu","given":"Yilan","non-dropping-particle":"","parse-names":false,"suffix":""},{"dropping-particle":"","family":"Cai","given":"Bin","non-dropping-particle":"","parse-names":false,"suffix":""},{"dropping-particle":"","family":"Ma","given":"Ye","non-dropping-particle":"","parse-names":false,"suffix":""},{"dropping-particle":"","family":"Zhao","given":"Minggang","non-dropping-particle":"","parse-names":false,"suffix":""},{"dropping-particle":"","family":"Ye","given":"Zhizhen","non-dropping-particle":"","parse-names":false,"suffix":""},{"dropping-particle":"","family":"Huang","given":"Jingyun","non-dropping-particle":"","parse-names":false,"suffix":""}],"container-title":"RSC Adv.","id":"ITEM-1","issue":"27","issued":{"date-parts":[["2016","2","26"]]},"page":"22673-22678","publisher":"Royal Society of Chemistry","title":"Highly sensitive electrochemical detection of circulating tumor DNA based on thin-layer MoS &lt;sub&gt;2&lt;/sub&gt; /graphene composites","type":"article-journal","volume":"6"},"uris":["http://www.mendeley.com/documents/?uuid=ed4bd671-5e06-3bdb-ba2b-3723ea862e7e"]},{"id":"ITEM-2","itemData":{"ISBN":"9780998878201","author":[{"dropping-particle":"","family":"Uhd","given":"Jesper","non-dropping-particle":"","parse-names":false,"suffix":""},{"dropping-particle":"","family":"Okholm","given":"Anders","non-dropping-particle":"","parse-names":false,"suffix":""},{"dropping-particle":"","family":"Kjems","given":"Jørgen","non-dropping-particle":"","parse-names":false,"suffix":""},{"dropping-particle":"","family":"Astakhova","given":"Kira","non-dropping-particle":"","parse-names":false,"suffix":""}],"id":"ITEM-2","issued":{"date-parts":[["2017"]]},"page":"106-109","title":"Amplification-free liquid biopsy by fluorescence approach University of Southern Denmark , Department of Physics , Chemistry &amp; Pharmacy Nucleic Acid Center , Genomic DNA test","type":"article-journal","volume":"270"},"uris":["http://www.mendeley.com/documents/?uuid=8d4b8e8f-2e38-49ec-a722-ec71d3de728c"]},{"id":"ITEM-3","itemData":{"DOI":"10.1016/j.bios.2016.03.037","ISSN":"18734235","abstract":"Current approaches to molecular diagnostics rely heavily on PCR amplification and optical detection methods which have restrictions when applied to point of care (POC) applications. Herein we describe the development of a label-free and amplification-free method of pathogen detection applied to Escherichia coli which overcomes the bottleneck of complex sample preparation and has the potential to be implemented as a rapid, cost effective test suitable for point of care use. Ribosomal RNA is naturally amplified in bacterial cells, which makes it a promising target for sensitive detection without the necessity for prior in vitro amplification. Using fluorescent microarray methods with rRNA targets from a range of pathogens, an optimal probe was selected from a pool of probe candidates identified in silico. The specificity of probes was investigated on DNA microarray using fluorescently labeled 16S rRNA target. The probe yielding highest specificity performance was evaluated in terms of sensitivity and a LOD of 20 pM was achieved on fluorescent glass microarray. This probe was transferred to an EIS end point format and specificity which correlated to microarray data was demonstrated. Excellent sensitivity was facilitated by the use of uncharged PNA probes and large 16S rRNA target and investigations resulted in an LOD of 50 pM. An alternative kinetic EIS assay format was demonstrated with which rRNA could be detected in a species specific manner within 10-40 min at room temperature without wash steps.","author":[{"dropping-particle":"","family":"Henihan","given":"Grace","non-dropping-particle":"","parse-names":false,"suffix":""},{"dropping-particle":"","family":"Schulze","given":"Holger","non-dropping-particle":"","parse-names":false,"suffix":""},{"dropping-particle":"","family":"Corrigan","given":"Damion K.","non-dropping-particle":"","parse-names":false,"suffix":""},{"dropping-particle":"","family":"Giraud","given":"Gerard","non-dropping-particle":"","parse-names":false,"suffix":""},{"dropping-particle":"","family":"Terry","given":"Jonathan G.","non-dropping-particle":"","parse-names":false,"suffix":""},{"dropping-particle":"","family":"Hardie","given":"Alison","non-dropping-particle":"","parse-names":false,"suffix":""},{"dropping-particle":"","family":"Campbell","given":"Colin J.","non-dropping-particle":"","parse-names":false,"suffix":""},{"dropping-particle":"","family":"Walton","given":"Anthony J.","non-dropping-particle":"","parse-names":false,"suffix":""},{"dropping-particle":"","family":"Crain","given":"Jason","non-dropping-particle":"","parse-names":false,"suffix":""},{"dropping-particle":"","family":"Pethig","given":"Ronald","non-dropping-particle":"","parse-names":false,"suffix":""},{"dropping-particle":"","family":"Templeton","given":"Kate E.","non-dropping-particle":"","parse-names":false,"suffix":""},{"dropping-particle":"","family":"Mount","given":"Andrew R.","non-dropping-particle":"","parse-names":false,"suffix":""},{"dropping-particle":"","family":"Bachmann","given":"Till T.","non-dropping-particle":"","parse-names":false,"suffix":""}],"container-title":"Biosensors and Bioelectronics","id":"ITEM-3","issued":{"date-parts":[["2016"]]},"title":"Label- and amplification-free electrochemical detection of bacterial ribosomal RNA","type":"article-journal"},"uris":["http://www.mendeley.com/documents/?uuid=c98c8a3e-8f00-34f5-8f7e-ddb36bc0f1e2"]},{"id":"ITEM-4","itemData":{"DOI":"10.1039/d0an00676a","ISSN":"13645528","PMID":"32648858","abstract":"Two types of clinically important nucleic acid biomarkers, microRNA (miRNA) and circulating tumor DNA (ctDNA) were detected and quantified from human serum using an amplification-free fluorescence hybridization assay. Specifically, miRNAs hsa-miR-223-3p and hsa-miR-486-5p with relevance for rheumatoid arthritis and cancer related mutations BRAF and KRAS of ctDNA were directly measured. The required oligonucleotide probes for the assay were rationally designed and synthesized through a novel \"clickable\"approach which is time and cost-effective. With no need for isolating nucleic acid components from serum, the fluoresence-based assay took only 1 hour. Detection and absolute quantification of targets was successfully achieved despite their notoriously low abundance, with a precision down to individual nucleotides. Obtained miRNA and ctDNA amounts showed overall a good correlation with current techniques. With appropriate probes, our novel assay and signal boosting approach could become a useful tool for point-of-care measuring other low abundance nucleic acid biomarkers.","author":[{"dropping-particle":"","family":"Uhd","given":"Jesper","non-dropping-particle":"","parse-names":false,"suffix":""},{"dropping-particle":"","family":"Miotke","given":"Laura","non-dropping-particle":"","parse-names":false,"suffix":""},{"dropping-particle":"","family":"Ji","given":"Hanlee P.","non-dropping-particle":"","parse-names":false,"suffix":""},{"dropping-particle":"","family":"Dunaeva","given":"Marina","non-dropping-particle":"","parse-names":false,"suffix":""},{"dropping-particle":"","family":"Pruijn","given":"Ger J.M.","non-dropping-particle":"","parse-names":false,"suffix":""},{"dropping-particle":"","family":"Jørgensen","given":"Christian Damsgaard","non-dropping-particle":"","parse-names":false,"suffix":""},{"dropping-particle":"","family":"Kristoffersen","given":"Emil Laust","non-dropping-particle":"","parse-names":false,"suffix":""},{"dropping-particle":"","family":"Birkedal","given":"Victoria","non-dropping-particle":"","parse-names":false,"suffix":""},{"dropping-particle":"","family":"Yde","given":"Christina Westmose","non-dropping-particle":"","parse-names":false,"suffix":""},{"dropping-particle":"","family":"Nielsen","given":"Finn Cilius","non-dropping-particle":"","parse-names":false,"suffix":""},{"dropping-particle":"","family":"Hansen","given":"Jonas","non-dropping-particle":"","parse-names":false,"suffix":""},{"dropping-particle":"","family":"Astakhova","given":"Kira","non-dropping-particle":"","parse-names":false,"suffix":""}],"container-title":"Analyst","id":"ITEM-4","issue":"17","issued":{"date-parts":[["2020"]]},"page":"5836-5844","title":"Ultra-fast detection and quantification of nucleic acids by amplification-free fluorescence assay","type":"article-journal","volume":"145"},"uris":["http://www.mendeley.com/documents/?uuid=6ca8256b-f645-449e-b50a-11e160413b2c"]}],"mendeley":{"formattedCitation":"[26], [250]–[252]","plainTextFormattedCitation":"[26], [250]–[252]","previouslyFormattedCitation":"[26], [250]–[252]"},"properties":{"noteIndex":0},"schema":"https://github.com/citation-style-language/schema/raw/master/csl-citation.json"}</w:instrText>
      </w:r>
      <w:r w:rsidR="00970C3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[26], [250]–[252]</w:t>
      </w:r>
      <w:r w:rsidR="00970C37" w:rsidRPr="005B1CCB">
        <w:rPr>
          <w:rFonts w:ascii="Palatino Linotype" w:hAnsi="Palatino Linotype"/>
          <w:sz w:val="24"/>
          <w:szCs w:val="24"/>
          <w:lang w:bidi="en-US"/>
        </w:rPr>
        <w:fldChar w:fldCharType="end"/>
      </w:r>
      <w:r w:rsidR="00C91D5D" w:rsidRPr="005B1CCB">
        <w:rPr>
          <w:rFonts w:ascii="Palatino Linotype" w:hAnsi="Palatino Linotype"/>
          <w:sz w:val="24"/>
          <w:szCs w:val="24"/>
          <w:lang w:bidi="en-US"/>
        </w:rPr>
        <w:t xml:space="preserve">, </w:t>
      </w:r>
      <w:r w:rsidR="00C91D5D" w:rsidRPr="00C46733">
        <w:rPr>
          <w:rFonts w:ascii="Palatino Linotype" w:hAnsi="Palatino Linotype"/>
          <w:sz w:val="24"/>
          <w:szCs w:val="24"/>
          <w:lang w:bidi="en-US"/>
        </w:rPr>
        <w:t>the sensor array employed in this study might need to be further modified to achieve a similar sensitivity</w:t>
      </w:r>
      <w:r w:rsidR="00C91D5D" w:rsidRPr="005B1CCB">
        <w:rPr>
          <w:rFonts w:ascii="Palatino Linotype" w:hAnsi="Palatino Linotype"/>
          <w:sz w:val="24"/>
          <w:szCs w:val="24"/>
          <w:lang w:bidi="en-US"/>
        </w:rPr>
        <w:t>.</w:t>
      </w:r>
      <w:r w:rsidR="009B59EA" w:rsidRPr="005B1CCB">
        <w:rPr>
          <w:rFonts w:ascii="Palatino Linotype" w:hAnsi="Palatino Linotype"/>
          <w:sz w:val="24"/>
          <w:szCs w:val="24"/>
          <w:lang w:bidi="en-US"/>
        </w:rPr>
        <w:t xml:space="preserve"> It may also be necessary in the future and </w:t>
      </w:r>
      <w:r w:rsidR="009B59EA" w:rsidRPr="00C46733">
        <w:rPr>
          <w:rFonts w:ascii="Palatino Linotype" w:hAnsi="Palatino Linotype"/>
          <w:sz w:val="24"/>
          <w:szCs w:val="24"/>
          <w:lang w:bidi="en-US"/>
        </w:rPr>
        <w:t>perhaps beneficial here to employ a DNA purification step to obtain pure interferent free samples of DNA</w:t>
      </w:r>
      <w:r w:rsidR="009B59EA" w:rsidRPr="005B1CCB">
        <w:rPr>
          <w:rFonts w:ascii="Palatino Linotype" w:hAnsi="Palatino Linotype"/>
          <w:sz w:val="24"/>
          <w:szCs w:val="24"/>
          <w:lang w:bidi="en-US"/>
        </w:rPr>
        <w:t xml:space="preserve"> for amplification rather than attempting direct amplification in plasma.  A DNA purification step would add complexity to the final device/assay and so was omitted in these tests but a good future experiment would be to see if the very promising results for KRAS pG12D and pG13D obtained in chapters 5 and 6 can be replicated with DNA samples extracted and purified from plasma.</w:t>
      </w:r>
    </w:p>
    <w:p w14:paraId="08A90898" w14:textId="532A81DF" w:rsidR="00CC66E1" w:rsidRDefault="00CC66E1" w:rsidP="003A5A33">
      <w:pPr>
        <w:spacing w:line="360" w:lineRule="auto"/>
        <w:jc w:val="both"/>
        <w:rPr>
          <w:rFonts w:ascii="Palatino Linotype" w:hAnsi="Palatino Linotype"/>
          <w:sz w:val="24"/>
          <w:szCs w:val="24"/>
          <w:lang w:bidi="en-US"/>
        </w:rPr>
      </w:pPr>
    </w:p>
    <w:p w14:paraId="20C52E71" w14:textId="453BD6EC" w:rsidR="00AE736A" w:rsidRDefault="00AE736A" w:rsidP="003A5A33">
      <w:pPr>
        <w:spacing w:line="360" w:lineRule="auto"/>
        <w:jc w:val="both"/>
        <w:rPr>
          <w:rFonts w:ascii="Palatino Linotype" w:hAnsi="Palatino Linotype"/>
          <w:sz w:val="24"/>
          <w:szCs w:val="24"/>
          <w:lang w:bidi="en-US"/>
        </w:rPr>
      </w:pPr>
    </w:p>
    <w:p w14:paraId="23B0FDAB" w14:textId="77777777" w:rsidR="00AE736A" w:rsidRDefault="00AE736A" w:rsidP="003A5A33">
      <w:pPr>
        <w:spacing w:line="360" w:lineRule="auto"/>
        <w:jc w:val="both"/>
        <w:rPr>
          <w:rFonts w:ascii="Palatino Linotype" w:hAnsi="Palatino Linotype"/>
          <w:sz w:val="24"/>
          <w:szCs w:val="24"/>
          <w:lang w:bidi="en-US"/>
        </w:rPr>
      </w:pPr>
    </w:p>
    <w:p w14:paraId="46A4C0EE" w14:textId="4F7D3A5E" w:rsidR="00CC66E1" w:rsidRDefault="00CC66E1" w:rsidP="00492F11">
      <w:pPr>
        <w:pStyle w:val="Heading3"/>
      </w:pPr>
      <w:bookmarkStart w:id="229" w:name="_Toc84528157"/>
      <w:r>
        <w:t>Conclusion</w:t>
      </w:r>
      <w:bookmarkEnd w:id="229"/>
    </w:p>
    <w:p w14:paraId="7A733EBB" w14:textId="0CEDB792" w:rsidR="00CC66E1" w:rsidRPr="005B1CCB" w:rsidRDefault="00CC66E1" w:rsidP="003A5A33">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Generally, the CNT-modified SPCEs gave a more consistent detection compared to the regular SPCEs. This has important implication for future studies and suggests that a wide range of CNT modifications should be explored during the optimisation stage of sensor development. The use of single chip CNT modified SPCE was to investigate if cross-reactivity occurred while the multi-CNT modified SPCEs were covered in buffer solutions during experiments. The results from the single electrodes </w:t>
      </w:r>
      <w:r w:rsidRPr="00C46733">
        <w:rPr>
          <w:rFonts w:ascii="Palatino Linotype" w:hAnsi="Palatino Linotype"/>
          <w:sz w:val="24"/>
          <w:szCs w:val="24"/>
          <w:lang w:bidi="en-US"/>
        </w:rPr>
        <w:t>also</w:t>
      </w:r>
      <w:r>
        <w:rPr>
          <w:rFonts w:ascii="Palatino Linotype" w:hAnsi="Palatino Linotype"/>
          <w:sz w:val="24"/>
          <w:szCs w:val="24"/>
          <w:lang w:bidi="en-US"/>
        </w:rPr>
        <w:t xml:space="preserve"> </w:t>
      </w:r>
      <w:r w:rsidRPr="005B1CCB">
        <w:rPr>
          <w:rFonts w:ascii="Palatino Linotype" w:hAnsi="Palatino Linotype"/>
          <w:sz w:val="24"/>
          <w:szCs w:val="24"/>
          <w:lang w:bidi="en-US"/>
        </w:rPr>
        <w:t xml:space="preserve">showed </w:t>
      </w:r>
      <w:r>
        <w:rPr>
          <w:rFonts w:ascii="Palatino Linotype" w:hAnsi="Palatino Linotype"/>
          <w:sz w:val="24"/>
          <w:szCs w:val="24"/>
          <w:lang w:bidi="en-US"/>
        </w:rPr>
        <w:t xml:space="preserve"> huge </w:t>
      </w:r>
      <w:r w:rsidRPr="005B1CCB">
        <w:rPr>
          <w:rFonts w:ascii="Palatino Linotype" w:hAnsi="Palatino Linotype"/>
          <w:sz w:val="24"/>
          <w:szCs w:val="24"/>
          <w:lang w:bidi="en-US"/>
        </w:rPr>
        <w:t xml:space="preserve">variation ruling out the suspicion of cross-reactivity. </w:t>
      </w:r>
      <w:r w:rsidRPr="00C46733">
        <w:rPr>
          <w:rFonts w:ascii="Palatino Linotype" w:hAnsi="Palatino Linotype"/>
          <w:sz w:val="24"/>
          <w:szCs w:val="24"/>
          <w:lang w:bidi="en-US"/>
        </w:rPr>
        <w:t>The difference in cost between the multi-SPCEs (£1.43 per electrode) and the multi-CNT modified SPCEs (£1.81 per electrode) is little compared to the single modified CNT electrodes (£6.20 per electrode).</w:t>
      </w:r>
      <w:r w:rsidRPr="005B1CCB">
        <w:rPr>
          <w:rFonts w:ascii="Palatino Linotype" w:hAnsi="Palatino Linotype"/>
          <w:sz w:val="24"/>
          <w:szCs w:val="24"/>
          <w:lang w:bidi="en-US"/>
        </w:rPr>
        <w:t xml:space="preserve"> Using multi-CNT SPCEs will keep the electrode substrate at a low cost.</w:t>
      </w:r>
    </w:p>
    <w:p w14:paraId="66465A9B" w14:textId="4FF93DBE" w:rsidR="00AD2EB7" w:rsidRPr="005B1CCB" w:rsidRDefault="00FD1636" w:rsidP="008C3E2A">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 xml:space="preserve">     </w:t>
      </w:r>
      <w:r w:rsidR="00D45360" w:rsidRPr="00C46733">
        <w:rPr>
          <w:rFonts w:ascii="Palatino Linotype" w:hAnsi="Palatino Linotype"/>
          <w:sz w:val="24"/>
          <w:szCs w:val="24"/>
          <w:lang w:bidi="en-US"/>
        </w:rPr>
        <w:t xml:space="preserve">The sample size was </w:t>
      </w:r>
      <w:r w:rsidR="00486952" w:rsidRPr="00C46733">
        <w:rPr>
          <w:rFonts w:ascii="Palatino Linotype" w:hAnsi="Palatino Linotype"/>
          <w:sz w:val="24"/>
          <w:szCs w:val="24"/>
          <w:lang w:bidi="en-US"/>
        </w:rPr>
        <w:t xml:space="preserve">also </w:t>
      </w:r>
      <w:r w:rsidR="00D45360" w:rsidRPr="00C46733">
        <w:rPr>
          <w:rFonts w:ascii="Palatino Linotype" w:hAnsi="Palatino Linotype"/>
          <w:sz w:val="24"/>
          <w:szCs w:val="24"/>
          <w:lang w:bidi="en-US"/>
        </w:rPr>
        <w:t>small</w:t>
      </w:r>
      <w:r w:rsidR="00D45360" w:rsidRPr="005B1CCB">
        <w:rPr>
          <w:rFonts w:ascii="Palatino Linotype" w:hAnsi="Palatino Linotype"/>
          <w:sz w:val="24"/>
          <w:szCs w:val="24"/>
          <w:lang w:bidi="en-US"/>
        </w:rPr>
        <w:t xml:space="preserve">, so there was a higher potential for false positive results. </w:t>
      </w:r>
      <w:r w:rsidR="00060826" w:rsidRPr="005B1CCB">
        <w:rPr>
          <w:rFonts w:ascii="Palatino Linotype" w:hAnsi="Palatino Linotype"/>
          <w:sz w:val="24"/>
          <w:szCs w:val="24"/>
          <w:lang w:bidi="en-US"/>
        </w:rPr>
        <w:t xml:space="preserve">The false positives and negatives results might have also occurred as a result of </w:t>
      </w:r>
      <w:r w:rsidR="00060826" w:rsidRPr="00C46733">
        <w:rPr>
          <w:rFonts w:ascii="Palatino Linotype" w:hAnsi="Palatino Linotype"/>
          <w:sz w:val="24"/>
          <w:szCs w:val="24"/>
          <w:lang w:bidi="en-US"/>
        </w:rPr>
        <w:t xml:space="preserve">wild-type </w:t>
      </w:r>
      <w:r w:rsidR="00486952" w:rsidRPr="00C46733">
        <w:rPr>
          <w:rFonts w:ascii="Palatino Linotype" w:hAnsi="Palatino Linotype"/>
          <w:sz w:val="24"/>
          <w:szCs w:val="24"/>
          <w:lang w:bidi="en-US"/>
        </w:rPr>
        <w:t xml:space="preserve">DNA </w:t>
      </w:r>
      <w:r w:rsidR="00060826" w:rsidRPr="00C46733">
        <w:rPr>
          <w:rFonts w:ascii="Palatino Linotype" w:hAnsi="Palatino Linotype"/>
          <w:sz w:val="24"/>
          <w:szCs w:val="24"/>
          <w:lang w:bidi="en-US"/>
        </w:rPr>
        <w:t>binding to the surface of the electrodes</w:t>
      </w:r>
      <w:r w:rsidR="00060826" w:rsidRPr="005B1CCB">
        <w:rPr>
          <w:rFonts w:ascii="Palatino Linotype" w:hAnsi="Palatino Linotype"/>
          <w:sz w:val="24"/>
          <w:szCs w:val="24"/>
          <w:lang w:bidi="en-US"/>
        </w:rPr>
        <w:t xml:space="preserve">. </w:t>
      </w:r>
      <w:r w:rsidR="00884BFC" w:rsidRPr="005B1CCB">
        <w:rPr>
          <w:rFonts w:ascii="Palatino Linotype" w:hAnsi="Palatino Linotype"/>
          <w:sz w:val="24"/>
          <w:szCs w:val="24"/>
          <w:lang w:bidi="en-US"/>
        </w:rPr>
        <w:t xml:space="preserve">It is important to note that the widest variations were observed in patients </w:t>
      </w:r>
      <w:r w:rsidR="001B7C4A" w:rsidRPr="005B1CCB">
        <w:rPr>
          <w:rFonts w:ascii="Palatino Linotype" w:hAnsi="Palatino Linotype"/>
          <w:sz w:val="24"/>
          <w:szCs w:val="24"/>
          <w:lang w:bidi="en-US"/>
        </w:rPr>
        <w:t>who tested negative for the</w:t>
      </w:r>
      <w:r w:rsidR="00884BFC" w:rsidRPr="005B1CCB">
        <w:rPr>
          <w:rFonts w:ascii="Palatino Linotype" w:hAnsi="Palatino Linotype"/>
          <w:sz w:val="24"/>
          <w:szCs w:val="24"/>
          <w:lang w:bidi="en-US"/>
        </w:rPr>
        <w:t xml:space="preserve"> mutation of interest.</w:t>
      </w:r>
      <w:r w:rsidR="00FD0FA2" w:rsidRPr="005B1CCB">
        <w:rPr>
          <w:rFonts w:ascii="Palatino Linotype" w:hAnsi="Palatino Linotype"/>
          <w:sz w:val="24"/>
          <w:szCs w:val="24"/>
          <w:lang w:bidi="en-US"/>
        </w:rPr>
        <w:t xml:space="preserve"> </w:t>
      </w:r>
      <w:r w:rsidR="00060826" w:rsidRPr="005B1CCB">
        <w:rPr>
          <w:rFonts w:ascii="Palatino Linotype" w:hAnsi="Palatino Linotype"/>
          <w:sz w:val="24"/>
          <w:szCs w:val="24"/>
          <w:lang w:bidi="en-US"/>
        </w:rPr>
        <w:t xml:space="preserve">    </w:t>
      </w:r>
      <w:r w:rsidR="00FD0FA2" w:rsidRPr="00C46733">
        <w:rPr>
          <w:rFonts w:ascii="Palatino Linotype" w:hAnsi="Palatino Linotype"/>
          <w:sz w:val="24"/>
          <w:szCs w:val="24"/>
          <w:lang w:bidi="en-US"/>
        </w:rPr>
        <w:t>Due to the inconsistency of the results obtained</w:t>
      </w:r>
      <w:r w:rsidR="000048C5" w:rsidRPr="00C46733">
        <w:rPr>
          <w:rFonts w:ascii="Palatino Linotype" w:hAnsi="Palatino Linotype"/>
          <w:sz w:val="24"/>
          <w:szCs w:val="24"/>
          <w:lang w:bidi="en-US"/>
        </w:rPr>
        <w:t xml:space="preserve"> from each patient using different measurement techniques and control</w:t>
      </w:r>
      <w:r w:rsidR="00FD0FA2" w:rsidRPr="00C46733">
        <w:rPr>
          <w:rFonts w:ascii="Palatino Linotype" w:hAnsi="Palatino Linotype"/>
          <w:sz w:val="24"/>
          <w:szCs w:val="24"/>
          <w:lang w:bidi="en-US"/>
        </w:rPr>
        <w:t>, it was not possible to construct a dose response curve</w:t>
      </w:r>
      <w:r w:rsidR="000048C5" w:rsidRPr="005B1CCB">
        <w:rPr>
          <w:rFonts w:ascii="Palatino Linotype" w:hAnsi="Palatino Linotype"/>
          <w:sz w:val="24"/>
          <w:szCs w:val="24"/>
          <w:lang w:bidi="en-US"/>
        </w:rPr>
        <w:t xml:space="preserve">. </w:t>
      </w:r>
      <w:r w:rsidR="00890A85" w:rsidRPr="005B1CCB">
        <w:rPr>
          <w:rFonts w:ascii="Palatino Linotype" w:hAnsi="Palatino Linotype"/>
          <w:sz w:val="24"/>
          <w:szCs w:val="24"/>
          <w:lang w:bidi="en-US"/>
        </w:rPr>
        <w:t>A direct comparison with previous work is not possible as el</w:t>
      </w:r>
      <w:r w:rsidR="00AD2EB7" w:rsidRPr="005B1CCB">
        <w:rPr>
          <w:rFonts w:ascii="Palatino Linotype" w:hAnsi="Palatino Linotype"/>
          <w:sz w:val="24"/>
          <w:szCs w:val="24"/>
          <w:lang w:bidi="en-US"/>
        </w:rPr>
        <w:t xml:space="preserve">ectrochemical biosensors using the </w:t>
      </w:r>
      <w:r w:rsidR="00890A85" w:rsidRPr="005B1CCB">
        <w:rPr>
          <w:rFonts w:ascii="Palatino Linotype" w:hAnsi="Palatino Linotype"/>
          <w:sz w:val="24"/>
          <w:szCs w:val="24"/>
          <w:lang w:bidi="en-US"/>
        </w:rPr>
        <w:t xml:space="preserve">detection technique and </w:t>
      </w:r>
      <w:r w:rsidR="00AD2EB7" w:rsidRPr="005B1CCB">
        <w:rPr>
          <w:rFonts w:ascii="Palatino Linotype" w:hAnsi="Palatino Linotype"/>
          <w:sz w:val="24"/>
          <w:szCs w:val="24"/>
          <w:lang w:bidi="en-US"/>
        </w:rPr>
        <w:t>platform on the investigated mutations</w:t>
      </w:r>
      <w:r w:rsidR="00890A85" w:rsidRPr="005B1CCB">
        <w:rPr>
          <w:rFonts w:ascii="Palatino Linotype" w:hAnsi="Palatino Linotype"/>
          <w:sz w:val="24"/>
          <w:szCs w:val="24"/>
          <w:lang w:bidi="en-US"/>
        </w:rPr>
        <w:t xml:space="preserve"> have not been developed previously. </w:t>
      </w:r>
      <w:r w:rsidR="00AD2EB7" w:rsidRPr="005B1CCB">
        <w:rPr>
          <w:rFonts w:ascii="Palatino Linotype" w:hAnsi="Palatino Linotype"/>
          <w:sz w:val="24"/>
          <w:szCs w:val="24"/>
          <w:lang w:bidi="en-US"/>
        </w:rPr>
        <w:t xml:space="preserve">A similar work carried out using DNA hybridisation performed on a </w:t>
      </w:r>
      <w:r w:rsidR="00AD2EB7" w:rsidRPr="00C46733">
        <w:rPr>
          <w:rFonts w:ascii="Palatino Linotype" w:hAnsi="Palatino Linotype"/>
          <w:sz w:val="24"/>
          <w:szCs w:val="24"/>
          <w:lang w:bidi="en-US"/>
        </w:rPr>
        <w:t>microfluidic device</w:t>
      </w:r>
      <w:r w:rsidR="00AD2EB7" w:rsidRPr="005B1CCB">
        <w:rPr>
          <w:rFonts w:ascii="Palatino Linotype" w:hAnsi="Palatino Linotype"/>
          <w:sz w:val="24"/>
          <w:szCs w:val="24"/>
          <w:lang w:bidi="en-US"/>
        </w:rPr>
        <w:t xml:space="preserve"> showed that it was possible to detect </w:t>
      </w:r>
      <w:r w:rsidR="00454892" w:rsidRPr="005B1CCB">
        <w:rPr>
          <w:rFonts w:ascii="Palatino Linotype" w:hAnsi="Palatino Linotype"/>
          <w:sz w:val="24"/>
          <w:szCs w:val="24"/>
          <w:lang w:bidi="en-US"/>
        </w:rPr>
        <w:t xml:space="preserve">amplified </w:t>
      </w:r>
      <w:r w:rsidR="00AD2EB7" w:rsidRPr="005B1CCB">
        <w:rPr>
          <w:rFonts w:ascii="Palatino Linotype" w:hAnsi="Palatino Linotype"/>
          <w:sz w:val="24"/>
          <w:szCs w:val="24"/>
          <w:lang w:bidi="en-US"/>
        </w:rPr>
        <w:t>KRAS mutations against a background of up to 95</w:t>
      </w:r>
      <w:r w:rsidR="0095206C" w:rsidRPr="005B1CCB">
        <w:rPr>
          <w:rFonts w:ascii="Palatino Linotype" w:hAnsi="Palatino Linotype"/>
          <w:sz w:val="24"/>
          <w:szCs w:val="24"/>
          <w:lang w:bidi="en-US"/>
        </w:rPr>
        <w:t xml:space="preserve"> </w:t>
      </w:r>
      <w:r w:rsidR="00AD2EB7" w:rsidRPr="005B1CCB">
        <w:rPr>
          <w:rFonts w:ascii="Palatino Linotype" w:hAnsi="Palatino Linotype"/>
          <w:sz w:val="24"/>
          <w:szCs w:val="24"/>
          <w:lang w:bidi="en-US"/>
        </w:rPr>
        <w:t xml:space="preserve">% wild-type DNA </w:t>
      </w:r>
      <w:r w:rsidR="00AD2EB7" w:rsidRPr="005B1CCB">
        <w:rPr>
          <w:rFonts w:ascii="Palatino Linotype" w:hAnsi="Palatino Linotype"/>
          <w:sz w:val="24"/>
          <w:szCs w:val="24"/>
          <w:lang w:bidi="en-US"/>
        </w:rPr>
        <w:fldChar w:fldCharType="begin" w:fldLock="1"/>
      </w:r>
      <w:r w:rsidR="000766C5">
        <w:rPr>
          <w:rFonts w:ascii="Palatino Linotype" w:hAnsi="Palatino Linotype"/>
          <w:sz w:val="24"/>
          <w:szCs w:val="24"/>
          <w:lang w:bidi="en-US"/>
        </w:rPr>
        <w:instrText>ADDIN CSL_CITATION {"citationItems":[{"id":"ITEM-1","itemData":{"DOI":"10.1039/C4AN02086C","ISSN":"0003-2654","abstract":"The use of predictive biomarkers can help to improve therapeutic options for the individual cancer patient. For the treatment of colon cancer patients with anti-EGFR-based drugs, the KRAS mutation status has to be determined to pre-select responders that will benefit from this medication. Amongst others, array-based tests have been established for profiling of the KRAS mutation status. Within this article we describe an on-chip hybridization technique to screen therapeutic relevant KRAS codon 12 mutations. The DNA chip-based platform enables the reliable discrimination of selected mutations by allele-specific hybridization. Here, silver deposits represent robust endpoint signals that allow for a simple naked eye rating. With the here presented assay concept a precise identification of heterozygous and homozygous KRAS mutations, even against a background of up to 95% wild-type DNA, was realizable. The applicability of the test was successfully proven for various cancer cell lines as well as clinical tumour samples. Thus, the chip-based DNA hybridization technique seems to be a promising tool for KRAS mutation analysis to further improve personalized cancer treatment.","author":[{"dropping-particle":"","family":"Steinbach","given":"Christine","non-dropping-particle":"","parse-names":false,"suffix":""},{"dropping-particle":"","family":"Steinbrücker","given":"Carolin","non-dropping-particle":"","parse-names":false,"suffix":""},{"dropping-particle":"","family":"Pollok","given":"Sibyll","non-dropping-particle":"","parse-names":false,"suffix":""},{"dropping-particle":"","family":"Walther","given":"Katharina","non-dropping-particle":"","parse-names":false,"suffix":""},{"dropping-particle":"","family":"Clement","given":"Joachim H","non-dropping-particle":"","parse-names":false,"suffix":""},{"dropping-particle":"","family":"Chen","given":"Yuan","non-dropping-particle":"","parse-names":false,"suffix":""},{"dropping-particle":"","family":"Petersen","given":"Iver","non-dropping-particle":"","parse-names":false,"suffix":""},{"dropping-particle":"","family":"Cialla-May","given":"Dana","non-dropping-particle":"","parse-names":false,"suffix":""},{"dropping-particle":"","family":"Weber","given":"Karina","non-dropping-particle":"","parse-names":false,"suffix":""},{"dropping-particle":"","family":"Popp","given":"Jürgen","non-dropping-particle":"","parse-names":false,"suffix":""}],"container-title":"Analyst","id":"ITEM-1","issue":"8","issued":{"date-parts":[["2015"]]},"page":"2747-2754","publisher":"The Royal Society of Chemistry","title":"KRAS mutation screening by chip-based DNA hybridization – a further step towards personalized oncology","type":"article-journal","volume":"140"},"uris":["http://www.mendeley.com/documents/?uuid=2b556e03-3485-4f2f-9d4e-f2bccf820e51"]}],"mendeley":{"formattedCitation":"[253]","plainTextFormattedCitation":"[253]","previouslyFormattedCitation":"[253]"},"properties":{"noteIndex":0},"schema":"https://github.com/citation-style-language/schema/raw/master/csl-citation.json"}</w:instrText>
      </w:r>
      <w:r w:rsidR="00AD2EB7" w:rsidRPr="005B1CCB">
        <w:rPr>
          <w:rFonts w:ascii="Palatino Linotype" w:hAnsi="Palatino Linotype"/>
          <w:sz w:val="24"/>
          <w:szCs w:val="24"/>
          <w:lang w:bidi="en-US"/>
        </w:rPr>
        <w:fldChar w:fldCharType="separate"/>
      </w:r>
      <w:r w:rsidR="005F2946" w:rsidRPr="005F2946">
        <w:rPr>
          <w:rFonts w:ascii="Palatino Linotype" w:hAnsi="Palatino Linotype"/>
          <w:noProof/>
          <w:sz w:val="24"/>
          <w:szCs w:val="24"/>
          <w:lang w:bidi="en-US"/>
        </w:rPr>
        <w:t>[253]</w:t>
      </w:r>
      <w:r w:rsidR="00AD2EB7" w:rsidRPr="005B1CCB">
        <w:rPr>
          <w:rFonts w:ascii="Palatino Linotype" w:hAnsi="Palatino Linotype"/>
          <w:sz w:val="24"/>
          <w:szCs w:val="24"/>
          <w:lang w:bidi="en-US"/>
        </w:rPr>
        <w:fldChar w:fldCharType="end"/>
      </w:r>
      <w:r w:rsidR="00AD2EB7" w:rsidRPr="005B1CCB">
        <w:rPr>
          <w:rFonts w:ascii="Palatino Linotype" w:hAnsi="Palatino Linotype"/>
          <w:sz w:val="24"/>
          <w:szCs w:val="24"/>
          <w:lang w:bidi="en-US"/>
        </w:rPr>
        <w:t>.</w:t>
      </w:r>
      <w:r w:rsidR="008C3E2A" w:rsidRPr="008C3E2A">
        <w:rPr>
          <w:rFonts w:ascii="Palatino Linotype" w:hAnsi="Palatino Linotype"/>
          <w:sz w:val="24"/>
          <w:szCs w:val="24"/>
          <w:lang w:bidi="en-US"/>
        </w:rPr>
        <w:t xml:space="preserve"> </w:t>
      </w:r>
      <w:r w:rsidR="008C3E2A" w:rsidRPr="005B1CCB">
        <w:rPr>
          <w:rFonts w:ascii="Palatino Linotype" w:hAnsi="Palatino Linotype"/>
          <w:sz w:val="24"/>
          <w:szCs w:val="24"/>
          <w:lang w:bidi="en-US"/>
        </w:rPr>
        <w:t>From a practical perspective, these data show that although both SPCEs and CNT-modified SPCEs are sensitive, they can be more specific for single base-change mutations.</w:t>
      </w:r>
    </w:p>
    <w:p w14:paraId="03818B3B" w14:textId="26B9775E" w:rsidR="00A57012" w:rsidRDefault="00A57012" w:rsidP="00A57C75">
      <w:pPr>
        <w:spacing w:line="360" w:lineRule="auto"/>
        <w:jc w:val="both"/>
        <w:rPr>
          <w:rFonts w:ascii="Palatino Linotype" w:hAnsi="Palatino Linotype"/>
          <w:sz w:val="24"/>
          <w:szCs w:val="24"/>
          <w:lang w:bidi="en-US"/>
        </w:rPr>
      </w:pPr>
    </w:p>
    <w:p w14:paraId="342512B6" w14:textId="0D4BA77D" w:rsidR="00AE736A" w:rsidRDefault="00AE736A" w:rsidP="00A57C75">
      <w:pPr>
        <w:spacing w:line="360" w:lineRule="auto"/>
        <w:jc w:val="both"/>
        <w:rPr>
          <w:rFonts w:ascii="Palatino Linotype" w:hAnsi="Palatino Linotype" w:cs="Times New Roman"/>
          <w:sz w:val="24"/>
          <w:szCs w:val="24"/>
          <w:lang w:val="en-US"/>
        </w:rPr>
      </w:pPr>
    </w:p>
    <w:p w14:paraId="2A6511F2" w14:textId="42DFDF8B" w:rsidR="00AE736A" w:rsidRDefault="00AE736A" w:rsidP="00A57C75">
      <w:pPr>
        <w:spacing w:line="360" w:lineRule="auto"/>
        <w:jc w:val="both"/>
        <w:rPr>
          <w:rFonts w:ascii="Palatino Linotype" w:hAnsi="Palatino Linotype" w:cs="Times New Roman"/>
          <w:sz w:val="24"/>
          <w:szCs w:val="24"/>
          <w:lang w:val="en-US"/>
        </w:rPr>
      </w:pPr>
    </w:p>
    <w:p w14:paraId="218FAFEA" w14:textId="33BEEE6E" w:rsidR="00AE736A" w:rsidRDefault="00AE736A" w:rsidP="00A57C75">
      <w:pPr>
        <w:spacing w:line="360" w:lineRule="auto"/>
        <w:jc w:val="both"/>
        <w:rPr>
          <w:rFonts w:ascii="Palatino Linotype" w:hAnsi="Palatino Linotype" w:cs="Times New Roman"/>
          <w:sz w:val="24"/>
          <w:szCs w:val="24"/>
          <w:lang w:val="en-US"/>
        </w:rPr>
      </w:pPr>
    </w:p>
    <w:p w14:paraId="3ECDB3E6" w14:textId="51496E12" w:rsidR="00AE736A" w:rsidRDefault="00AE736A" w:rsidP="00A57C75">
      <w:pPr>
        <w:spacing w:line="360" w:lineRule="auto"/>
        <w:jc w:val="both"/>
        <w:rPr>
          <w:rFonts w:ascii="Palatino Linotype" w:hAnsi="Palatino Linotype" w:cs="Times New Roman"/>
          <w:sz w:val="24"/>
          <w:szCs w:val="24"/>
          <w:lang w:val="en-US"/>
        </w:rPr>
      </w:pPr>
    </w:p>
    <w:p w14:paraId="09108D19" w14:textId="42EF5C7E" w:rsidR="00AE736A" w:rsidRDefault="00AE736A" w:rsidP="00A57C75">
      <w:pPr>
        <w:spacing w:line="360" w:lineRule="auto"/>
        <w:jc w:val="both"/>
        <w:rPr>
          <w:rFonts w:ascii="Palatino Linotype" w:hAnsi="Palatino Linotype" w:cs="Times New Roman"/>
          <w:sz w:val="24"/>
          <w:szCs w:val="24"/>
          <w:lang w:val="en-US"/>
        </w:rPr>
      </w:pPr>
    </w:p>
    <w:p w14:paraId="73BC14A7" w14:textId="57CB463C" w:rsidR="00AE736A" w:rsidRDefault="00AE736A" w:rsidP="00A57C75">
      <w:pPr>
        <w:spacing w:line="360" w:lineRule="auto"/>
        <w:jc w:val="both"/>
        <w:rPr>
          <w:rFonts w:ascii="Palatino Linotype" w:hAnsi="Palatino Linotype" w:cs="Times New Roman"/>
          <w:sz w:val="24"/>
          <w:szCs w:val="24"/>
          <w:lang w:val="en-US"/>
        </w:rPr>
      </w:pPr>
    </w:p>
    <w:p w14:paraId="2C526269" w14:textId="77777777" w:rsidR="00AE736A" w:rsidRPr="005B1CCB" w:rsidRDefault="00AE736A" w:rsidP="00A57C75">
      <w:pPr>
        <w:spacing w:line="360" w:lineRule="auto"/>
        <w:jc w:val="both"/>
        <w:rPr>
          <w:rFonts w:ascii="Palatino Linotype" w:hAnsi="Palatino Linotype" w:cs="Times New Roman"/>
          <w:sz w:val="24"/>
          <w:szCs w:val="24"/>
          <w:lang w:val="en-US"/>
        </w:rPr>
      </w:pPr>
    </w:p>
    <w:p w14:paraId="1BC70A23" w14:textId="7D531F6B" w:rsidR="003675E4" w:rsidRPr="005B1CCB" w:rsidRDefault="00CA6CF0" w:rsidP="00492F11">
      <w:pPr>
        <w:pStyle w:val="Heading1"/>
        <w:jc w:val="center"/>
        <w:rPr>
          <w:lang w:val="en-US"/>
        </w:rPr>
      </w:pPr>
      <w:bookmarkStart w:id="230" w:name="_Toc84528158"/>
      <w:r>
        <w:rPr>
          <w:lang w:val="en-US"/>
        </w:rPr>
        <w:t xml:space="preserve">- </w:t>
      </w:r>
      <w:r w:rsidRPr="005B1CCB">
        <w:rPr>
          <w:lang w:val="en-US"/>
        </w:rPr>
        <w:t>OVERALL CONCLUSIONS</w:t>
      </w:r>
      <w:bookmarkEnd w:id="230"/>
    </w:p>
    <w:p w14:paraId="3DDCA0EE" w14:textId="3D41B1AC" w:rsidR="00304EC6" w:rsidRPr="005B1CCB" w:rsidRDefault="000E42FF" w:rsidP="000E42FF">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416BAF" w:rsidRPr="005B1CCB">
        <w:rPr>
          <w:rFonts w:ascii="Palatino Linotype" w:hAnsi="Palatino Linotype" w:cs="Times New Roman"/>
          <w:sz w:val="24"/>
          <w:szCs w:val="24"/>
        </w:rPr>
        <w:t xml:space="preserve">The current method for monitoring cancer recurrence is having a scan every 3 to 6 months for the first two years after treatment and then every 6 to 12 months for a further 3 years </w:t>
      </w:r>
      <w:r w:rsidR="00416BAF"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URL":"https://www.nhs.uk/conditions/cervical-cancer/treatment/","accessed":{"date-parts":[["2020","8","14"]]},"author":[{"dropping-particle":"","family":"NHS","given":"","non-dropping-particle":"","parse-names":false,"suffix":""}],"container-title":"11/05/2018","id":"ITEM-1","issued":{"date-parts":[["2018"]]},"title":"Treatment","type":"webpage"},"uris":["http://www.mendeley.com/documents/?uuid=d12ca1e9-d0f2-4f35-8179-bf4002072dc4"]}],"mendeley":{"formattedCitation":"[254]","plainTextFormattedCitation":"[254]","previouslyFormattedCitation":"[254]"},"properties":{"noteIndex":0},"schema":"https://github.com/citation-style-language/schema/raw/master/csl-citation.json"}</w:instrText>
      </w:r>
      <w:r w:rsidR="00416BAF"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[254]</w:t>
      </w:r>
      <w:r w:rsidR="00416BAF" w:rsidRPr="005B1CCB">
        <w:rPr>
          <w:rFonts w:ascii="Palatino Linotype" w:hAnsi="Palatino Linotype" w:cs="Times New Roman"/>
          <w:sz w:val="24"/>
          <w:szCs w:val="24"/>
        </w:rPr>
        <w:fldChar w:fldCharType="end"/>
      </w:r>
      <w:r w:rsidR="00416BAF" w:rsidRPr="005B1CCB">
        <w:rPr>
          <w:rFonts w:ascii="Palatino Linotype" w:hAnsi="Palatino Linotype" w:cs="Times New Roman"/>
          <w:sz w:val="24"/>
          <w:szCs w:val="24"/>
        </w:rPr>
        <w:t xml:space="preserve">. </w:t>
      </w:r>
      <w:r w:rsidRPr="005B1CCB">
        <w:rPr>
          <w:rFonts w:ascii="Palatino Linotype" w:hAnsi="Palatino Linotype" w:cs="Times New Roman"/>
          <w:sz w:val="24"/>
          <w:szCs w:val="24"/>
        </w:rPr>
        <w:t xml:space="preserve">ctDNA analysis is a potentially </w:t>
      </w:r>
      <w:r w:rsidR="00526FC8" w:rsidRPr="005B1CCB">
        <w:rPr>
          <w:rFonts w:ascii="Palatino Linotype" w:hAnsi="Palatino Linotype" w:cs="Times New Roman"/>
          <w:sz w:val="24"/>
          <w:szCs w:val="24"/>
        </w:rPr>
        <w:t>less</w:t>
      </w:r>
      <w:r w:rsidRPr="005B1CCB">
        <w:rPr>
          <w:rFonts w:ascii="Palatino Linotype" w:hAnsi="Palatino Linotype" w:cs="Times New Roman"/>
          <w:sz w:val="24"/>
          <w:szCs w:val="24"/>
        </w:rPr>
        <w:t xml:space="preserve">-invasive alternative to tissue biopsy analysis for tumour genotyping across all solid tumour types as it offers a quicker analysis time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{"citationItems":[{"id":"ITEM-1","itemData":{"DOI":"10.1016/j.tranon.2018.07.013","ISSN":"19365233","PMID":"30086420","abstract":"Measuring total cell-free DNA (cfDNA) or cancer-specific mutations herein has presented as new tools in aiding the treatment of cancer patients. Studies show that total cfDNA bears prognostic value in metastatic colorectal cancer (mCRC) and that measuring cancer-specific mutations could supplement biopsies. However, limited information is available on the performance of different methods. Blood samples from 28 patients with mCRC and known KRAS mutation status were included. cfDNA was extracted and quantified with droplet digital polymerase chain reaction (ddPCR) measuring Beta-2 Microglobulin. KRAS mutation detection was performed using ddPCR (Bio-Rad) and next-generation sequencing (NGS, Ion Torrent PGM). Comparing KRAS mutation status in plasma and tissue revealed concordance rates of 79% and 89% for NGS and ddPCR. Strong correlation between the methods was observed. Most KRAS mutations were also detectable in 10-fold diluted samples using the ddPCR. We find that for detection of KRAS mutations in ctDNA ddPCR was superior to NGS both in analysis success rate and concordance to tissue. We further present results indicating that lower amount of plasma may be used for detection of KRAS mutations in mCRC.","author":[{"dropping-particle":"","family":"Demuth","given":"Christina","non-dropping-particle":"","parse-names":false,"suffix":""},{"dropping-particle":"","family":"Spindler","given":"Karen Lise Garm","non-dropping-particle":"","parse-names":false,"suffix":""},{"dropping-particle":"","family":"Johansen","given":"Julia S.","non-dropping-particle":"","parse-names":false,"suffix":""},{"dropping-particle":"","family":"Pallisgaard","given":"Niels","non-dropping-particle":"","parse-names":false,"suffix":""},{"dropping-particle":"","family":"Nielsen","given":"Dorte","non-dropping-particle":"","parse-names":false,"suffix":""},{"dropping-particle":"","family":"Hogdall","given":"Estrid","non-dropping-particle":"","parse-names":false,"suffix":""},{"dropping-particle":"","family":"Vittrup","given":"Benny","non-dropping-particle":"","parse-names":false,"suffix":""},{"dropping-particle":"","family":"Sorensen","given":"Boe Sandahl","non-dropping-particle":"","parse-names":false,"suffix":""}],"container-title":"Translational Oncology","id":"ITEM-1","issue":"5","issued":{"date-parts":[["2018"]]},"page":"1220-1224","publisher":"The Authors","title":"Measuring KRAS Mutations in Circulating Tumor DNA by Droplet Digital PCR and Next-Generation Sequencing","type":"article-journal","volume":"11"},"uris":["http://www.mendeley.com/documents/?uuid=44b3004d-f15d-464f-8a1a-200ee57d1fa3"]},{"id":"ITEM-2","itemData":{"DOI":"10.1158/1535-7163.MCT-18-0174","author":[{"dropping-particle":"","family":"Namløs","given":"Heidi M","non-dropping-particle":"","parse-names":false,"suffix":""},{"dropping-particle":"","family":"Boye","given":"Kjetil","non-dropping-particle":"","parse-names":false,"suffix":""},{"dropping-particle":"","family":"Mishkin","given":"Skyler J","non-dropping-particle":"","parse-names":false,"suffix":""},{"dropping-particle":"","family":"Barøy","given":"Tale","non-dropping-particle":"","parse-names":false,"suffix":""},{"dropping-particle":"","family":"Lorenz","given":"Susanne","non-dropping-particle":"","parse-names":false,"suffix":""},{"dropping-particle":"","family":"Bjerkehagen","given":"Bodil","non-dropping-particle":"","parse-names":false,"suffix":""},{"dropping-particle":"","family":"Stratford","given":"Eva W","non-dropping-particle":"","parse-names":false,"suffix":""},{"dropping-particle":"","family":"Munthe","given":"Else","non-dropping-particle":"","parse-names":false,"suffix":""},{"dropping-particle":"","family":"Kudlow","given":"Brian A","non-dropping-particle":"","parse-names":false,"suffix":""},{"dropping-particle":"","family":"Myklebost","given":"Ola","non-dropping-particle":"","parse-names":false,"suffix":""},{"dropping-particle":"","family":"Meza-zepeda","given":"Leonardo A","non-dropping-particle":"","parse-names":false,"suffix":""}],"id":"ITEM-2","issued":{"date-parts":[["2018"]]},"page":"2473-2481","title":"Noninvasive Detection of ctDNA Reveals Intratumor Heterogeneity and Is Associated with Tumor Burden in Gastrointestinal Stromal Tumor","type":"article-journal"},"uris":["http://www.mendeley.com/documents/?uuid=a75ed6a6-0710-494c-8eba-1005feadf0ec"]}],"mendeley":{"formattedCitation":"[234], [235]","plainTextFormattedCitation":"[234], [235]","previouslyFormattedCitation":"[234], [235]"},"properties":{"noteIndex":0},"schema":"https://github.com/citation-style-language/schema/raw/master/csl-citation.json"}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[234], [235]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Once the ctDNA biomarker is released, it appears in the blood throughout the early stages of a tumour thus presenting a very practical method for early diagnosis for capturing heterogeneity between tumours of the same type and in different patients </w:t>
      </w:r>
      <w:r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{"citationItems":[{"id":"ITEM-1","itemData":{"DOI":"10.1158/1535-7163.MCT-18-0174","author":[{"dropping-particle":"","family":"Namløs","given":"Heidi M","non-dropping-particle":"","parse-names":false,"suffix":""},{"dropping-particle":"","family":"Boye","given":"Kjetil","non-dropping-particle":"","parse-names":false,"suffix":""},{"dropping-particle":"","family":"Mishkin","given":"Skyler J","non-dropping-particle":"","parse-names":false,"suffix":""},{"dropping-particle":"","family":"Barøy","given":"Tale","non-dropping-particle":"","parse-names":false,"suffix":""},{"dropping-particle":"","family":"Lorenz","given":"Susanne","non-dropping-particle":"","parse-names":false,"suffix":""},{"dropping-particle":"","family":"Bjerkehagen","given":"Bodil","non-dropping-particle":"","parse-names":false,"suffix":""},{"dropping-particle":"","family":"Stratford","given":"Eva W","non-dropping-particle":"","parse-names":false,"suffix":""},{"dropping-particle":"","family":"Munthe","given":"Else","non-dropping-particle":"","parse-names":false,"suffix":""},{"dropping-particle":"","family":"Kudlow","given":"Brian A","non-dropping-particle":"","parse-names":false,"suffix":""},{"dropping-particle":"","family":"Myklebost","given":"Ola","non-dropping-particle":"","parse-names":false,"suffix":""},{"dropping-particle":"","family":"Meza-zepeda","given":"Leonardo A","non-dropping-particle":"","parse-names":false,"suffix":""}],"id":"ITEM-1","issued":{"date-parts":[["2018"]]},"page":"2473-2481","title":"Noninvasive Detection of ctDNA Reveals Intratumor Heterogeneity and Is Associated with Tumor Burden in Gastrointestinal Stromal Tumor","type":"article-journal"},"uris":["http://www.mendeley.com/documents/?uuid=a75ed6a6-0710-494c-8eba-1005feadf0ec"]}],"mendeley":{"formattedCitation":"[235]","plainTextFormattedCitation":"[235]","previouslyFormattedCitation":"[235]"},"properties":{"noteIndex":0},"schema":"https://github.com/citation-style-language/schema/raw/master/csl-citation.json"}</w:instrText>
      </w:r>
      <w:r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003E3706" w:rsidRPr="005B1CCB">
        <w:rPr>
          <w:rFonts w:ascii="Palatino Linotype" w:hAnsi="Palatino Linotype" w:cs="Times New Roman"/>
          <w:sz w:val="24"/>
          <w:szCs w:val="24"/>
        </w:rPr>
        <w:t>In this study, a low-cost</w:t>
      </w:r>
      <w:r w:rsidR="00615B6C" w:rsidRPr="005B1CCB">
        <w:rPr>
          <w:rFonts w:ascii="Palatino Linotype" w:hAnsi="Palatino Linotype" w:cs="Times New Roman"/>
          <w:sz w:val="24"/>
          <w:szCs w:val="24"/>
        </w:rPr>
        <w:t xml:space="preserve">, label-free </w:t>
      </w:r>
      <w:r w:rsidR="003E3706" w:rsidRPr="005B1CCB">
        <w:rPr>
          <w:rFonts w:ascii="Palatino Linotype" w:hAnsi="Palatino Linotype" w:cs="Times New Roman"/>
          <w:sz w:val="24"/>
          <w:szCs w:val="24"/>
        </w:rPr>
        <w:t xml:space="preserve">detection system for the detection of KRAS pG12D, pG13D and wild-type cfDNA was characterised. The electrodes used were commercially available and easily pre-treated. The approach took advantage of a commercially available low-cost </w:t>
      </w:r>
      <w:r w:rsidR="008B592C" w:rsidRPr="005B1CCB">
        <w:rPr>
          <w:rFonts w:ascii="Palatino Linotype" w:hAnsi="Palatino Linotype" w:cs="Times New Roman"/>
          <w:sz w:val="24"/>
          <w:szCs w:val="24"/>
        </w:rPr>
        <w:t>thermo-</w:t>
      </w:r>
      <w:r w:rsidR="003E3706" w:rsidRPr="005B1CCB">
        <w:rPr>
          <w:rFonts w:ascii="Palatino Linotype" w:hAnsi="Palatino Linotype" w:cs="Times New Roman"/>
          <w:sz w:val="24"/>
          <w:szCs w:val="24"/>
        </w:rPr>
        <w:t xml:space="preserve">cycler to amplify regions and denature DNA amplicons prior to immobilisation on the sensor surface. </w:t>
      </w:r>
      <w:r w:rsidR="00434388" w:rsidRPr="005B1CCB">
        <w:rPr>
          <w:rFonts w:ascii="Palatino Linotype" w:hAnsi="Palatino Linotype" w:cs="Times New Roman"/>
          <w:sz w:val="24"/>
          <w:szCs w:val="24"/>
        </w:rPr>
        <w:t xml:space="preserve">Control experiments were conducted with non-specific DNA sequences. </w:t>
      </w:r>
      <w:r w:rsidR="003E3706" w:rsidRPr="005B1CCB">
        <w:rPr>
          <w:rFonts w:ascii="Palatino Linotype" w:hAnsi="Palatino Linotype" w:cs="Times New Roman"/>
          <w:sz w:val="24"/>
          <w:szCs w:val="24"/>
        </w:rPr>
        <w:t xml:space="preserve">It was shown that the electrochemical sensitivity observed was strongly determined by the </w:t>
      </w:r>
      <w:r w:rsidR="00FD1A74" w:rsidRPr="005B1CCB">
        <w:rPr>
          <w:rFonts w:ascii="Palatino Linotype" w:hAnsi="Palatino Linotype" w:cs="Times New Roman"/>
          <w:sz w:val="24"/>
          <w:szCs w:val="24"/>
        </w:rPr>
        <w:t xml:space="preserve">choice of electrode, choice of electrode pre-treatment technique, choice of redox buffer, </w:t>
      </w:r>
      <w:r w:rsidR="003E3706" w:rsidRPr="005B1CCB">
        <w:rPr>
          <w:rFonts w:ascii="Palatino Linotype" w:hAnsi="Palatino Linotype" w:cs="Times New Roman"/>
          <w:sz w:val="24"/>
          <w:szCs w:val="24"/>
        </w:rPr>
        <w:t>length of DNA fragment</w:t>
      </w:r>
      <w:r w:rsidR="00FD1A74" w:rsidRPr="005B1CCB">
        <w:rPr>
          <w:rFonts w:ascii="Palatino Linotype" w:hAnsi="Palatino Linotype" w:cs="Times New Roman"/>
          <w:sz w:val="24"/>
          <w:szCs w:val="24"/>
        </w:rPr>
        <w:t>, amplification reaction and type of target sample being analysed.</w:t>
      </w:r>
    </w:p>
    <w:p w14:paraId="5416977C" w14:textId="25DB861F" w:rsidR="00842C52" w:rsidRPr="005B1CCB" w:rsidRDefault="00304EC6" w:rsidP="000E42FF">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434388" w:rsidRPr="005B1CCB">
        <w:rPr>
          <w:rFonts w:ascii="Palatino Linotype" w:hAnsi="Palatino Linotype" w:cs="Times New Roman"/>
          <w:sz w:val="24"/>
          <w:szCs w:val="24"/>
        </w:rPr>
        <w:t xml:space="preserve">The detection of </w:t>
      </w:r>
      <w:r w:rsidRPr="005B1CCB">
        <w:rPr>
          <w:rFonts w:ascii="Palatino Linotype" w:hAnsi="Palatino Linotype" w:cs="Times New Roman"/>
          <w:sz w:val="24"/>
          <w:szCs w:val="24"/>
        </w:rPr>
        <w:t xml:space="preserve">both amplified and non-amplified </w:t>
      </w:r>
      <w:r w:rsidR="00434388" w:rsidRPr="005B1CCB">
        <w:rPr>
          <w:rFonts w:ascii="Palatino Linotype" w:hAnsi="Palatino Linotype" w:cs="Times New Roman"/>
          <w:sz w:val="24"/>
          <w:szCs w:val="24"/>
        </w:rPr>
        <w:t>KRAS pG12D and pG13D</w:t>
      </w:r>
      <w:r w:rsidR="00716D16" w:rsidRPr="005B1CCB">
        <w:rPr>
          <w:rFonts w:ascii="Palatino Linotype" w:hAnsi="Palatino Linotype" w:cs="Times New Roman"/>
          <w:sz w:val="24"/>
          <w:szCs w:val="24"/>
        </w:rPr>
        <w:t xml:space="preserve"> </w:t>
      </w:r>
      <w:r w:rsidR="00434388" w:rsidRPr="005B1CCB">
        <w:rPr>
          <w:rFonts w:ascii="Palatino Linotype" w:hAnsi="Palatino Linotype" w:cs="Times New Roman"/>
          <w:sz w:val="24"/>
          <w:szCs w:val="24"/>
        </w:rPr>
        <w:t xml:space="preserve">mutations which are both single base change mutations was possible. </w:t>
      </w:r>
      <w:r w:rsidR="003E6242" w:rsidRPr="005B1CCB">
        <w:rPr>
          <w:rFonts w:ascii="Palatino Linotype" w:hAnsi="Palatino Linotype" w:cs="Times New Roman"/>
          <w:sz w:val="24"/>
          <w:szCs w:val="24"/>
        </w:rPr>
        <w:t xml:space="preserve">For the amplified samples, </w:t>
      </w:r>
      <w:r w:rsidR="003E6242" w:rsidRPr="00C46733">
        <w:rPr>
          <w:rFonts w:ascii="Palatino Linotype" w:hAnsi="Palatino Linotype"/>
          <w:sz w:val="24"/>
          <w:szCs w:val="24"/>
        </w:rPr>
        <w:t>0.</w:t>
      </w:r>
      <w:r w:rsidR="000A61C1" w:rsidRPr="00C46733">
        <w:rPr>
          <w:rFonts w:ascii="Palatino Linotype" w:hAnsi="Palatino Linotype"/>
          <w:sz w:val="24"/>
          <w:szCs w:val="24"/>
        </w:rPr>
        <w:t>027</w:t>
      </w:r>
      <w:r w:rsidR="002D2D43">
        <w:rPr>
          <w:rFonts w:ascii="Palatino Linotype" w:hAnsi="Palatino Linotype"/>
          <w:sz w:val="24"/>
          <w:szCs w:val="24"/>
        </w:rPr>
        <w:t xml:space="preserve"> </w:t>
      </w:r>
      <w:r w:rsidR="002D2D43" w:rsidRPr="002D2D43">
        <w:rPr>
          <w:rFonts w:ascii="Palatino Linotype" w:hAnsi="Palatino Linotype"/>
          <w:sz w:val="24"/>
          <w:szCs w:val="24"/>
        </w:rPr>
        <w:t xml:space="preserve">ng/µl </w:t>
      </w:r>
      <w:r w:rsidR="003E6242" w:rsidRPr="005B1CCB">
        <w:rPr>
          <w:rFonts w:ascii="Palatino Linotype" w:hAnsi="Palatino Linotype"/>
          <w:sz w:val="24"/>
          <w:szCs w:val="24"/>
        </w:rPr>
        <w:t>amplicons</w:t>
      </w:r>
      <w:r w:rsidR="003E6242" w:rsidRPr="005B1CCB">
        <w:rPr>
          <w:rFonts w:ascii="Palatino Linotype" w:hAnsi="Palatino Linotype" w:cs="Times New Roman"/>
          <w:sz w:val="24"/>
          <w:szCs w:val="24"/>
        </w:rPr>
        <w:t xml:space="preserve"> were detectable while for the non-amplified samples, </w:t>
      </w:r>
      <w:r w:rsidR="000A61C1" w:rsidRPr="00C46733">
        <w:rPr>
          <w:rFonts w:ascii="Palatino Linotype" w:hAnsi="Palatino Linotype" w:cs="Times New Roman"/>
          <w:sz w:val="24"/>
          <w:szCs w:val="24"/>
        </w:rPr>
        <w:t>0.85</w:t>
      </w:r>
      <w:r w:rsidR="000A61C1">
        <w:rPr>
          <w:rFonts w:ascii="Palatino Linotype" w:hAnsi="Palatino Linotype" w:cs="Times New Roman"/>
          <w:sz w:val="24"/>
          <w:szCs w:val="24"/>
        </w:rPr>
        <w:t xml:space="preserve"> </w:t>
      </w:r>
      <w:r w:rsidR="000A61C1" w:rsidRPr="005B1CCB">
        <w:rPr>
          <w:rFonts w:ascii="Palatino Linotype" w:hAnsi="Palatino Linotype"/>
          <w:sz w:val="24"/>
          <w:szCs w:val="24"/>
        </w:rPr>
        <w:t xml:space="preserve">ng/µl </w:t>
      </w:r>
      <w:r w:rsidR="003E6242" w:rsidRPr="005B1CCB">
        <w:rPr>
          <w:rFonts w:ascii="Palatino Linotype" w:hAnsi="Palatino Linotype"/>
          <w:sz w:val="24"/>
          <w:szCs w:val="24"/>
        </w:rPr>
        <w:t>cfDNA concentration w</w:t>
      </w:r>
      <w:r w:rsidR="00D05A5A">
        <w:rPr>
          <w:rFonts w:ascii="Palatino Linotype" w:hAnsi="Palatino Linotype"/>
          <w:sz w:val="24"/>
          <w:szCs w:val="24"/>
        </w:rPr>
        <w:t>as</w:t>
      </w:r>
      <w:r w:rsidR="003E6242" w:rsidRPr="005B1CCB">
        <w:rPr>
          <w:rFonts w:ascii="Palatino Linotype" w:hAnsi="Palatino Linotype"/>
          <w:sz w:val="24"/>
          <w:szCs w:val="24"/>
        </w:rPr>
        <w:t xml:space="preserve"> detectable using the assay developed. </w:t>
      </w:r>
      <w:r w:rsidR="00013665" w:rsidRPr="005B1CCB">
        <w:rPr>
          <w:rFonts w:ascii="Palatino Linotype" w:hAnsi="Palatino Linotype" w:cs="Times New Roman"/>
          <w:sz w:val="24"/>
          <w:szCs w:val="24"/>
        </w:rPr>
        <w:t xml:space="preserve">The significance of the results obtained from the non-amplified samples lies in the fact that it was possible to detect gDNA hybridisation without performing PCR on the ctDNA, although at low sensitivities. </w:t>
      </w:r>
      <w:r w:rsidR="00802EA1" w:rsidRPr="005B1CCB">
        <w:rPr>
          <w:rFonts w:ascii="Palatino Linotype" w:hAnsi="Palatino Linotype" w:cs="Times New Roman"/>
          <w:sz w:val="24"/>
          <w:szCs w:val="24"/>
        </w:rPr>
        <w:t xml:space="preserve">Some of the </w:t>
      </w:r>
      <w:r w:rsidR="000E42FF" w:rsidRPr="005B1CCB">
        <w:rPr>
          <w:rFonts w:ascii="Palatino Linotype" w:hAnsi="Palatino Linotype" w:cs="Times New Roman"/>
          <w:sz w:val="24"/>
          <w:szCs w:val="24"/>
        </w:rPr>
        <w:t xml:space="preserve">findings of this study on ctDNA amplification are in </w:t>
      </w:r>
      <w:r w:rsidR="00D87BF6" w:rsidRPr="005B1CCB">
        <w:rPr>
          <w:rFonts w:ascii="Palatino Linotype" w:hAnsi="Palatino Linotype" w:cs="Times New Roman"/>
          <w:sz w:val="24"/>
          <w:szCs w:val="24"/>
        </w:rPr>
        <w:t>line</w:t>
      </w:r>
      <w:r w:rsidR="000E42FF" w:rsidRPr="005B1CCB">
        <w:rPr>
          <w:rFonts w:ascii="Palatino Linotype" w:hAnsi="Palatino Linotype" w:cs="Times New Roman"/>
          <w:sz w:val="24"/>
          <w:szCs w:val="24"/>
        </w:rPr>
        <w:t xml:space="preserve"> with several previous studies that were also able to successfully detect ctDNA KRAS mutations in patient samples using ddPCR technique </w:t>
      </w:r>
      <w:r w:rsidR="000E42FF"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{"citationItems":[{"id":"ITEM-1","itemData":{"DOI":"10.1016/j.tranon.2018.07.013","ISSN":"19365233","PMID":"30086420","abstract":"Measuring total cell-free DNA (cfDNA) or cancer-specific mutations herein has presented as new tools in aiding the treatment of cancer patients. Studies show that total cfDNA bears prognostic value in metastatic colorectal cancer (mCRC) and that measuring cancer-specific mutations could supplement biopsies. However, limited information is available on the performance of different methods. Blood samples from 28 patients with mCRC and known KRAS mutation status were included. cfDNA was extracted and quantified with droplet digital polymerase chain reaction (ddPCR) measuring Beta-2 Microglobulin. KRAS mutation detection was performed using ddPCR (Bio-Rad) and next-generation sequencing (NGS, Ion Torrent PGM). Comparing KRAS mutation status in plasma and tissue revealed concordance rates of 79% and 89% for NGS and ddPCR. Strong correlation between the methods was observed. Most KRAS mutations were also detectable in 10-fold diluted samples using the ddPCR. We find that for detection of KRAS mutations in ctDNA ddPCR was superior to NGS both in analysis success rate and concordance to tissue. We further present results indicating that lower amount of plasma may be used for detection of KRAS mutations in mCRC.","author":[{"dropping-particle":"","family":"Demuth","given":"Christina","non-dropping-particle":"","parse-names":false,"suffix":""},{"dropping-particle":"","family":"Spindler","given":"Karen Lise Garm","non-dropping-particle":"","parse-names":false,"suffix":""},{"dropping-particle":"","family":"Johansen","given":"Julia S.","non-dropping-particle":"","parse-names":false,"suffix":""},{"dropping-particle":"","family":"Pallisgaard","given":"Niels","non-dropping-particle":"","parse-names":false,"suffix":""},{"dropping-particle":"","family":"Nielsen","given":"Dorte","non-dropping-particle":"","parse-names":false,"suffix":""},{"dropping-particle":"","family":"Hogdall","given":"Estrid","non-dropping-particle":"","parse-names":false,"suffix":""},{"dropping-particle":"","family":"Vittrup","given":"Benny","non-dropping-particle":"","parse-names":false,"suffix":""},{"dropping-particle":"","family":"Sorensen","given":"Boe Sandahl","non-dropping-particle":"","parse-names":false,"suffix":""}],"container-title":"Translational Oncology","id":"ITEM-1","issue":"5","issued":{"date-parts":[["2018"]]},"page":"1220-1224","publisher":"The Authors","title":"Measuring KRAS Mutations in Circulating Tumor DNA by Droplet Digital PCR and Next-Generation Sequencing","type":"article-journal","volume":"11"},"uris":["http://www.mendeley.com/documents/?uuid=44b3004d-f15d-464f-8a1a-200ee57d1fa3"]}],"mendeley":{"formattedCitation":"[234]","plainTextFormattedCitation":"[234]","previouslyFormattedCitation":"[234]"},"properties":{"noteIndex":0},"schema":"https://github.com/citation-style-language/schema/raw/master/csl-citation.json"}</w:instrText>
      </w:r>
      <w:r w:rsidR="000E42FF"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[234]</w:t>
      </w:r>
      <w:r w:rsidR="000E42FF" w:rsidRPr="005B1CCB">
        <w:rPr>
          <w:rFonts w:ascii="Palatino Linotype" w:hAnsi="Palatino Linotype" w:cs="Times New Roman"/>
          <w:sz w:val="24"/>
          <w:szCs w:val="24"/>
        </w:rPr>
        <w:fldChar w:fldCharType="end"/>
      </w:r>
      <w:r w:rsidR="000E42FF"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10.1016/j.clcc.2017.10.017","ISSN":"1533-0028","author":[{"dropping-particle":"","family":"Germano","given":"Giovanni","non-dropping-particle":"","parse-names":false,"suffix":""},{"dropping-particle":"","family":"Mauri","given":"Gianluca","non-dropping-particle":"","parse-names":false,"suffix":""},{"dropping-particle":"","family":"Siravegna","given":"Giulia","non-dropping-particle":"","parse-names":false,"suffix":""},{"dropping-particle":"","family":"Dive","given":"Caroline","non-dropping-particle":"","parse-names":false,"suffix":""},{"dropping-particle":"","family":"Pierce","given":"Jackie","non-dropping-particle":"","parse-names":false,"suffix":""},{"dropping-particle":"Di","family":"Nicolantonio","given":"Federica","non-dropping-particle":"","parse-names":false,"suffix":""},{"dropping-particle":"","family":"Incalci","given":"Maurizio D","non-dropping-particle":"","parse-names":false,"suffix":""},{"dropping-particle":"","family":"Bardelli","given":"Alberto","non-dropping-particle":"","parse-names":false,"suffix":""},{"dropping-particle":"","family":"Siena","given":"Salvatore","non-dropping-particle":"","parse-names":false,"suffix":""},{"dropping-particle":"","family":"Sartore-bianchi","given":"Andrea","non-dropping-particle":"","parse-names":false,"suffix":""}],"container-title":"Clinical Colorectal Cancer","id":"ITEM-1","issue":"1","issued":{"date-parts":[["2018"]]},"page":"80-83","publisher":"Elsevier Inc.","title":"Parallel Evaluation of Circulating Tumor DNA and Circulating Tumor Cells in Metastatic Colorectal Cancer","type":"article-journal","volume":"17"},"uris":["http://www.mendeley.com/documents/?uuid=785aa604-8b8a-4f31-87be-d0f577c5fb6c"]},{"id":"ITEM-2","itemData":{"DOI":"10.1038/s41598-018-19212-5","ISSN":"2045-2322","author":[{"dropping-particle":"","family":"Sclafani","given":"Francesco","non-dropping-particle":"","parse-names":false,"suffix":""},{"dropping-particle":"","family":"Chau","given":"Ian","non-dropping-particle":"","parse-names":false,"suffix":""},{"dropping-particle":"","family":"Cunningham","given":"David","non-dropping-particle":"","parse-names":false,"suffix":""},{"dropping-particle":"","family":"Hahne","given":"Jens C","non-dropping-particle":"","parse-names":false,"suffix":""},{"dropping-particle":"","family":"Eltahir","given":"Zakaria","non-dropping-particle":"","parse-names":false,"suffix":""},{"dropping-particle":"","family":"Lampis","given":"Andrea","non-dropping-particle":"","parse-names":false,"suffix":""},{"dropping-particle":"","family":"Braconi","given":"Chiara","non-dropping-particle":"","parse-names":false,"suffix":""},{"dropping-particle":"","family":"Kalaitzaki","given":"Eleftheria","non-dropping-particle":"","parse-names":false,"suffix":""},{"dropping-particle":"De","family":"Castro","given":"David Gonzalez","non-dropping-particle":"","parse-names":false,"suffix":""},{"dropping-particle":"","family":"Wotherspoon","given":"Andrew","non-dropping-particle":"","parse-names":false,"suffix":""},{"dropping-particle":"","family":"Capdevila","given":"Jaume","non-dropping-particle":"","parse-names":false,"suffix":""},{"dropping-particle":"","family":"Glimelius","given":"Bengt","non-dropping-particle":"","parse-names":false,"suffix":""},{"dropping-particle":"","family":"Tarazona","given":"Noelia","non-dropping-particle":"","parse-names":false,"suffix":""},{"dropping-particle":"","family":"Begum","given":"Ruwaida","non-dropping-particle":"","parse-names":false,"suffix":""},{"dropping-particle":"","family":"Lote","given":"Hazel","non-dropping-particle":"","parse-names":false,"suffix":""},{"dropping-particle":"","family":"Wilson","given":"Sanna Hulkki","non-dropping-particle":"","parse-names":false,"suffix":""},{"dropping-particle":"","family":"Mentrasti","given":"Giulia","non-dropping-particle":"","parse-names":false,"suffix":""},{"dropping-particle":"","family":"Brown","given":"Gina","non-dropping-particle":"","parse-names":false,"suffix":""},{"dropping-particle":"","family":"Tait","given":"Diana","non-dropping-particle":"","parse-names":false,"suffix":""},{"dropping-particle":"","family":"Oates","given":"Jacqueline","non-dropping-particle":"","parse-names":false,"suffix":""},{"dropping-particle":"","family":"Valeri","given":"Nicola","non-dropping-particle":"","parse-names":false,"suffix":""}],"container-title":"Scientific Reports","id":"ITEM-2","issue":"1445","issued":{"date-parts":[["2018"]]},"page":"1-9","publisher":"Springer US","title":"OPEN KRAS and BRAF mutations in circulating tumour DNA from locally advanced rectal cancer","type":"article-journal","volume":"8"},"uris":["http://www.mendeley.com/documents/?uuid=4d0c4f51-8e8a-4acb-b870-f20a25510721"]}],"mendeley":{"formattedCitation":"[236], [237]","manualFormatting":"[23][24]","plainTextFormattedCitation":"[236], [237]","previouslyFormattedCitation":"[236], [237]"},"properties":{"noteIndex":0},"schema":"https://github.com/citation-style-language/schema/raw/master/csl-citation.json"}</w:instrText>
      </w:r>
      <w:r w:rsidR="000E42FF" w:rsidRPr="005B1CCB">
        <w:rPr>
          <w:rFonts w:ascii="Palatino Linotype" w:hAnsi="Palatino Linotype" w:cs="Times New Roman"/>
          <w:sz w:val="24"/>
          <w:szCs w:val="24"/>
        </w:rPr>
        <w:fldChar w:fldCharType="separate"/>
      </w:r>
      <w:r w:rsidR="000E42FF" w:rsidRPr="005B1CCB">
        <w:rPr>
          <w:rFonts w:ascii="Palatino Linotype" w:hAnsi="Palatino Linotype" w:cs="Times New Roman"/>
          <w:noProof/>
          <w:sz w:val="24"/>
          <w:szCs w:val="24"/>
        </w:rPr>
        <w:t>[23][24]</w:t>
      </w:r>
      <w:r w:rsidR="000E42FF" w:rsidRPr="005B1CCB">
        <w:rPr>
          <w:rFonts w:ascii="Palatino Linotype" w:hAnsi="Palatino Linotype" w:cs="Times New Roman"/>
          <w:sz w:val="24"/>
          <w:szCs w:val="24"/>
        </w:rPr>
        <w:fldChar w:fldCharType="end"/>
      </w:r>
      <w:r w:rsidR="000E42FF" w:rsidRPr="005B1CCB">
        <w:rPr>
          <w:rFonts w:ascii="Palatino Linotype" w:hAnsi="Palatino Linotype" w:cs="Times New Roman"/>
          <w:sz w:val="24"/>
          <w:szCs w:val="24"/>
        </w:rPr>
        <w:fldChar w:fldCharType="begin" w:fldLock="1"/>
      </w:r>
      <w:r w:rsidR="000766C5">
        <w:rPr>
          <w:rFonts w:ascii="Palatino Linotype" w:hAnsi="Palatino Linotype" w:cs="Times New Roman"/>
          <w:sz w:val="24"/>
          <w:szCs w:val="24"/>
        </w:rPr>
        <w:instrText>ADDIN CSL_CITATION {"citationItems":[{"id":"ITEM-1","itemData":{"DOI":"10.1039/c8lc01399c","author":[{"dropping-particle":"","family":"Ou","given":"Chen-yin","non-dropping-particle":"","parse-names":false,"suffix":""},{"dropping-particle":"","family":"Vu","given":"Tam","non-dropping-particle":"","parse-names":false,"suffix":""},{"dropping-particle":"","family":"Grunwald","given":"Jonathan T","non-dropping-particle":"","parse-names":false,"suffix":""},{"dropping-particle":"","family":"Toledano","given":"Michael","non-dropping-particle":"","parse-names":false,"suffix":""},{"dropping-particle":"","family":"Zimak","given":"Jan","non-dropping-particle":"","parse-names":false,"suffix":""},{"dropping-particle":"","family":"Toosky","given":"Melody","non-dropping-particle":"","parse-names":false,"suffix":""},{"dropping-particle":"","family":"Shen","given":"Byron","non-dropping-particle":"","parse-names":false,"suffix":""},{"dropping-particle":"","family":"Zell","given":"Jason A","non-dropping-particle":"","parse-names":false,"suffix":""},{"dropping-particle":"","family":"Gratton","given":"Enrico","non-dropping-particle":"","parse-names":false,"suffix":""},{"dropping-particle":"","family":"Abram","given":"Timothy J","non-dropping-particle":"","parse-names":false,"suffix":""},{"dropping-particle":"","family":"Zhao","given":"Weian","non-dropping-particle":"","parse-names":false,"suffix":""}],"id":"ITEM-1","issued":{"date-parts":[["2019"]]},"page":"993-1005","publisher":"Royal Society of Chemistry","title":"Lab on a Chip An ultrasensitive test for profiling circulating tumor DNA using integrated comprehensive droplet digital detection †","type":"article-journal"},"uris":["http://www.mendeley.com/documents/?uuid=8e8a9f23-e526-4286-a510-c5a123d02a76"]}],"mendeley":{"formattedCitation":"[238]","plainTextFormattedCitation":"[238]","previouslyFormattedCitation":"[238]"},"properties":{"noteIndex":0},"schema":"https://github.com/citation-style-language/schema/raw/master/csl-citation.json"}</w:instrText>
      </w:r>
      <w:r w:rsidR="000E42FF" w:rsidRPr="005B1CCB">
        <w:rPr>
          <w:rFonts w:ascii="Palatino Linotype" w:hAnsi="Palatino Linotype" w:cs="Times New Roman"/>
          <w:sz w:val="24"/>
          <w:szCs w:val="24"/>
        </w:rPr>
        <w:fldChar w:fldCharType="separate"/>
      </w:r>
      <w:r w:rsidR="005F2946" w:rsidRPr="005F2946">
        <w:rPr>
          <w:rFonts w:ascii="Palatino Linotype" w:hAnsi="Palatino Linotype" w:cs="Times New Roman"/>
          <w:noProof/>
          <w:sz w:val="24"/>
          <w:szCs w:val="24"/>
        </w:rPr>
        <w:t>[238]</w:t>
      </w:r>
      <w:r w:rsidR="000E42FF" w:rsidRPr="005B1CCB">
        <w:rPr>
          <w:rFonts w:ascii="Palatino Linotype" w:hAnsi="Palatino Linotype" w:cs="Times New Roman"/>
          <w:sz w:val="24"/>
          <w:szCs w:val="24"/>
        </w:rPr>
        <w:fldChar w:fldCharType="end"/>
      </w:r>
      <w:r w:rsidR="000E42FF" w:rsidRPr="005B1CCB">
        <w:rPr>
          <w:rFonts w:ascii="Palatino Linotype" w:hAnsi="Palatino Linotype" w:cs="Times New Roman"/>
          <w:sz w:val="24"/>
          <w:szCs w:val="24"/>
        </w:rPr>
        <w:t>.</w:t>
      </w:r>
      <w:r w:rsidR="00802EA1" w:rsidRPr="005B1CCB">
        <w:rPr>
          <w:rFonts w:ascii="Palatino Linotype" w:hAnsi="Palatino Linotype" w:cs="Times New Roman"/>
          <w:sz w:val="24"/>
          <w:szCs w:val="24"/>
        </w:rPr>
        <w:t xml:space="preserve"> </w:t>
      </w:r>
      <w:r w:rsidR="00802EA1" w:rsidRPr="00C46733">
        <w:rPr>
          <w:rFonts w:ascii="Palatino Linotype" w:hAnsi="Palatino Linotype" w:cs="Times New Roman"/>
          <w:sz w:val="24"/>
          <w:szCs w:val="24"/>
        </w:rPr>
        <w:t xml:space="preserve">The findings observed from artificial oligonucleotide sequences and representative clinical samples do not wholly correlate with the findings from </w:t>
      </w:r>
      <w:r w:rsidR="00615B6C" w:rsidRPr="00C46733">
        <w:rPr>
          <w:rFonts w:ascii="Palatino Linotype" w:hAnsi="Palatino Linotype" w:cs="Times New Roman"/>
          <w:sz w:val="24"/>
          <w:szCs w:val="24"/>
        </w:rPr>
        <w:t>direct clinical samples.</w:t>
      </w:r>
      <w:r w:rsidR="000E42FF" w:rsidRPr="00C46733">
        <w:rPr>
          <w:rFonts w:ascii="Palatino Linotype" w:hAnsi="Palatino Linotype" w:cs="Times New Roman"/>
          <w:sz w:val="24"/>
          <w:szCs w:val="24"/>
        </w:rPr>
        <w:t xml:space="preserve"> </w:t>
      </w:r>
      <w:r w:rsidR="00013665" w:rsidRPr="00C46733">
        <w:rPr>
          <w:rFonts w:ascii="Palatino Linotype" w:hAnsi="Palatino Linotype" w:cs="Times New Roman"/>
          <w:sz w:val="24"/>
          <w:szCs w:val="24"/>
        </w:rPr>
        <w:t>This might have occurred due to a small sample size or further need for assay optimisation for real clinical samples.</w:t>
      </w:r>
      <w:r w:rsidR="00013665" w:rsidRPr="005B1CCB">
        <w:rPr>
          <w:rFonts w:ascii="Palatino Linotype" w:hAnsi="Palatino Linotype" w:cs="Times New Roman"/>
          <w:sz w:val="24"/>
          <w:szCs w:val="24"/>
        </w:rPr>
        <w:t xml:space="preserve"> </w:t>
      </w:r>
    </w:p>
    <w:p w14:paraId="01BE65C3" w14:textId="099D6A43" w:rsidR="00842C52" w:rsidRPr="005B1CCB" w:rsidRDefault="00842C52" w:rsidP="0085306A">
      <w:pPr>
        <w:spacing w:line="360" w:lineRule="auto"/>
        <w:jc w:val="both"/>
        <w:rPr>
          <w:rFonts w:ascii="Palatino Linotype" w:hAnsi="Palatino Linotype"/>
          <w:sz w:val="24"/>
          <w:szCs w:val="24"/>
        </w:rPr>
      </w:pPr>
      <w:r w:rsidRPr="005B1CCB">
        <w:rPr>
          <w:rFonts w:ascii="Palatino Linotype" w:hAnsi="Palatino Linotype" w:cs="Times New Roman"/>
          <w:sz w:val="24"/>
          <w:szCs w:val="24"/>
        </w:rPr>
        <w:t xml:space="preserve">    </w:t>
      </w:r>
      <w:r w:rsidR="0085306A" w:rsidRPr="005B1CCB">
        <w:rPr>
          <w:rFonts w:ascii="Palatino Linotype" w:hAnsi="Palatino Linotype" w:cs="Times New Roman"/>
          <w:sz w:val="24"/>
          <w:szCs w:val="24"/>
        </w:rPr>
        <w:t xml:space="preserve">This </w:t>
      </w:r>
      <w:r w:rsidR="00037B6B" w:rsidRPr="005B1CCB">
        <w:rPr>
          <w:rFonts w:ascii="Palatino Linotype" w:hAnsi="Palatino Linotype" w:cs="Times New Roman"/>
          <w:sz w:val="24"/>
          <w:szCs w:val="24"/>
        </w:rPr>
        <w:t>thesis</w:t>
      </w:r>
      <w:r w:rsidR="0085306A" w:rsidRPr="005B1CCB">
        <w:rPr>
          <w:rFonts w:ascii="Palatino Linotype" w:hAnsi="Palatino Linotype" w:cs="Times New Roman"/>
          <w:sz w:val="24"/>
          <w:szCs w:val="24"/>
        </w:rPr>
        <w:t xml:space="preserve"> shows that an electrochemical sensor can be directly coupled to a standard amplification reaction which employs standard primers and reagents and that amplification reactions for other ctDNA markers can be developed off-chip and transferred directly into the assay to give a ctDNA panel. </w:t>
      </w:r>
      <w:r w:rsidR="00D25C48" w:rsidRPr="005B1CCB">
        <w:rPr>
          <w:rFonts w:ascii="Palatino Linotype" w:hAnsi="Palatino Linotype"/>
          <w:sz w:val="24"/>
          <w:szCs w:val="24"/>
        </w:rPr>
        <w:t xml:space="preserve"> </w:t>
      </w:r>
      <w:r w:rsidR="00AA1ACC" w:rsidRPr="00C46733">
        <w:rPr>
          <w:rFonts w:ascii="Palatino Linotype" w:hAnsi="Palatino Linotype"/>
          <w:sz w:val="24"/>
          <w:szCs w:val="24"/>
        </w:rPr>
        <w:t xml:space="preserve">In selecting the approaches reported </w:t>
      </w:r>
      <w:r w:rsidR="00CD6429" w:rsidRPr="00C46733">
        <w:rPr>
          <w:rFonts w:ascii="Palatino Linotype" w:hAnsi="Palatino Linotype"/>
          <w:sz w:val="24"/>
          <w:szCs w:val="24"/>
        </w:rPr>
        <w:t>using the current system</w:t>
      </w:r>
      <w:r w:rsidR="00AA1ACC" w:rsidRPr="00C46733">
        <w:rPr>
          <w:rFonts w:ascii="Palatino Linotype" w:hAnsi="Palatino Linotype"/>
          <w:sz w:val="24"/>
          <w:szCs w:val="24"/>
        </w:rPr>
        <w:t xml:space="preserve">, </w:t>
      </w:r>
      <w:r w:rsidR="00CD6429" w:rsidRPr="00C46733">
        <w:rPr>
          <w:rFonts w:ascii="Palatino Linotype" w:hAnsi="Palatino Linotype"/>
          <w:sz w:val="24"/>
          <w:szCs w:val="24"/>
        </w:rPr>
        <w:t xml:space="preserve">once optimised, </w:t>
      </w:r>
      <w:r w:rsidR="00AA1ACC" w:rsidRPr="00C46733">
        <w:rPr>
          <w:rFonts w:ascii="Palatino Linotype" w:hAnsi="Palatino Linotype"/>
          <w:sz w:val="24"/>
          <w:szCs w:val="24"/>
        </w:rPr>
        <w:t>the possibility of developing a multiplexed panel of DNA sequences on a single chip</w:t>
      </w:r>
      <w:r w:rsidR="006426C4" w:rsidRPr="00C46733">
        <w:rPr>
          <w:rFonts w:ascii="Palatino Linotype" w:hAnsi="Palatino Linotype"/>
          <w:sz w:val="24"/>
          <w:szCs w:val="24"/>
        </w:rPr>
        <w:t xml:space="preserve"> is immense</w:t>
      </w:r>
      <w:r w:rsidR="00AA1ACC" w:rsidRPr="00C46733">
        <w:rPr>
          <w:rFonts w:ascii="Palatino Linotype" w:hAnsi="Palatino Linotype"/>
          <w:sz w:val="24"/>
          <w:szCs w:val="24"/>
        </w:rPr>
        <w:t>, meaning that commonly mutated genes could all be identified in parallel</w:t>
      </w:r>
      <w:r w:rsidR="00AA1ACC" w:rsidRPr="005B1CCB">
        <w:rPr>
          <w:rFonts w:ascii="Palatino Linotype" w:hAnsi="Palatino Linotype"/>
          <w:sz w:val="24"/>
          <w:szCs w:val="24"/>
        </w:rPr>
        <w:t xml:space="preserve"> (e.g. KRAS, TP53, BRCA1&amp;2, IDH-1 etc.).  This approach of developing biomarker “panels” is thought to be one of the key advantages of our approach </w:t>
      </w:r>
      <w:r w:rsidR="00AA1ACC"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10.1186/s12916-017-0840-6","ISBN":"1291601708","author":[{"dropping-particle":"","family":"Perakis","given":"Samantha","non-dropping-particle":"","parse-names":false,"suffix":""},{"dropping-particle":"","family":"Speicher","given":"Michael R","non-dropping-particle":"","parse-names":false,"suffix":""}],"id":"ITEM-1","issued":{"date-parts":[["2017"]]},"page":"1-12","publisher":"BMC Medicine","title":"Emerging concepts in liquid biopsies","type":"article-journal"},"uris":["http://www.mendeley.com/documents/?uuid=f9de510e-7ce1-467c-b174-28b1497909a1","http://www.mendeley.com/documents/?uuid=93cf04de-66f7-4f24-8af3-09a69c6c4f2f"]}],"mendeley":{"formattedCitation":"[255]","plainTextFormattedCitation":"[255]","previouslyFormattedCitation":"[255]"},"properties":{"noteIndex":0},"schema":"https://github.com/citation-style-language/schema/raw/master/csl-citation.json"}</w:instrText>
      </w:r>
      <w:r w:rsidR="00AA1ACC" w:rsidRPr="005B1CCB">
        <w:rPr>
          <w:rFonts w:ascii="Palatino Linotype" w:hAnsi="Palatino Linotype"/>
          <w:sz w:val="24"/>
          <w:szCs w:val="24"/>
        </w:rPr>
        <w:fldChar w:fldCharType="separate"/>
      </w:r>
      <w:r w:rsidR="005F2946" w:rsidRPr="005F2946">
        <w:rPr>
          <w:rFonts w:ascii="Palatino Linotype" w:hAnsi="Palatino Linotype"/>
          <w:noProof/>
          <w:sz w:val="24"/>
          <w:szCs w:val="24"/>
        </w:rPr>
        <w:t>[255]</w:t>
      </w:r>
      <w:r w:rsidR="00AA1ACC" w:rsidRPr="005B1CCB">
        <w:rPr>
          <w:rFonts w:ascii="Palatino Linotype" w:hAnsi="Palatino Linotype"/>
          <w:sz w:val="24"/>
          <w:szCs w:val="24"/>
        </w:rPr>
        <w:fldChar w:fldCharType="end"/>
      </w:r>
      <w:r w:rsidR="00AA1ACC" w:rsidRPr="005B1CCB">
        <w:rPr>
          <w:rFonts w:ascii="Palatino Linotype" w:hAnsi="Palatino Linotype"/>
          <w:sz w:val="24"/>
          <w:szCs w:val="24"/>
        </w:rPr>
        <w:t>.</w:t>
      </w:r>
      <w:r w:rsidR="0085306A" w:rsidRPr="005B1CCB">
        <w:rPr>
          <w:rFonts w:ascii="Palatino Linotype" w:hAnsi="Palatino Linotype"/>
          <w:sz w:val="24"/>
          <w:szCs w:val="24"/>
        </w:rPr>
        <w:t xml:space="preserve"> </w:t>
      </w:r>
    </w:p>
    <w:p w14:paraId="0052AB08" w14:textId="553A412D" w:rsidR="00842C52" w:rsidRPr="005B1CCB" w:rsidRDefault="00842C52" w:rsidP="00842C52">
      <w:pPr>
        <w:spacing w:line="360" w:lineRule="auto"/>
        <w:jc w:val="both"/>
        <w:rPr>
          <w:rFonts w:ascii="Palatino Linotype" w:hAnsi="Palatino Linotype" w:cs="Times New Roman"/>
          <w:sz w:val="24"/>
          <w:szCs w:val="24"/>
        </w:rPr>
      </w:pPr>
      <w:r w:rsidRPr="005B1CCB">
        <w:rPr>
          <w:rFonts w:ascii="Palatino Linotype" w:hAnsi="Palatino Linotype"/>
          <w:sz w:val="24"/>
          <w:szCs w:val="24"/>
        </w:rPr>
        <w:t xml:space="preserve">    </w:t>
      </w:r>
      <w:r w:rsidR="002C0103" w:rsidRPr="00C46733">
        <w:rPr>
          <w:rFonts w:ascii="Palatino Linotype" w:hAnsi="Palatino Linotype"/>
          <w:sz w:val="24"/>
          <w:szCs w:val="24"/>
        </w:rPr>
        <w:t>Other s</w:t>
      </w:r>
      <w:r w:rsidRPr="00C46733">
        <w:rPr>
          <w:rFonts w:ascii="Palatino Linotype" w:hAnsi="Palatino Linotype"/>
          <w:sz w:val="24"/>
          <w:szCs w:val="24"/>
        </w:rPr>
        <w:t>ignificant advantages to this approach are its simplicity and time-to-result.</w:t>
      </w:r>
      <w:r w:rsidRPr="005B1CCB">
        <w:rPr>
          <w:rFonts w:ascii="Palatino Linotype" w:hAnsi="Palatino Linotype"/>
          <w:sz w:val="24"/>
          <w:szCs w:val="24"/>
        </w:rPr>
        <w:t xml:space="preserve"> </w:t>
      </w:r>
      <w:r w:rsidRPr="00C46733">
        <w:rPr>
          <w:rFonts w:ascii="Palatino Linotype" w:hAnsi="Palatino Linotype"/>
          <w:sz w:val="24"/>
          <w:szCs w:val="24"/>
        </w:rPr>
        <w:t>The multiplexed analysis that was employed greatly reduced analysis time and minimized reagent consumption</w:t>
      </w:r>
      <w:r w:rsidRPr="005B1CCB">
        <w:rPr>
          <w:rFonts w:ascii="Palatino Linotype" w:hAnsi="Palatino Linotype"/>
          <w:sz w:val="24"/>
          <w:szCs w:val="24"/>
        </w:rPr>
        <w:t xml:space="preserve">. </w:t>
      </w:r>
      <w:r w:rsidRPr="005B1CCB">
        <w:rPr>
          <w:rFonts w:ascii="Palatino Linotype" w:hAnsi="Palatino Linotype" w:cs="Times New Roman"/>
          <w:sz w:val="24"/>
          <w:szCs w:val="24"/>
        </w:rPr>
        <w:t>In total, the DNA isolation from blood, clean up and PCR amplification at 25 cycles takes approximately 150 minutes. The ctDNA target incubation takes approximately 60 minutes while the voltammetry pre and post hybridisation measurements for each electrode takes less than 10 minutes. This gives a total of 4 hours</w:t>
      </w:r>
      <w:r w:rsidR="00A704F0">
        <w:rPr>
          <w:rFonts w:ascii="Palatino Linotype" w:hAnsi="Palatino Linotype" w:cs="Times New Roman"/>
          <w:sz w:val="24"/>
          <w:szCs w:val="24"/>
        </w:rPr>
        <w:t xml:space="preserve"> (3 hours for non-amplified detection)</w:t>
      </w:r>
      <w:r w:rsidRPr="005B1CCB">
        <w:rPr>
          <w:rFonts w:ascii="Palatino Linotype" w:hAnsi="Palatino Linotype" w:cs="Times New Roman"/>
          <w:sz w:val="24"/>
          <w:szCs w:val="24"/>
        </w:rPr>
        <w:t xml:space="preserve">. However, through optimisation and device integration, we believe considerable room for optimisation can be made in terms of time to result. The current time to result for cancer detection in a clinical setting is 2-3 days (including sample transportation) for a non-complicated biopsy analysis and 7-10 days for a complicated biopsy analysis </w:t>
      </w:r>
      <w:r w:rsidRPr="005B1CCB">
        <w:rPr>
          <w:rFonts w:ascii="Palatino Linotype" w:hAnsi="Palatino Linotype" w:cs="Times New Roman"/>
          <w:sz w:val="24"/>
          <w:szCs w:val="24"/>
        </w:rPr>
        <w:fldChar w:fldCharType="begin" w:fldLock="1"/>
      </w:r>
      <w:r w:rsidR="00D8103F" w:rsidRPr="005B1CCB">
        <w:rPr>
          <w:rFonts w:ascii="Palatino Linotype" w:hAnsi="Palatino Linotype" w:cs="Times New Roman"/>
          <w:sz w:val="24"/>
          <w:szCs w:val="24"/>
        </w:rPr>
        <w:instrText>ADDIN CSL_CITATION {"citationItems":[{"id":"ITEM-1","itemData":{"DOI":"10.1016/j.ejcts.2008.02.008","author":[{"dropping-particle":"","family":"Coutinho","given":"F","non-dropping-particle":"","parse-names":false,"suffix":""},{"dropping-particle":"","family":"Pancas","given":"Rita","non-dropping-particle":"","parse-names":false,"suffix":""},{"dropping-particle":"","family":"Magalha","given":"Eunice","non-dropping-particle":"","parse-names":false,"suffix":""},{"dropping-particle":"","family":"Bernardo","given":"E","non-dropping-particle":"","parse-names":false,"suffix":""},{"dropping-particle":"","family":"Antunes","given":"Manuel J","non-dropping-particle":"","parse-names":false,"suffix":""}],"id":"ITEM-1","issue":"January 2000","issued":{"date-parts":[["2008"]]},"title":"Diagnostic value of surgical lung biopsy : comparison with clinical and radiological diagnosis § Gonc","type":"article-journal","volume":"33"},"uris":["http://www.mendeley.com/documents/?uuid=192bcdeb-34a7-40e8-ae0c-44a2f8a2348c"]}],"mendeley":{"formattedCitation":"[14]","plainTextFormattedCitation":"[14]","previouslyFormattedCitation":"[14]"},"properties":{"noteIndex":0},"schema":"https://github.com/citation-style-language/schema/raw/master/csl-citation.json"}</w:instrText>
      </w:r>
      <w:r w:rsidRPr="005B1CCB">
        <w:rPr>
          <w:rFonts w:ascii="Palatino Linotype" w:hAnsi="Palatino Linotype" w:cs="Times New Roman"/>
          <w:sz w:val="24"/>
          <w:szCs w:val="24"/>
        </w:rPr>
        <w:fldChar w:fldCharType="separate"/>
      </w:r>
      <w:r w:rsidR="00C46CE8" w:rsidRPr="005B1CCB">
        <w:rPr>
          <w:rFonts w:ascii="Palatino Linotype" w:hAnsi="Palatino Linotype" w:cs="Times New Roman"/>
          <w:noProof/>
          <w:sz w:val="24"/>
          <w:szCs w:val="24"/>
        </w:rPr>
        <w:t>[14]</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In the UK, National Health Service mutation typing following biopsy can take up to 9 weeks </w:t>
      </w:r>
      <w:r w:rsidRPr="005B1CCB">
        <w:rPr>
          <w:rFonts w:ascii="Palatino Linotype" w:hAnsi="Palatino Linotype" w:cs="Times New Roman"/>
          <w:sz w:val="24"/>
          <w:szCs w:val="24"/>
        </w:rPr>
        <w:fldChar w:fldCharType="begin" w:fldLock="1"/>
      </w:r>
      <w:r w:rsidR="00D8103F" w:rsidRPr="005B1CCB">
        <w:rPr>
          <w:rFonts w:ascii="Palatino Linotype" w:hAnsi="Palatino Linotype" w:cs="Times New Roman"/>
          <w:sz w:val="24"/>
          <w:szCs w:val="24"/>
        </w:rPr>
        <w:instrText>ADDIN CSL_CITATION {"citationItems":[{"id":"ITEM-1","itemData":{"URL":"https://www.nhs.uk/conditions/biopsy/","accessed":{"date-parts":[["2019","7","18"]]},"author":[{"dropping-particle":"","family":"NHS","given":"","non-dropping-particle":"","parse-names":false,"suffix":""}],"container-title":"01.06.2018","id":"ITEM-1","issued":{"date-parts":[["2018"]]},"title":"Biopsy","type":"webpage"},"uris":["http://www.mendeley.com/documents/?uuid=30d755dd-77f2-47cf-9d75-5458e7ca1b0c"]}],"mendeley":{"formattedCitation":"[15]","plainTextFormattedCitation":"[15]","previouslyFormattedCitation":"[15]"},"properties":{"noteIndex":0},"schema":"https://github.com/citation-style-language/schema/raw/master/csl-citation.json"}</w:instrText>
      </w:r>
      <w:r w:rsidRPr="005B1CCB">
        <w:rPr>
          <w:rFonts w:ascii="Palatino Linotype" w:hAnsi="Palatino Linotype" w:cs="Times New Roman"/>
          <w:sz w:val="24"/>
          <w:szCs w:val="24"/>
        </w:rPr>
        <w:fldChar w:fldCharType="separate"/>
      </w:r>
      <w:r w:rsidR="00C46CE8" w:rsidRPr="005B1CCB">
        <w:rPr>
          <w:rFonts w:ascii="Palatino Linotype" w:hAnsi="Palatino Linotype" w:cs="Times New Roman"/>
          <w:noProof/>
          <w:sz w:val="24"/>
          <w:szCs w:val="24"/>
        </w:rPr>
        <w:t>[15]</w:t>
      </w:r>
      <w:r w:rsidRPr="005B1CCB">
        <w:rPr>
          <w:rFonts w:ascii="Palatino Linotype" w:hAnsi="Palatino Linotype" w:cs="Times New Roman"/>
          <w:sz w:val="24"/>
          <w:szCs w:val="24"/>
        </w:rPr>
        <w:fldChar w:fldCharType="end"/>
      </w:r>
      <w:r w:rsidRPr="005B1CCB">
        <w:rPr>
          <w:rFonts w:ascii="Palatino Linotype" w:hAnsi="Palatino Linotype" w:cs="Times New Roman"/>
          <w:sz w:val="24"/>
          <w:szCs w:val="24"/>
        </w:rPr>
        <w:t xml:space="preserve">. </w:t>
      </w:r>
      <w:r w:rsidRPr="005B1CCB">
        <w:rPr>
          <w:rFonts w:ascii="Palatino Linotype" w:hAnsi="Palatino Linotype"/>
          <w:sz w:val="24"/>
          <w:szCs w:val="24"/>
          <w:lang w:bidi="en-US"/>
        </w:rPr>
        <w:t xml:space="preserve"> These results, combined with the generality of the detection method employed shows a potential for employing this strategy to develop a multi-electrochemical sensor system; a real step towards an affordable point of care device.</w:t>
      </w:r>
      <w:r w:rsidRPr="005B1CCB">
        <w:rPr>
          <w:rFonts w:ascii="Palatino Linotype" w:hAnsi="Palatino Linotype" w:cs="Times New Roman"/>
          <w:sz w:val="24"/>
          <w:szCs w:val="24"/>
        </w:rPr>
        <w:t xml:space="preserve"> </w:t>
      </w:r>
      <w:r w:rsidRPr="00C46733">
        <w:rPr>
          <w:rFonts w:ascii="Palatino Linotype" w:hAnsi="Palatino Linotype"/>
          <w:sz w:val="24"/>
          <w:szCs w:val="24"/>
        </w:rPr>
        <w:t>The current analysis time of 4 hours is a big stride towards PoC provision for ctDNA profiling in the healthcare setting. This can be further optimised by an efficient isothermal amplification which can cut down the number of thermal cycles and in turn reduce the overall amplification time from 2 hours to 1 hour</w:t>
      </w:r>
      <w:r w:rsidRPr="005B1CCB">
        <w:rPr>
          <w:rFonts w:ascii="Palatino Linotype" w:hAnsi="Palatino Linotype"/>
          <w:sz w:val="24"/>
          <w:szCs w:val="24"/>
        </w:rPr>
        <w:t xml:space="preserve"> </w:t>
      </w:r>
      <w:r w:rsidRPr="005B1CCB">
        <w:rPr>
          <w:rFonts w:ascii="Palatino Linotype" w:hAnsi="Palatino Linotype"/>
          <w:sz w:val="24"/>
          <w:szCs w:val="24"/>
        </w:rPr>
        <w:fldChar w:fldCharType="begin" w:fldLock="1"/>
      </w:r>
      <w:r w:rsidR="000766C5">
        <w:rPr>
          <w:rFonts w:ascii="Palatino Linotype" w:hAnsi="Palatino Linotype"/>
          <w:sz w:val="24"/>
          <w:szCs w:val="24"/>
        </w:rPr>
        <w:instrText>ADDIN CSL_CITATION {"citationItems":[{"id":"ITEM-1","itemData":{"DOI":"10.1039/C8AN00525G","ISSN":"0003-2654","abstract":"&lt;p&gt;We developed a one-step isothermal method for typing multiple KRAS mutations using a designed set of primers to form a hairpin on a gold nanoshell upon being ligated by a SNP specific DNA ligase after binding of targets.&lt;/p&gt;","author":[{"dropping-particle":"","family":"Chung","given":"Chan Ho","non-dropping-particle":"","parse-names":false,"suffix":""},{"dropping-particle":"","family":"Kim","given":"Joong Hyun","non-dropping-particle":"","parse-names":false,"suffix":""}],"container-title":"The Analyst","id":"ITEM-1","issue":"15","issued":{"date-parts":[["2018"]]},"page":"3544-3548","publisher":"Royal Society of Chemistry","title":"One-step isothermal detection of multiple KRAS mutations by forming SNP specific hairpins on a gold nanoshell","type":"article-journal","volume":"143"},"uris":["http://www.mendeley.com/documents/?uuid=49b97365-19da-43b2-8322-f1badb1bb681"]}],"mendeley":{"formattedCitation":"[256]","plainTextFormattedCitation":"[256]","previouslyFormattedCitation":"[256]"},"properties":{"noteIndex":0},"schema":"https://github.com/citation-style-language/schema/raw/master/csl-citation.json"}</w:instrText>
      </w:r>
      <w:r w:rsidRPr="005B1CCB">
        <w:rPr>
          <w:rFonts w:ascii="Palatino Linotype" w:hAnsi="Palatino Linotype"/>
          <w:sz w:val="24"/>
          <w:szCs w:val="24"/>
        </w:rPr>
        <w:fldChar w:fldCharType="separate"/>
      </w:r>
      <w:r w:rsidR="005F2946" w:rsidRPr="005F2946">
        <w:rPr>
          <w:rFonts w:ascii="Palatino Linotype" w:hAnsi="Palatino Linotype"/>
          <w:noProof/>
          <w:sz w:val="24"/>
          <w:szCs w:val="24"/>
        </w:rPr>
        <w:t>[256]</w:t>
      </w:r>
      <w:r w:rsidRPr="005B1CCB">
        <w:rPr>
          <w:rFonts w:ascii="Palatino Linotype" w:hAnsi="Palatino Linotype"/>
          <w:sz w:val="24"/>
          <w:szCs w:val="24"/>
          <w:lang w:val="en-US"/>
        </w:rPr>
        <w:fldChar w:fldCharType="end"/>
      </w:r>
      <w:r w:rsidRPr="005B1CCB">
        <w:rPr>
          <w:rFonts w:ascii="Palatino Linotype" w:hAnsi="Palatino Linotype"/>
          <w:sz w:val="24"/>
          <w:szCs w:val="24"/>
        </w:rPr>
        <w:t xml:space="preserve">.   </w:t>
      </w:r>
    </w:p>
    <w:p w14:paraId="7E78066E" w14:textId="77777777" w:rsidR="000E42FF" w:rsidRPr="005B1CCB" w:rsidRDefault="00D05A5A" w:rsidP="000E42FF">
      <w:pPr>
        <w:spacing w:line="360" w:lineRule="auto"/>
        <w:jc w:val="both"/>
        <w:rPr>
          <w:rFonts w:ascii="Palatino Linotype" w:hAnsi="Palatino Linotype"/>
          <w:sz w:val="24"/>
          <w:szCs w:val="24"/>
          <w:lang w:bidi="en-US"/>
        </w:rPr>
      </w:pPr>
      <w:r>
        <w:rPr>
          <w:rFonts w:ascii="Palatino Linotype" w:hAnsi="Palatino Linotype" w:cs="Times New Roman"/>
          <w:sz w:val="24"/>
          <w:szCs w:val="24"/>
        </w:rPr>
        <w:t xml:space="preserve">   </w:t>
      </w:r>
      <w:r w:rsidR="0085306A" w:rsidRPr="005B1CCB">
        <w:rPr>
          <w:rFonts w:ascii="Palatino Linotype" w:hAnsi="Palatino Linotype" w:cs="Times New Roman"/>
          <w:sz w:val="24"/>
          <w:szCs w:val="24"/>
        </w:rPr>
        <w:t>New blood tests for cancer monitoring during treatments should be highly specific, otherwise too many healthy individuals will receive false positive results. It can be concluded that electrochemical detection will quickly and accurately screen for cancer so treatment can be initiated as quickly as possible.</w:t>
      </w:r>
    </w:p>
    <w:p w14:paraId="5D9BA775" w14:textId="77777777" w:rsidR="000E42FF" w:rsidRPr="005B1CCB" w:rsidRDefault="000E42FF" w:rsidP="000E42FF">
      <w:pPr>
        <w:rPr>
          <w:rFonts w:ascii="Palatino Linotype" w:hAnsi="Palatino Linotype"/>
          <w:sz w:val="24"/>
          <w:szCs w:val="24"/>
          <w:lang w:val="en-US"/>
        </w:rPr>
      </w:pPr>
    </w:p>
    <w:p w14:paraId="37742D1D" w14:textId="77777777" w:rsidR="00516EAD" w:rsidRPr="005B1CCB" w:rsidRDefault="00516EAD" w:rsidP="005B7B25">
      <w:pPr>
        <w:pStyle w:val="Heading2"/>
        <w:rPr>
          <w:lang w:val="en-US"/>
        </w:rPr>
      </w:pPr>
      <w:bookmarkStart w:id="231" w:name="_Toc84528159"/>
      <w:r w:rsidRPr="005B1CCB">
        <w:rPr>
          <w:lang w:val="en-US"/>
        </w:rPr>
        <w:t>Limitations with this study</w:t>
      </w:r>
      <w:bookmarkEnd w:id="231"/>
    </w:p>
    <w:p w14:paraId="7EF383CE" w14:textId="77777777" w:rsidR="00516EAD" w:rsidRPr="005B1CCB" w:rsidRDefault="00584EF6" w:rsidP="00516EAD">
      <w:pPr>
        <w:spacing w:line="360" w:lineRule="auto"/>
        <w:jc w:val="both"/>
        <w:rPr>
          <w:rFonts w:ascii="Palatino Linotype" w:hAnsi="Palatino Linotype"/>
          <w:sz w:val="24"/>
          <w:szCs w:val="24"/>
          <w:lang w:val="en-US"/>
        </w:rPr>
      </w:pPr>
      <w:r w:rsidRPr="005B1CCB">
        <w:rPr>
          <w:rFonts w:ascii="Palatino Linotype" w:hAnsi="Palatino Linotype"/>
          <w:sz w:val="24"/>
          <w:szCs w:val="24"/>
          <w:lang w:val="en-US"/>
        </w:rPr>
        <w:t xml:space="preserve">   </w:t>
      </w:r>
      <w:r w:rsidR="00516EAD" w:rsidRPr="00C46733">
        <w:rPr>
          <w:rFonts w:ascii="Palatino Linotype" w:hAnsi="Palatino Linotype"/>
          <w:sz w:val="24"/>
          <w:szCs w:val="24"/>
          <w:lang w:val="en-US"/>
        </w:rPr>
        <w:t>Th</w:t>
      </w:r>
      <w:r w:rsidR="00BE21BF" w:rsidRPr="00C46733">
        <w:rPr>
          <w:rFonts w:ascii="Palatino Linotype" w:hAnsi="Palatino Linotype"/>
          <w:sz w:val="24"/>
          <w:szCs w:val="24"/>
          <w:lang w:val="en-US"/>
        </w:rPr>
        <w:t>is</w:t>
      </w:r>
      <w:r w:rsidR="00516EAD" w:rsidRPr="00C46733">
        <w:rPr>
          <w:rFonts w:ascii="Palatino Linotype" w:hAnsi="Palatino Linotype"/>
          <w:sz w:val="24"/>
          <w:szCs w:val="24"/>
          <w:lang w:val="en-US"/>
        </w:rPr>
        <w:t xml:space="preserve"> </w:t>
      </w:r>
      <w:r w:rsidRPr="00C46733">
        <w:rPr>
          <w:rFonts w:ascii="Palatino Linotype" w:hAnsi="Palatino Linotype"/>
          <w:sz w:val="24"/>
          <w:szCs w:val="24"/>
          <w:lang w:val="en-US"/>
        </w:rPr>
        <w:t>work</w:t>
      </w:r>
      <w:r w:rsidR="00516EAD" w:rsidRPr="00C46733">
        <w:rPr>
          <w:rFonts w:ascii="Palatino Linotype" w:hAnsi="Palatino Linotype"/>
          <w:sz w:val="24"/>
          <w:szCs w:val="24"/>
          <w:lang w:val="en-US"/>
        </w:rPr>
        <w:t xml:space="preserve"> had two main limitations (1) due to equipment outages/downtime in the cleanroom it was not possible to develop a chip (2) the proposed electrochemical assay does not achieve sufficient </w:t>
      </w:r>
      <w:r w:rsidR="00DE7F80" w:rsidRPr="00C46733">
        <w:rPr>
          <w:rFonts w:ascii="Palatino Linotype" w:hAnsi="Palatino Linotype"/>
          <w:sz w:val="24"/>
          <w:szCs w:val="24"/>
          <w:lang w:val="en-US"/>
        </w:rPr>
        <w:t>performance</w:t>
      </w:r>
      <w:r w:rsidR="00516EAD" w:rsidRPr="00C46733">
        <w:rPr>
          <w:rFonts w:ascii="Palatino Linotype" w:hAnsi="Palatino Linotype"/>
          <w:sz w:val="24"/>
          <w:szCs w:val="24"/>
          <w:lang w:val="en-US"/>
        </w:rPr>
        <w:t xml:space="preserve"> in clinical samples</w:t>
      </w:r>
      <w:r w:rsidR="00DE7F80" w:rsidRPr="00C46733">
        <w:rPr>
          <w:rFonts w:ascii="Palatino Linotype" w:hAnsi="Palatino Linotype"/>
          <w:sz w:val="24"/>
          <w:szCs w:val="24"/>
          <w:lang w:val="en-US"/>
        </w:rPr>
        <w:t xml:space="preserve"> yet to be deployed and needs further work</w:t>
      </w:r>
      <w:r w:rsidR="00516EAD" w:rsidRPr="00C46733">
        <w:rPr>
          <w:rFonts w:ascii="Palatino Linotype" w:hAnsi="Palatino Linotype"/>
          <w:sz w:val="24"/>
          <w:szCs w:val="24"/>
          <w:lang w:val="en-US"/>
        </w:rPr>
        <w:t>.</w:t>
      </w:r>
      <w:r w:rsidR="00516EAD" w:rsidRPr="005B1CCB">
        <w:rPr>
          <w:rFonts w:ascii="Palatino Linotype" w:hAnsi="Palatino Linotype"/>
          <w:sz w:val="24"/>
          <w:szCs w:val="24"/>
          <w:lang w:val="en-US"/>
        </w:rPr>
        <w:t xml:space="preserve"> </w:t>
      </w:r>
    </w:p>
    <w:p w14:paraId="5F14609B" w14:textId="77777777" w:rsidR="000D041E" w:rsidRPr="005B1CCB" w:rsidRDefault="00EE4EAE" w:rsidP="00516EAD">
      <w:pPr>
        <w:spacing w:line="360" w:lineRule="auto"/>
        <w:jc w:val="both"/>
        <w:rPr>
          <w:rFonts w:ascii="Palatino Linotype" w:hAnsi="Palatino Linotype"/>
          <w:sz w:val="24"/>
          <w:szCs w:val="24"/>
          <w:lang w:val="en-US"/>
        </w:rPr>
      </w:pPr>
      <w:r w:rsidRPr="005B1CCB">
        <w:rPr>
          <w:rFonts w:ascii="Palatino Linotype" w:hAnsi="Palatino Linotype"/>
          <w:sz w:val="24"/>
          <w:szCs w:val="24"/>
          <w:lang w:val="en-US"/>
        </w:rPr>
        <w:t xml:space="preserve">   </w:t>
      </w:r>
      <w:r w:rsidR="00584EF6" w:rsidRPr="00C46733">
        <w:rPr>
          <w:rFonts w:ascii="Palatino Linotype" w:hAnsi="Palatino Linotype"/>
          <w:sz w:val="24"/>
          <w:szCs w:val="24"/>
          <w:lang w:val="en-US"/>
        </w:rPr>
        <w:t>Some of the c</w:t>
      </w:r>
      <w:r w:rsidR="00516EAD" w:rsidRPr="00C46733">
        <w:rPr>
          <w:rFonts w:ascii="Palatino Linotype" w:hAnsi="Palatino Linotype"/>
          <w:sz w:val="24"/>
          <w:szCs w:val="24"/>
          <w:lang w:val="en-US"/>
        </w:rPr>
        <w:t>ommercially produced screen</w:t>
      </w:r>
      <w:r w:rsidR="00584EF6" w:rsidRPr="00C46733">
        <w:rPr>
          <w:rFonts w:ascii="Palatino Linotype" w:hAnsi="Palatino Linotype"/>
          <w:sz w:val="24"/>
          <w:szCs w:val="24"/>
          <w:lang w:val="en-US"/>
        </w:rPr>
        <w:t>-</w:t>
      </w:r>
      <w:r w:rsidR="00516EAD" w:rsidRPr="00C46733">
        <w:rPr>
          <w:rFonts w:ascii="Palatino Linotype" w:hAnsi="Palatino Linotype"/>
          <w:sz w:val="24"/>
          <w:szCs w:val="24"/>
          <w:lang w:val="en-US"/>
        </w:rPr>
        <w:t xml:space="preserve">printed electrodes </w:t>
      </w:r>
      <w:r w:rsidR="00DE7F80" w:rsidRPr="00C46733">
        <w:rPr>
          <w:rFonts w:ascii="Palatino Linotype" w:hAnsi="Palatino Linotype"/>
          <w:sz w:val="24"/>
          <w:szCs w:val="24"/>
          <w:lang w:val="en-US"/>
        </w:rPr>
        <w:t xml:space="preserve">that were used </w:t>
      </w:r>
      <w:r w:rsidR="000D041E" w:rsidRPr="00C46733">
        <w:rPr>
          <w:rFonts w:ascii="Palatino Linotype" w:hAnsi="Palatino Linotype"/>
          <w:sz w:val="24"/>
          <w:szCs w:val="24"/>
          <w:lang w:val="en-US"/>
        </w:rPr>
        <w:t>proved to be inconsist</w:t>
      </w:r>
      <w:r w:rsidR="00DE7F80" w:rsidRPr="00C46733">
        <w:rPr>
          <w:rFonts w:ascii="Palatino Linotype" w:hAnsi="Palatino Linotype"/>
          <w:sz w:val="24"/>
          <w:szCs w:val="24"/>
          <w:lang w:val="en-US"/>
        </w:rPr>
        <w:t>ent and showed a wide variation in voltammetric peak currents making them unlikely to be implementable in the final solution.</w:t>
      </w:r>
      <w:r w:rsidR="00DE7F80" w:rsidRPr="005B1CCB">
        <w:rPr>
          <w:rFonts w:ascii="Palatino Linotype" w:hAnsi="Palatino Linotype"/>
          <w:sz w:val="24"/>
          <w:szCs w:val="24"/>
          <w:lang w:val="en-US"/>
        </w:rPr>
        <w:t xml:space="preserve"> To remedy this, it will be necessary to approach companies that produce screen printed carbon electrodes for applications such as diabetes monitoring and in particular some of the companies that are employing graphene as an additive in their carbon SPEs for blood glucose monitoring. These inks are now beginning to produce high quality electrochemical responses in ferri-ferrocyanide measurement buffers and could be used as the basis of a DNA detection system for ctDNA.</w:t>
      </w:r>
    </w:p>
    <w:p w14:paraId="2BCB145E" w14:textId="77777777" w:rsidR="000D041E" w:rsidRPr="005B1CCB" w:rsidRDefault="00EE4EAE" w:rsidP="00516EAD">
      <w:pPr>
        <w:spacing w:line="360" w:lineRule="auto"/>
        <w:jc w:val="both"/>
        <w:rPr>
          <w:rFonts w:ascii="Palatino Linotype" w:hAnsi="Palatino Linotype"/>
          <w:sz w:val="24"/>
          <w:szCs w:val="24"/>
          <w:lang w:val="en-US"/>
        </w:rPr>
      </w:pPr>
      <w:r w:rsidRPr="005B1CCB">
        <w:rPr>
          <w:rFonts w:ascii="Palatino Linotype" w:hAnsi="Palatino Linotype"/>
          <w:sz w:val="24"/>
          <w:szCs w:val="24"/>
          <w:lang w:val="en-US"/>
        </w:rPr>
        <w:t xml:space="preserve">   </w:t>
      </w:r>
      <w:r w:rsidR="00516EAD" w:rsidRPr="005B1CCB">
        <w:rPr>
          <w:rFonts w:ascii="Palatino Linotype" w:hAnsi="Palatino Linotype"/>
          <w:sz w:val="24"/>
          <w:szCs w:val="24"/>
          <w:lang w:val="en-US"/>
        </w:rPr>
        <w:t xml:space="preserve">The second </w:t>
      </w:r>
      <w:r w:rsidR="000D041E" w:rsidRPr="005B1CCB">
        <w:rPr>
          <w:rFonts w:ascii="Palatino Linotype" w:hAnsi="Palatino Linotype"/>
          <w:sz w:val="24"/>
          <w:szCs w:val="24"/>
          <w:lang w:val="en-US"/>
        </w:rPr>
        <w:t>limitation was</w:t>
      </w:r>
      <w:r w:rsidR="00516EAD" w:rsidRPr="005B1CCB">
        <w:rPr>
          <w:rFonts w:ascii="Palatino Linotype" w:hAnsi="Palatino Linotype"/>
          <w:sz w:val="24"/>
          <w:szCs w:val="24"/>
          <w:lang w:val="en-US"/>
        </w:rPr>
        <w:t xml:space="preserve"> slightly more problematical and is at the heart of the research question.  Achieving low sensitivity in clinical samples is a challenge to any scientist working in this area and alternative detection techniques could be employed if the selected technique does not work sufficiently well such as use of a rapid nucleic acid amplification step, e.g. an </w:t>
      </w:r>
      <w:r w:rsidR="00584EF6" w:rsidRPr="005B1CCB">
        <w:rPr>
          <w:rFonts w:ascii="Palatino Linotype" w:hAnsi="Palatino Linotype"/>
          <w:sz w:val="24"/>
          <w:szCs w:val="24"/>
          <w:lang w:val="en-US"/>
        </w:rPr>
        <w:t xml:space="preserve">efficient </w:t>
      </w:r>
      <w:r w:rsidR="00516EAD" w:rsidRPr="005B1CCB">
        <w:rPr>
          <w:rFonts w:ascii="Palatino Linotype" w:hAnsi="Palatino Linotype"/>
          <w:sz w:val="24"/>
          <w:szCs w:val="24"/>
          <w:lang w:val="en-US"/>
        </w:rPr>
        <w:t xml:space="preserve">isothermal </w:t>
      </w:r>
      <w:r w:rsidR="00584EF6" w:rsidRPr="005B1CCB">
        <w:rPr>
          <w:rFonts w:ascii="Palatino Linotype" w:hAnsi="Palatino Linotype"/>
          <w:sz w:val="24"/>
          <w:szCs w:val="24"/>
          <w:lang w:val="en-US"/>
        </w:rPr>
        <w:t>amplification reaction</w:t>
      </w:r>
      <w:r w:rsidR="00516EAD" w:rsidRPr="005B1CCB">
        <w:rPr>
          <w:rFonts w:ascii="Palatino Linotype" w:hAnsi="Palatino Linotype"/>
          <w:sz w:val="24"/>
          <w:szCs w:val="24"/>
          <w:lang w:val="en-US"/>
        </w:rPr>
        <w:t xml:space="preserve">, to increase DNA copy numbers. </w:t>
      </w:r>
      <w:r w:rsidR="00050229" w:rsidRPr="00C46733">
        <w:rPr>
          <w:rFonts w:ascii="Palatino Linotype" w:hAnsi="Palatino Linotype"/>
          <w:sz w:val="24"/>
          <w:szCs w:val="24"/>
          <w:lang w:val="en-US"/>
        </w:rPr>
        <w:t>It was difficult to establish a limit of detection for the assay due to some of the variability encountered</w:t>
      </w:r>
      <w:r w:rsidR="00050229" w:rsidRPr="005B1CCB">
        <w:rPr>
          <w:rFonts w:ascii="Palatino Linotype" w:hAnsi="Palatino Linotype"/>
          <w:sz w:val="24"/>
          <w:szCs w:val="24"/>
          <w:lang w:val="en-US"/>
        </w:rPr>
        <w:t>.</w:t>
      </w:r>
      <w:r w:rsidR="00652A43" w:rsidRPr="005B1CCB">
        <w:rPr>
          <w:rFonts w:ascii="Palatino Linotype" w:hAnsi="Palatino Linotype"/>
          <w:sz w:val="24"/>
          <w:szCs w:val="24"/>
          <w:lang w:val="en-US"/>
        </w:rPr>
        <w:t xml:space="preserve"> Another confounding factor associated with DNA amplification could be </w:t>
      </w:r>
      <w:r w:rsidR="00652A43" w:rsidRPr="00C46733">
        <w:rPr>
          <w:rFonts w:ascii="Palatino Linotype" w:hAnsi="Palatino Linotype"/>
          <w:sz w:val="24"/>
          <w:szCs w:val="24"/>
          <w:lang w:val="en-US"/>
        </w:rPr>
        <w:t>primer design</w:t>
      </w:r>
      <w:r w:rsidR="00652A43" w:rsidRPr="005B1CCB">
        <w:rPr>
          <w:rFonts w:ascii="Palatino Linotype" w:hAnsi="Palatino Linotype"/>
          <w:sz w:val="24"/>
          <w:szCs w:val="24"/>
          <w:lang w:val="en-US"/>
        </w:rPr>
        <w:t xml:space="preserve">.  In this work we developed our own primers by careful </w:t>
      </w:r>
      <w:r w:rsidR="00652A43" w:rsidRPr="00C46733">
        <w:rPr>
          <w:rFonts w:ascii="Palatino Linotype" w:hAnsi="Palatino Linotype"/>
          <w:sz w:val="24"/>
          <w:szCs w:val="24"/>
          <w:lang w:val="en-US"/>
        </w:rPr>
        <w:t>design but it could be possible that there is some cross-reactivity between primers, especially since it is only a single base pair change</w:t>
      </w:r>
      <w:r w:rsidR="00652A43" w:rsidRPr="005B1CCB">
        <w:rPr>
          <w:rFonts w:ascii="Palatino Linotype" w:hAnsi="Palatino Linotype"/>
          <w:sz w:val="24"/>
          <w:szCs w:val="24"/>
          <w:lang w:val="en-US"/>
        </w:rPr>
        <w:t xml:space="preserve"> and so further work on resolving this issue could be performed which would include either more iterative designs of primers sequences or the direct adaptation of other primer sets from existing and well established commercially available KRAS mutation screening panels.</w:t>
      </w:r>
    </w:p>
    <w:p w14:paraId="28D92FDE" w14:textId="77777777" w:rsidR="003C392A" w:rsidRPr="005B1CCB" w:rsidRDefault="003C392A" w:rsidP="003C392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FC2AF5" w:rsidRPr="00C46733">
        <w:rPr>
          <w:rFonts w:ascii="Palatino Linotype" w:hAnsi="Palatino Linotype" w:cs="Times New Roman"/>
          <w:sz w:val="24"/>
          <w:szCs w:val="24"/>
        </w:rPr>
        <w:t>Despite the limitations encountered, the potential of these electrochemical biosensors, once matured as a technology to provide efficient clinical workflows is immense.</w:t>
      </w:r>
      <w:r w:rsidR="00FC2AF5" w:rsidRPr="005B1CCB">
        <w:rPr>
          <w:rFonts w:ascii="Palatino Linotype" w:hAnsi="Palatino Linotype" w:cs="Times New Roman"/>
          <w:sz w:val="24"/>
          <w:szCs w:val="24"/>
        </w:rPr>
        <w:t xml:space="preserve">  </w:t>
      </w:r>
      <w:r w:rsidRPr="00C46733">
        <w:rPr>
          <w:rFonts w:ascii="Palatino Linotype" w:hAnsi="Palatino Linotype" w:cs="Times New Roman"/>
          <w:sz w:val="24"/>
          <w:szCs w:val="24"/>
        </w:rPr>
        <w:t>The work progresses successfully from detection in buffers, to cell lines with findings becoming sub-optimal in clinical samples.</w:t>
      </w:r>
      <w:r w:rsidRPr="005B1CCB">
        <w:rPr>
          <w:rFonts w:ascii="Palatino Linotype" w:hAnsi="Palatino Linotype" w:cs="Times New Roman"/>
          <w:sz w:val="24"/>
          <w:szCs w:val="24"/>
        </w:rPr>
        <w:t xml:space="preserve">  </w:t>
      </w:r>
      <w:r w:rsidRPr="00C46733">
        <w:rPr>
          <w:rFonts w:ascii="Palatino Linotype" w:hAnsi="Palatino Linotype" w:cs="Times New Roman"/>
          <w:sz w:val="24"/>
          <w:szCs w:val="24"/>
        </w:rPr>
        <w:t>Future work should concentrate on resolving the performance issues seen from clinical sample testing so that assay signal can be improved and detection in such samples can become possible.</w:t>
      </w:r>
    </w:p>
    <w:p w14:paraId="2F0E29B2" w14:textId="77777777" w:rsidR="00FC2AF5" w:rsidRPr="005B1CCB" w:rsidRDefault="003C392A" w:rsidP="003C392A">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One final limitation with this work relates to the current outbreak of </w:t>
      </w:r>
      <w:r w:rsidRPr="00C46733">
        <w:rPr>
          <w:rFonts w:ascii="Palatino Linotype" w:hAnsi="Palatino Linotype" w:cs="Times New Roman"/>
          <w:sz w:val="24"/>
          <w:szCs w:val="24"/>
        </w:rPr>
        <w:t>Covid-19</w:t>
      </w:r>
      <w:r w:rsidRPr="005B1CCB">
        <w:rPr>
          <w:rFonts w:ascii="Palatino Linotype" w:hAnsi="Palatino Linotype" w:cs="Times New Roman"/>
          <w:sz w:val="24"/>
          <w:szCs w:val="24"/>
        </w:rPr>
        <w:t xml:space="preserve"> which began in March 2020 and continues until now.  </w:t>
      </w:r>
      <w:r w:rsidR="00C1490B" w:rsidRPr="005B1CCB">
        <w:rPr>
          <w:rFonts w:ascii="Palatino Linotype" w:hAnsi="Palatino Linotype" w:cs="Times New Roman"/>
          <w:sz w:val="24"/>
          <w:szCs w:val="24"/>
        </w:rPr>
        <w:t>Altogether</w:t>
      </w:r>
      <w:r w:rsidRPr="005B1CCB">
        <w:rPr>
          <w:rFonts w:ascii="Palatino Linotype" w:hAnsi="Palatino Linotype" w:cs="Times New Roman"/>
          <w:sz w:val="24"/>
          <w:szCs w:val="24"/>
        </w:rPr>
        <w:t xml:space="preserve">, six months of laboratory time were lost to the project and this time could have proven useful in solving some of the issues from clinical sample testing which arose at the end.  This could have included addressing topics such as the </w:t>
      </w:r>
      <w:r w:rsidRPr="00C46733">
        <w:rPr>
          <w:rFonts w:ascii="Palatino Linotype" w:hAnsi="Palatino Linotype" w:cs="Times New Roman"/>
          <w:sz w:val="24"/>
          <w:szCs w:val="24"/>
        </w:rPr>
        <w:t>development of an anti-fouling coating</w:t>
      </w:r>
      <w:r w:rsidRPr="005B1CCB">
        <w:rPr>
          <w:rFonts w:ascii="Palatino Linotype" w:hAnsi="Palatino Linotype" w:cs="Times New Roman"/>
          <w:sz w:val="24"/>
          <w:szCs w:val="24"/>
        </w:rPr>
        <w:t xml:space="preserve">, </w:t>
      </w:r>
      <w:r w:rsidRPr="00C46733">
        <w:rPr>
          <w:rFonts w:ascii="Palatino Linotype" w:hAnsi="Palatino Linotype" w:cs="Times New Roman"/>
          <w:sz w:val="24"/>
          <w:szCs w:val="24"/>
        </w:rPr>
        <w:t>another design of PCR primers</w:t>
      </w:r>
      <w:r w:rsidRPr="005B1CCB">
        <w:rPr>
          <w:rFonts w:ascii="Palatino Linotype" w:hAnsi="Palatino Linotype" w:cs="Times New Roman"/>
          <w:sz w:val="24"/>
          <w:szCs w:val="24"/>
        </w:rPr>
        <w:t xml:space="preserve"> or </w:t>
      </w:r>
      <w:r w:rsidRPr="00C46733">
        <w:rPr>
          <w:rFonts w:ascii="Palatino Linotype" w:hAnsi="Palatino Linotype" w:cs="Times New Roman"/>
          <w:sz w:val="24"/>
          <w:szCs w:val="24"/>
        </w:rPr>
        <w:t>use of a commercial KRAS mutation screening kit</w:t>
      </w:r>
      <w:r w:rsidRPr="005B1CCB">
        <w:rPr>
          <w:rFonts w:ascii="Palatino Linotype" w:hAnsi="Palatino Linotype" w:cs="Times New Roman"/>
          <w:sz w:val="24"/>
          <w:szCs w:val="24"/>
        </w:rPr>
        <w:t xml:space="preserve">, or </w:t>
      </w:r>
      <w:r w:rsidRPr="00C46733">
        <w:rPr>
          <w:rFonts w:ascii="Palatino Linotype" w:hAnsi="Palatino Linotype" w:cs="Times New Roman"/>
          <w:sz w:val="24"/>
          <w:szCs w:val="24"/>
        </w:rPr>
        <w:t>implementation of a DNA purification step into the assay to improve sensitivity and specificity</w:t>
      </w:r>
      <w:r w:rsidRPr="005B1CCB">
        <w:rPr>
          <w:rFonts w:ascii="Palatino Linotype" w:hAnsi="Palatino Linotype" w:cs="Times New Roman"/>
          <w:sz w:val="24"/>
          <w:szCs w:val="24"/>
        </w:rPr>
        <w:t xml:space="preserve">.  </w:t>
      </w:r>
    </w:p>
    <w:p w14:paraId="4D626788" w14:textId="77777777" w:rsidR="00E1445C" w:rsidRPr="005B1CCB" w:rsidRDefault="00E1445C" w:rsidP="00516EAD">
      <w:pPr>
        <w:spacing w:line="360" w:lineRule="auto"/>
        <w:jc w:val="both"/>
        <w:rPr>
          <w:rFonts w:ascii="Palatino Linotype" w:hAnsi="Palatino Linotype"/>
          <w:sz w:val="24"/>
          <w:szCs w:val="24"/>
          <w:lang w:val="en-US"/>
        </w:rPr>
      </w:pPr>
    </w:p>
    <w:p w14:paraId="532AAC63" w14:textId="77777777" w:rsidR="00A11EFD" w:rsidRPr="005B1CCB" w:rsidRDefault="00A11EFD" w:rsidP="005B7B25">
      <w:pPr>
        <w:pStyle w:val="Heading2"/>
        <w:rPr>
          <w:lang w:val="en-US"/>
        </w:rPr>
      </w:pPr>
      <w:bookmarkStart w:id="232" w:name="_Toc84528160"/>
      <w:r w:rsidRPr="005B1CCB">
        <w:rPr>
          <w:lang w:val="en-US"/>
        </w:rPr>
        <w:t xml:space="preserve">The ideal </w:t>
      </w:r>
      <w:r w:rsidR="00501F65" w:rsidRPr="005B1CCB">
        <w:rPr>
          <w:lang w:val="en-US"/>
        </w:rPr>
        <w:t>diagnostic solution</w:t>
      </w:r>
      <w:bookmarkEnd w:id="232"/>
    </w:p>
    <w:p w14:paraId="272445F5" w14:textId="77777777" w:rsidR="00A11EFD" w:rsidRPr="005B1CCB" w:rsidRDefault="00402C0D" w:rsidP="00A11EFD">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D66FED" w:rsidRPr="00C46733">
        <w:rPr>
          <w:rFonts w:ascii="Palatino Linotype" w:hAnsi="Palatino Linotype" w:cs="Times New Roman"/>
          <w:sz w:val="24"/>
          <w:szCs w:val="24"/>
        </w:rPr>
        <w:t>An ideal ctDNA diagnostic kit should be sensitive enough to detect cancer at stage I or earlier, be able to integrate on a multi-</w:t>
      </w:r>
      <w:r w:rsidR="00C94CC6" w:rsidRPr="00C46733">
        <w:rPr>
          <w:rFonts w:ascii="Palatino Linotype" w:hAnsi="Palatino Linotype" w:cs="Times New Roman"/>
          <w:sz w:val="24"/>
          <w:szCs w:val="24"/>
        </w:rPr>
        <w:t>panel</w:t>
      </w:r>
      <w:r w:rsidR="00D66FED" w:rsidRPr="00C46733">
        <w:rPr>
          <w:rFonts w:ascii="Palatino Linotype" w:hAnsi="Palatino Linotype" w:cs="Times New Roman"/>
          <w:sz w:val="24"/>
          <w:szCs w:val="24"/>
        </w:rPr>
        <w:t xml:space="preserve"> platform, be inexpensive, should be repeated</w:t>
      </w:r>
      <w:r w:rsidR="00C94CC6" w:rsidRPr="00C46733">
        <w:rPr>
          <w:rFonts w:ascii="Palatino Linotype" w:hAnsi="Palatino Linotype" w:cs="Times New Roman"/>
          <w:sz w:val="24"/>
          <w:szCs w:val="24"/>
        </w:rPr>
        <w:t xml:space="preserve"> </w:t>
      </w:r>
      <w:r w:rsidR="00D66FED" w:rsidRPr="00C46733">
        <w:rPr>
          <w:rFonts w:ascii="Palatino Linotype" w:hAnsi="Palatino Linotype" w:cs="Times New Roman"/>
          <w:sz w:val="24"/>
          <w:szCs w:val="24"/>
        </w:rPr>
        <w:t xml:space="preserve">easily, </w:t>
      </w:r>
      <w:r w:rsidR="00C94CC6" w:rsidRPr="00C46733">
        <w:rPr>
          <w:rFonts w:ascii="Palatino Linotype" w:hAnsi="Palatino Linotype" w:cs="Times New Roman"/>
          <w:sz w:val="24"/>
          <w:szCs w:val="24"/>
        </w:rPr>
        <w:t>should be operated by a technician</w:t>
      </w:r>
      <w:r w:rsidR="00D66FED" w:rsidRPr="00C46733">
        <w:rPr>
          <w:rFonts w:ascii="Palatino Linotype" w:hAnsi="Palatino Linotype" w:cs="Times New Roman"/>
          <w:sz w:val="24"/>
          <w:szCs w:val="24"/>
        </w:rPr>
        <w:t xml:space="preserve"> and well accepted by a patient</w:t>
      </w:r>
      <w:r w:rsidR="00D66FED" w:rsidRPr="005B1CCB">
        <w:rPr>
          <w:rFonts w:ascii="Palatino Linotype" w:hAnsi="Palatino Linotype" w:cs="Times New Roman"/>
          <w:sz w:val="24"/>
          <w:szCs w:val="24"/>
        </w:rPr>
        <w:t xml:space="preserve">. </w:t>
      </w:r>
      <w:r w:rsidR="00A11EFD" w:rsidRPr="005B1CCB">
        <w:rPr>
          <w:rFonts w:ascii="Palatino Linotype" w:hAnsi="Palatino Linotype" w:cs="Times New Roman"/>
          <w:sz w:val="24"/>
          <w:szCs w:val="24"/>
        </w:rPr>
        <w:t xml:space="preserve">Commercially, a comprehensive toolkit that meets medical needs </w:t>
      </w:r>
      <w:r w:rsidR="006A093C" w:rsidRPr="005B1CCB">
        <w:rPr>
          <w:rFonts w:ascii="Palatino Linotype" w:hAnsi="Palatino Linotype" w:cs="Times New Roman"/>
          <w:sz w:val="24"/>
          <w:szCs w:val="24"/>
        </w:rPr>
        <w:t xml:space="preserve">as shown in Figure 70 </w:t>
      </w:r>
      <w:r w:rsidR="00A11EFD" w:rsidRPr="005B1CCB">
        <w:rPr>
          <w:rFonts w:ascii="Palatino Linotype" w:hAnsi="Palatino Linotype" w:cs="Times New Roman"/>
          <w:sz w:val="24"/>
          <w:szCs w:val="24"/>
        </w:rPr>
        <w:t>will ideally detect ctDNA mutations, monitor cancer on a personal basis and track mutations.</w:t>
      </w:r>
    </w:p>
    <w:p w14:paraId="359C8260" w14:textId="77777777" w:rsidR="00B84C49" w:rsidRPr="005B1CCB" w:rsidRDefault="00A11EFD" w:rsidP="00B84C49">
      <w:pPr>
        <w:keepNext/>
        <w:spacing w:line="360" w:lineRule="auto"/>
        <w:jc w:val="center"/>
      </w:pPr>
      <w:r w:rsidRPr="005B1CCB">
        <w:rPr>
          <w:noProof/>
          <w:sz w:val="24"/>
          <w:szCs w:val="24"/>
          <w:lang w:eastAsia="en-GB"/>
        </w:rPr>
        <w:drawing>
          <wp:inline distT="0" distB="0" distL="0" distR="0" wp14:anchorId="1DF8A9A1" wp14:editId="6790525D">
            <wp:extent cx="5387825" cy="566531"/>
            <wp:effectExtent l="0" t="0" r="381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480482" cy="576274"/>
                    </a:xfrm>
                    <a:prstGeom prst="rect">
                      <a:avLst/>
                    </a:prstGeom>
                  </pic:spPr>
                </pic:pic>
              </a:graphicData>
            </a:graphic>
          </wp:inline>
        </w:drawing>
      </w:r>
    </w:p>
    <w:p w14:paraId="50426375" w14:textId="77777777" w:rsidR="00A11EFD" w:rsidRPr="005B1CCB" w:rsidRDefault="00B84C49" w:rsidP="00B84C49">
      <w:pPr>
        <w:pStyle w:val="Caption"/>
        <w:jc w:val="center"/>
        <w:rPr>
          <w:rFonts w:ascii="Palatino Linotype" w:hAnsi="Palatino Linotype" w:cs="Times New Roman"/>
          <w:sz w:val="22"/>
          <w:szCs w:val="22"/>
        </w:rPr>
      </w:pPr>
      <w:bookmarkStart w:id="233" w:name="_Toc84519665"/>
      <w:r w:rsidRPr="005B1CCB">
        <w:rPr>
          <w:sz w:val="22"/>
          <w:szCs w:val="22"/>
        </w:rPr>
        <w:t xml:space="preserve">Figure </w:t>
      </w:r>
      <w:r w:rsidRPr="005B1CCB">
        <w:rPr>
          <w:sz w:val="22"/>
          <w:szCs w:val="22"/>
        </w:rPr>
        <w:fldChar w:fldCharType="begin"/>
      </w:r>
      <w:r w:rsidRPr="005B1CCB">
        <w:rPr>
          <w:sz w:val="22"/>
          <w:szCs w:val="22"/>
        </w:rPr>
        <w:instrText xml:space="preserve"> SEQ Figure \* ARABIC </w:instrText>
      </w:r>
      <w:r w:rsidRPr="005B1CCB">
        <w:rPr>
          <w:sz w:val="22"/>
          <w:szCs w:val="22"/>
        </w:rPr>
        <w:fldChar w:fldCharType="separate"/>
      </w:r>
      <w:r w:rsidR="009007B4">
        <w:rPr>
          <w:noProof/>
          <w:sz w:val="22"/>
          <w:szCs w:val="22"/>
        </w:rPr>
        <w:t>70</w:t>
      </w:r>
      <w:r w:rsidRPr="005B1CCB">
        <w:rPr>
          <w:sz w:val="22"/>
          <w:szCs w:val="22"/>
        </w:rPr>
        <w:fldChar w:fldCharType="end"/>
      </w:r>
      <w:r w:rsidRPr="005B1CCB">
        <w:rPr>
          <w:sz w:val="22"/>
          <w:szCs w:val="22"/>
        </w:rPr>
        <w:t>: Different medical needs in cancer diagnostic that an ideal ctDNA kit should cover</w:t>
      </w:r>
      <w:bookmarkEnd w:id="233"/>
    </w:p>
    <w:p w14:paraId="1DEE5D64" w14:textId="77777777" w:rsidR="00000488" w:rsidRPr="005B1CCB" w:rsidRDefault="008C300D" w:rsidP="00A11EFD">
      <w:p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 xml:space="preserve">   </w:t>
      </w:r>
      <w:r w:rsidR="00000488" w:rsidRPr="005B1CCB">
        <w:rPr>
          <w:rFonts w:ascii="Palatino Linotype" w:hAnsi="Palatino Linotype" w:cs="Times New Roman"/>
          <w:sz w:val="24"/>
          <w:szCs w:val="24"/>
        </w:rPr>
        <w:t xml:space="preserve">A sensor that can detect </w:t>
      </w:r>
      <w:r w:rsidR="00C64BC6" w:rsidRPr="005B1CCB">
        <w:rPr>
          <w:rFonts w:ascii="Palatino Linotype" w:hAnsi="Palatino Linotype" w:cs="Times New Roman"/>
          <w:sz w:val="24"/>
          <w:szCs w:val="24"/>
        </w:rPr>
        <w:t>emerging</w:t>
      </w:r>
      <w:r w:rsidR="00000488" w:rsidRPr="005B1CCB">
        <w:rPr>
          <w:rFonts w:ascii="Palatino Linotype" w:hAnsi="Palatino Linotype" w:cs="Times New Roman"/>
          <w:sz w:val="24"/>
          <w:szCs w:val="24"/>
        </w:rPr>
        <w:t xml:space="preserve"> biomarkers like exosomes will be able to obtain tumour information from other circulating nucleic acids including RNA which is contained within exosomes and has been shown to increase the total number of mutant copies available compared to ctDNA alone.</w:t>
      </w:r>
    </w:p>
    <w:p w14:paraId="5C818FA8" w14:textId="77777777" w:rsidR="006A093C" w:rsidRPr="005B1CCB" w:rsidRDefault="006A093C" w:rsidP="00A11EFD">
      <w:pPr>
        <w:spacing w:line="360" w:lineRule="auto"/>
        <w:jc w:val="both"/>
        <w:rPr>
          <w:rFonts w:ascii="Palatino Linotype" w:hAnsi="Palatino Linotype" w:cs="Times New Roman"/>
          <w:sz w:val="24"/>
          <w:szCs w:val="24"/>
        </w:rPr>
      </w:pPr>
    </w:p>
    <w:p w14:paraId="71710110" w14:textId="77777777" w:rsidR="008258A0" w:rsidRPr="005B1CCB" w:rsidRDefault="003675E4" w:rsidP="005B7B25">
      <w:pPr>
        <w:pStyle w:val="Heading2"/>
      </w:pPr>
      <w:bookmarkStart w:id="234" w:name="_Toc84528161"/>
      <w:r w:rsidRPr="005B1CCB">
        <w:t>Recommendations for further work</w:t>
      </w:r>
      <w:bookmarkEnd w:id="234"/>
    </w:p>
    <w:p w14:paraId="1742A545" w14:textId="77777777" w:rsidR="00AA1ACC" w:rsidRPr="005B1CCB" w:rsidRDefault="008C300D" w:rsidP="00AA1ACC">
      <w:pPr>
        <w:spacing w:line="360" w:lineRule="auto"/>
        <w:jc w:val="both"/>
        <w:rPr>
          <w:rFonts w:ascii="Palatino Linotype" w:hAnsi="Palatino Linotype"/>
          <w:sz w:val="24"/>
          <w:szCs w:val="24"/>
          <w:lang w:val="en-US"/>
        </w:rPr>
      </w:pPr>
      <w:r w:rsidRPr="005B1CCB">
        <w:rPr>
          <w:rFonts w:ascii="Palatino Linotype" w:hAnsi="Palatino Linotype"/>
          <w:sz w:val="24"/>
          <w:szCs w:val="24"/>
        </w:rPr>
        <w:t xml:space="preserve">   </w:t>
      </w:r>
      <w:r w:rsidR="00AA1ACC" w:rsidRPr="005B1CCB">
        <w:rPr>
          <w:rFonts w:ascii="Palatino Linotype" w:hAnsi="Palatino Linotype"/>
          <w:sz w:val="24"/>
          <w:szCs w:val="24"/>
        </w:rPr>
        <w:t>F</w:t>
      </w:r>
      <w:r w:rsidR="00AA1ACC" w:rsidRPr="005B1CCB">
        <w:rPr>
          <w:rFonts w:ascii="Palatino Linotype" w:hAnsi="Palatino Linotype"/>
          <w:sz w:val="24"/>
          <w:szCs w:val="24"/>
          <w:lang w:val="en-US"/>
        </w:rPr>
        <w:t>uture work will involve analy</w:t>
      </w:r>
      <w:r w:rsidRPr="005B1CCB">
        <w:rPr>
          <w:rFonts w:ascii="Palatino Linotype" w:hAnsi="Palatino Linotype"/>
          <w:sz w:val="24"/>
          <w:szCs w:val="24"/>
          <w:lang w:val="en-US"/>
        </w:rPr>
        <w:t>s</w:t>
      </w:r>
      <w:r w:rsidR="00AA1ACC" w:rsidRPr="005B1CCB">
        <w:rPr>
          <w:rFonts w:ascii="Palatino Linotype" w:hAnsi="Palatino Linotype"/>
          <w:sz w:val="24"/>
          <w:szCs w:val="24"/>
          <w:lang w:val="en-US"/>
        </w:rPr>
        <w:t xml:space="preserve">ing the </w:t>
      </w:r>
      <w:r w:rsidR="00AA1ACC" w:rsidRPr="005B1CCB">
        <w:rPr>
          <w:rFonts w:ascii="Palatino Linotype" w:hAnsi="Palatino Linotype"/>
          <w:sz w:val="24"/>
          <w:szCs w:val="24"/>
        </w:rPr>
        <w:t xml:space="preserve">concentration response for the amplified PCR products in </w:t>
      </w:r>
      <w:r w:rsidRPr="005B1CCB">
        <w:rPr>
          <w:rFonts w:ascii="Palatino Linotype" w:hAnsi="Palatino Linotype"/>
          <w:sz w:val="24"/>
          <w:szCs w:val="24"/>
        </w:rPr>
        <w:t>real clinical</w:t>
      </w:r>
      <w:r w:rsidR="00AA1ACC" w:rsidRPr="005B1CCB">
        <w:rPr>
          <w:rFonts w:ascii="Palatino Linotype" w:hAnsi="Palatino Linotype"/>
          <w:sz w:val="24"/>
          <w:szCs w:val="24"/>
        </w:rPr>
        <w:t xml:space="preserve"> samples in order to gain an impression of potential detection limits. The improved understanding of the probe-target interaction will inform the design of future electrochemical DNA biosensors and allow improved sensitivity to be achieved. </w:t>
      </w:r>
    </w:p>
    <w:p w14:paraId="72CB159D" w14:textId="77777777" w:rsidR="009F3567" w:rsidRPr="005B1CCB" w:rsidRDefault="009F3567" w:rsidP="009F3567">
      <w:pPr>
        <w:spacing w:line="360" w:lineRule="auto"/>
        <w:jc w:val="both"/>
        <w:rPr>
          <w:rFonts w:ascii="Palatino Linotype" w:hAnsi="Palatino Linotype"/>
          <w:b/>
          <w:sz w:val="24"/>
          <w:szCs w:val="24"/>
          <w:lang w:bidi="en-US"/>
        </w:rPr>
      </w:pPr>
      <w:r w:rsidRPr="005B1CCB">
        <w:rPr>
          <w:rFonts w:ascii="Palatino Linotype" w:hAnsi="Palatino Linotype"/>
          <w:sz w:val="24"/>
          <w:szCs w:val="24"/>
          <w:lang w:bidi="en-US"/>
        </w:rPr>
        <w:t xml:space="preserve">  Near future work will explore the detection of other KRAS mutations and mutations in other genes involved in cancer e.g. P53 and BRCA1. </w:t>
      </w:r>
      <w:r w:rsidR="00D05A5A" w:rsidRPr="005B1CCB">
        <w:rPr>
          <w:rFonts w:ascii="Palatino Linotype" w:hAnsi="Palatino Linotype"/>
          <w:sz w:val="24"/>
          <w:szCs w:val="24"/>
          <w:lang w:bidi="en-US"/>
        </w:rPr>
        <w:t>Analysing</w:t>
      </w:r>
      <w:r w:rsidRPr="005B1CCB">
        <w:rPr>
          <w:rFonts w:ascii="Palatino Linotype" w:hAnsi="Palatino Linotype"/>
          <w:sz w:val="24"/>
          <w:szCs w:val="24"/>
          <w:lang w:bidi="en-US"/>
        </w:rPr>
        <w:t xml:space="preserve"> </w:t>
      </w:r>
      <w:r w:rsidRPr="005B1CCB">
        <w:rPr>
          <w:rFonts w:ascii="Palatino Linotype" w:hAnsi="Palatino Linotype"/>
          <w:sz w:val="24"/>
          <w:szCs w:val="24"/>
        </w:rPr>
        <w:t xml:space="preserve">multiple mutations simultaneously in a given sample without prior knowledge of the alterations using multiplex techniques and </w:t>
      </w:r>
      <w:r w:rsidRPr="005B1CCB">
        <w:rPr>
          <w:rFonts w:ascii="Palatino Linotype" w:hAnsi="Palatino Linotype"/>
          <w:sz w:val="24"/>
          <w:szCs w:val="24"/>
          <w:lang w:bidi="en-US"/>
        </w:rPr>
        <w:t>direct detection of ctDNA from cancer patient samples will support the future direction of PoC clinical testing.</w:t>
      </w:r>
      <w:bookmarkStart w:id="235" w:name="OLE_LINK4"/>
      <w:bookmarkStart w:id="236" w:name="OLE_LINK5"/>
    </w:p>
    <w:bookmarkEnd w:id="235"/>
    <w:bookmarkEnd w:id="236"/>
    <w:p w14:paraId="74092829" w14:textId="77777777" w:rsidR="009F3567" w:rsidRPr="005B1CCB" w:rsidRDefault="00CA31F5" w:rsidP="00AA1ACC">
      <w:pPr>
        <w:spacing w:line="360" w:lineRule="auto"/>
        <w:jc w:val="both"/>
        <w:rPr>
          <w:rFonts w:ascii="Palatino Linotype" w:hAnsi="Palatino Linotype"/>
          <w:sz w:val="24"/>
          <w:szCs w:val="24"/>
          <w:lang w:bidi="en-US"/>
        </w:rPr>
      </w:pPr>
      <w:r w:rsidRPr="005B1CCB">
        <w:rPr>
          <w:rFonts w:ascii="Palatino Linotype" w:hAnsi="Palatino Linotype"/>
          <w:sz w:val="24"/>
          <w:szCs w:val="24"/>
          <w:lang w:bidi="en-US"/>
        </w:rPr>
        <w:t>Other key recommendations include:</w:t>
      </w:r>
    </w:p>
    <w:p w14:paraId="1E569E1D" w14:textId="394F1007" w:rsidR="00CA31F5" w:rsidRPr="005B1CCB" w:rsidRDefault="00CA31F5"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Develop</w:t>
      </w:r>
      <w:r w:rsidR="004B336C">
        <w:rPr>
          <w:rFonts w:ascii="Palatino Linotype" w:hAnsi="Palatino Linotype" w:cs="Times New Roman"/>
          <w:sz w:val="24"/>
          <w:szCs w:val="24"/>
        </w:rPr>
        <w:t>ing</w:t>
      </w:r>
      <w:r w:rsidRPr="005B1CCB">
        <w:rPr>
          <w:rFonts w:ascii="Palatino Linotype" w:hAnsi="Palatino Linotype" w:cs="Times New Roman"/>
          <w:sz w:val="24"/>
          <w:szCs w:val="24"/>
        </w:rPr>
        <w:t xml:space="preserve"> a simple sensor chip that is sensitive and reproducible</w:t>
      </w:r>
    </w:p>
    <w:p w14:paraId="7BFC83B1" w14:textId="77777777" w:rsidR="00603E63" w:rsidRPr="005B1CCB" w:rsidRDefault="00603E63"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Testing shorter incubation times to reduce the overall assay time to result</w:t>
      </w:r>
    </w:p>
    <w:p w14:paraId="2155103E" w14:textId="3A16EA8F" w:rsidR="00A11EFD" w:rsidRPr="005B1CCB" w:rsidRDefault="004B336C"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Investigat</w:t>
      </w:r>
      <w:r>
        <w:rPr>
          <w:rFonts w:ascii="Palatino Linotype" w:hAnsi="Palatino Linotype" w:cs="Times New Roman"/>
          <w:sz w:val="24"/>
          <w:szCs w:val="24"/>
        </w:rPr>
        <w:t>ing</w:t>
      </w:r>
      <w:r w:rsidRPr="005B1CCB">
        <w:rPr>
          <w:rFonts w:ascii="Palatino Linotype" w:hAnsi="Palatino Linotype" w:cs="Times New Roman"/>
          <w:sz w:val="24"/>
          <w:szCs w:val="24"/>
        </w:rPr>
        <w:t xml:space="preserve"> </w:t>
      </w:r>
      <w:r w:rsidR="00884BFC" w:rsidRPr="005B1CCB">
        <w:rPr>
          <w:rFonts w:ascii="Palatino Linotype" w:hAnsi="Palatino Linotype" w:cs="Times New Roman"/>
          <w:sz w:val="24"/>
          <w:szCs w:val="24"/>
        </w:rPr>
        <w:t xml:space="preserve">shelf life of </w:t>
      </w:r>
      <w:r w:rsidR="009F03C8" w:rsidRPr="005B1CCB">
        <w:rPr>
          <w:rFonts w:ascii="Palatino Linotype" w:hAnsi="Palatino Linotype" w:cs="Times New Roman"/>
          <w:sz w:val="24"/>
          <w:szCs w:val="24"/>
        </w:rPr>
        <w:t xml:space="preserve">regular and modified </w:t>
      </w:r>
      <w:r w:rsidR="00884BFC" w:rsidRPr="005B1CCB">
        <w:rPr>
          <w:rFonts w:ascii="Palatino Linotype" w:hAnsi="Palatino Linotype" w:cs="Times New Roman"/>
          <w:sz w:val="24"/>
          <w:szCs w:val="24"/>
        </w:rPr>
        <w:t>electrodes</w:t>
      </w:r>
    </w:p>
    <w:p w14:paraId="575CE693" w14:textId="77777777" w:rsidR="0089636F" w:rsidRPr="005B1CCB" w:rsidRDefault="0089636F"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Using shorter DNA fragments to perform a robust concentration dose response in order to determine a limit of detection</w:t>
      </w:r>
    </w:p>
    <w:p w14:paraId="22067D41" w14:textId="1ED28AE2" w:rsidR="001F30F1" w:rsidRPr="005B1CCB" w:rsidRDefault="001F30F1"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Identify</w:t>
      </w:r>
      <w:r w:rsidR="004B336C">
        <w:rPr>
          <w:rFonts w:ascii="Palatino Linotype" w:hAnsi="Palatino Linotype" w:cs="Times New Roman"/>
          <w:sz w:val="24"/>
          <w:szCs w:val="24"/>
        </w:rPr>
        <w:t>ing</w:t>
      </w:r>
      <w:r w:rsidRPr="005B1CCB">
        <w:rPr>
          <w:rFonts w:ascii="Palatino Linotype" w:hAnsi="Palatino Linotype" w:cs="Times New Roman"/>
          <w:sz w:val="24"/>
          <w:szCs w:val="24"/>
        </w:rPr>
        <w:t xml:space="preserve"> </w:t>
      </w:r>
      <w:r w:rsidR="00CA31F5" w:rsidRPr="005B1CCB">
        <w:rPr>
          <w:rFonts w:ascii="Palatino Linotype" w:hAnsi="Palatino Linotype" w:cs="Times New Roman"/>
          <w:sz w:val="24"/>
          <w:szCs w:val="24"/>
        </w:rPr>
        <w:t xml:space="preserve">more </w:t>
      </w:r>
      <w:r w:rsidRPr="005B1CCB">
        <w:rPr>
          <w:rFonts w:ascii="Palatino Linotype" w:hAnsi="Palatino Linotype" w:cs="Times New Roman"/>
          <w:sz w:val="24"/>
          <w:szCs w:val="24"/>
        </w:rPr>
        <w:t xml:space="preserve">optimal primers for </w:t>
      </w:r>
      <w:r w:rsidR="00CA31F5" w:rsidRPr="005B1CCB">
        <w:rPr>
          <w:rFonts w:ascii="Palatino Linotype" w:hAnsi="Palatino Linotype" w:cs="Times New Roman"/>
          <w:sz w:val="24"/>
          <w:szCs w:val="24"/>
        </w:rPr>
        <w:t>different</w:t>
      </w:r>
      <w:r w:rsidRPr="005B1CCB">
        <w:rPr>
          <w:rFonts w:ascii="Palatino Linotype" w:hAnsi="Palatino Linotype" w:cs="Times New Roman"/>
          <w:sz w:val="24"/>
          <w:szCs w:val="24"/>
        </w:rPr>
        <w:t xml:space="preserve"> amplification</w:t>
      </w:r>
      <w:r w:rsidR="00CA31F5" w:rsidRPr="005B1CCB">
        <w:rPr>
          <w:rFonts w:ascii="Palatino Linotype" w:hAnsi="Palatino Linotype" w:cs="Times New Roman"/>
          <w:sz w:val="24"/>
          <w:szCs w:val="24"/>
        </w:rPr>
        <w:t xml:space="preserve"> techniques</w:t>
      </w:r>
    </w:p>
    <w:p w14:paraId="6DFFF702" w14:textId="1C315554" w:rsidR="00D6212E" w:rsidRDefault="004B336C"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Us</w:t>
      </w:r>
      <w:r>
        <w:rPr>
          <w:rFonts w:ascii="Palatino Linotype" w:hAnsi="Palatino Linotype" w:cs="Times New Roman"/>
          <w:sz w:val="24"/>
          <w:szCs w:val="24"/>
        </w:rPr>
        <w:t>ing</w:t>
      </w:r>
      <w:r w:rsidRPr="005B1CCB">
        <w:rPr>
          <w:rFonts w:ascii="Palatino Linotype" w:hAnsi="Palatino Linotype" w:cs="Times New Roman"/>
          <w:sz w:val="24"/>
          <w:szCs w:val="24"/>
        </w:rPr>
        <w:t xml:space="preserve"> </w:t>
      </w:r>
      <w:r w:rsidR="00D6212E" w:rsidRPr="005B1CCB">
        <w:rPr>
          <w:rFonts w:ascii="Palatino Linotype" w:hAnsi="Palatino Linotype" w:cs="Times New Roman"/>
          <w:sz w:val="24"/>
          <w:szCs w:val="24"/>
        </w:rPr>
        <w:t xml:space="preserve">DMSO </w:t>
      </w:r>
      <w:r w:rsidR="000C34E8" w:rsidRPr="005B1CCB">
        <w:rPr>
          <w:rFonts w:ascii="Palatino Linotype" w:hAnsi="Palatino Linotype" w:cs="Times New Roman"/>
          <w:sz w:val="24"/>
          <w:szCs w:val="24"/>
        </w:rPr>
        <w:t xml:space="preserve">or direct probe sonication </w:t>
      </w:r>
      <w:r w:rsidR="00D6212E" w:rsidRPr="005B1CCB">
        <w:rPr>
          <w:rFonts w:ascii="Palatino Linotype" w:hAnsi="Palatino Linotype" w:cs="Times New Roman"/>
          <w:sz w:val="24"/>
          <w:szCs w:val="24"/>
        </w:rPr>
        <w:t>to denature dsDNA</w:t>
      </w:r>
    </w:p>
    <w:p w14:paraId="080E6DBB" w14:textId="77777777" w:rsidR="001F30F1" w:rsidRPr="005B1CCB" w:rsidRDefault="001F30F1"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Integrate the assay with on-board thermocycling and electrochemical measurement</w:t>
      </w:r>
    </w:p>
    <w:p w14:paraId="2C946452" w14:textId="77777777" w:rsidR="00603E63" w:rsidRPr="005B1CCB" w:rsidRDefault="00603E63" w:rsidP="00E82684">
      <w:pPr>
        <w:pStyle w:val="ListParagraph"/>
        <w:numPr>
          <w:ilvl w:val="0"/>
          <w:numId w:val="14"/>
        </w:numPr>
        <w:spacing w:line="360" w:lineRule="auto"/>
        <w:jc w:val="both"/>
        <w:rPr>
          <w:rFonts w:ascii="Palatino Linotype" w:hAnsi="Palatino Linotype" w:cs="Times New Roman"/>
          <w:sz w:val="24"/>
          <w:szCs w:val="24"/>
        </w:rPr>
      </w:pPr>
      <w:r w:rsidRPr="005B1CCB">
        <w:rPr>
          <w:rFonts w:ascii="Palatino Linotype" w:hAnsi="Palatino Linotype" w:cs="Times New Roman"/>
          <w:sz w:val="24"/>
          <w:szCs w:val="24"/>
        </w:rPr>
        <w:t>Further sensor verification with a large set of clinical samples</w:t>
      </w:r>
    </w:p>
    <w:p w14:paraId="53D958E8" w14:textId="77777777" w:rsidR="00884BFC" w:rsidRPr="005B1CCB" w:rsidRDefault="00884BFC" w:rsidP="00AC693C">
      <w:pPr>
        <w:spacing w:line="360" w:lineRule="auto"/>
        <w:jc w:val="both"/>
        <w:rPr>
          <w:rFonts w:ascii="Palatino Linotype" w:hAnsi="Palatino Linotype" w:cs="Times New Roman"/>
        </w:rPr>
      </w:pPr>
    </w:p>
    <w:p w14:paraId="5434A22F" w14:textId="77777777" w:rsidR="002369CD" w:rsidRPr="005B1CCB" w:rsidRDefault="002369CD" w:rsidP="002369CD"/>
    <w:p w14:paraId="023EC01E" w14:textId="77777777" w:rsidR="001C319F" w:rsidRPr="005B1CCB" w:rsidRDefault="001C319F" w:rsidP="002369CD"/>
    <w:p w14:paraId="5569F595" w14:textId="63481F90" w:rsidR="001F62F8" w:rsidRDefault="001F62F8" w:rsidP="002369CD"/>
    <w:p w14:paraId="60EFB1F9" w14:textId="668B956A" w:rsidR="00AE736A" w:rsidRDefault="00AE736A" w:rsidP="002369CD"/>
    <w:p w14:paraId="13EFFC4C" w14:textId="0D427A3C" w:rsidR="00AE736A" w:rsidRDefault="00AE736A" w:rsidP="002369CD"/>
    <w:p w14:paraId="4A58067F" w14:textId="14F774B0" w:rsidR="00AE736A" w:rsidRDefault="00AE736A" w:rsidP="002369CD"/>
    <w:p w14:paraId="744451B6" w14:textId="10CFF7CA" w:rsidR="00AE736A" w:rsidRDefault="00AE736A" w:rsidP="002369CD"/>
    <w:p w14:paraId="296F7CAB" w14:textId="77777777" w:rsidR="00AE736A" w:rsidRPr="005B1CCB" w:rsidRDefault="00AE736A" w:rsidP="002369CD"/>
    <w:p w14:paraId="5CFF3EC7" w14:textId="77777777" w:rsidR="002369CD" w:rsidRPr="005B1CCB" w:rsidRDefault="00E53787" w:rsidP="001F62F8">
      <w:pPr>
        <w:pStyle w:val="Heading1"/>
        <w:numPr>
          <w:ilvl w:val="0"/>
          <w:numId w:val="0"/>
        </w:numPr>
        <w:spacing w:line="360" w:lineRule="auto"/>
        <w:ind w:left="432"/>
      </w:pPr>
      <w:bookmarkStart w:id="237" w:name="_Toc84528162"/>
      <w:r w:rsidRPr="005B1CCB">
        <w:t>REFERENCES</w:t>
      </w:r>
      <w:bookmarkEnd w:id="237"/>
    </w:p>
    <w:p w14:paraId="35997F0F" w14:textId="674F1F23" w:rsidR="000766C5" w:rsidRPr="000766C5" w:rsidRDefault="00143867"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5B1CCB">
        <w:rPr>
          <w:rFonts w:ascii="Palatino Linotype" w:hAnsi="Palatino Linotype" w:cs="Times New Roman"/>
        </w:rPr>
        <w:fldChar w:fldCharType="begin" w:fldLock="1"/>
      </w:r>
      <w:r w:rsidRPr="005B1CCB">
        <w:rPr>
          <w:rFonts w:ascii="Palatino Linotype" w:hAnsi="Palatino Linotype" w:cs="Times New Roman"/>
        </w:rPr>
        <w:instrText xml:space="preserve">ADDIN Mendeley Bibliography CSL_BIBLIOGRAPHY </w:instrText>
      </w:r>
      <w:r w:rsidRPr="005B1CCB">
        <w:rPr>
          <w:rFonts w:ascii="Palatino Linotype" w:hAnsi="Palatino Linotype" w:cs="Times New Roman"/>
        </w:rPr>
        <w:fldChar w:fldCharType="separate"/>
      </w:r>
      <w:r w:rsidR="000766C5" w:rsidRPr="000766C5">
        <w:rPr>
          <w:rFonts w:ascii="Palatino Linotype" w:hAnsi="Palatino Linotype" w:cs="Times New Roman"/>
          <w:noProof/>
          <w:szCs w:val="24"/>
        </w:rPr>
        <w:t>[1]</w:t>
      </w:r>
      <w:r w:rsidR="000766C5" w:rsidRPr="000766C5">
        <w:rPr>
          <w:rFonts w:ascii="Palatino Linotype" w:hAnsi="Palatino Linotype" w:cs="Times New Roman"/>
          <w:noProof/>
          <w:szCs w:val="24"/>
        </w:rPr>
        <w:tab/>
        <w:t xml:space="preserve">Cancer Research UK, “No Title,” </w:t>
      </w:r>
      <w:r w:rsidR="000766C5" w:rsidRPr="000766C5">
        <w:rPr>
          <w:rFonts w:ascii="Palatino Linotype" w:hAnsi="Palatino Linotype" w:cs="Times New Roman"/>
          <w:i/>
          <w:iCs/>
          <w:noProof/>
          <w:szCs w:val="24"/>
        </w:rPr>
        <w:t>Cancer incidence for all cancers combined</w:t>
      </w:r>
      <w:r w:rsidR="000766C5" w:rsidRPr="000766C5">
        <w:rPr>
          <w:rFonts w:ascii="Palatino Linotype" w:hAnsi="Palatino Linotype" w:cs="Times New Roman"/>
          <w:noProof/>
          <w:szCs w:val="24"/>
        </w:rPr>
        <w:t>, 2020. [Online]. Available: https://www.cancerresearchuk.org/health-professional/cancer-statistics/incidence#heading-Zero. [Accessed: 25-Mar-2020].</w:t>
      </w:r>
    </w:p>
    <w:p w14:paraId="5CAC3D6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w:t>
      </w:r>
      <w:r w:rsidRPr="000766C5">
        <w:rPr>
          <w:rFonts w:ascii="Palatino Linotype" w:hAnsi="Palatino Linotype" w:cs="Times New Roman"/>
          <w:noProof/>
          <w:szCs w:val="24"/>
        </w:rPr>
        <w:tab/>
        <w:t xml:space="preserve">M. cancer Support, “Cancer in numbers,” </w:t>
      </w:r>
      <w:r w:rsidRPr="000766C5">
        <w:rPr>
          <w:rFonts w:ascii="Palatino Linotype" w:hAnsi="Palatino Linotype" w:cs="Times New Roman"/>
          <w:i/>
          <w:iCs/>
          <w:noProof/>
          <w:szCs w:val="24"/>
        </w:rPr>
        <w:t>Cancer in numbers</w:t>
      </w:r>
      <w:r w:rsidRPr="000766C5">
        <w:rPr>
          <w:rFonts w:ascii="Palatino Linotype" w:hAnsi="Palatino Linotype" w:cs="Times New Roman"/>
          <w:noProof/>
          <w:szCs w:val="24"/>
        </w:rPr>
        <w:t>, 2020. [Online]. Available: https://www.macmillan.org.uk/about-us/media-centre/facts-and-figures/cancer-in-numbers.html. [Accessed: 12-Jun-2020].</w:t>
      </w:r>
    </w:p>
    <w:p w14:paraId="56BCD29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w:t>
      </w:r>
      <w:r w:rsidRPr="000766C5">
        <w:rPr>
          <w:rFonts w:ascii="Palatino Linotype" w:hAnsi="Palatino Linotype" w:cs="Times New Roman"/>
          <w:noProof/>
          <w:szCs w:val="24"/>
        </w:rPr>
        <w:tab/>
        <w:t xml:space="preserve">M. Reece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“The Use of Circulating Tumor DNA to Monitor and Predict Response to Treatment in Colorectal Cancer,” </w:t>
      </w:r>
      <w:r w:rsidRPr="000766C5">
        <w:rPr>
          <w:rFonts w:ascii="Palatino Linotype" w:hAnsi="Palatino Linotype" w:cs="Times New Roman"/>
          <w:i/>
          <w:iCs/>
          <w:noProof/>
          <w:szCs w:val="24"/>
        </w:rPr>
        <w:t>Front. Genet.</w:t>
      </w:r>
      <w:r w:rsidRPr="000766C5">
        <w:rPr>
          <w:rFonts w:ascii="Palatino Linotype" w:hAnsi="Palatino Linotype" w:cs="Times New Roman"/>
          <w:noProof/>
          <w:szCs w:val="24"/>
        </w:rPr>
        <w:t>, vol. 10, no. November, 2019.</w:t>
      </w:r>
    </w:p>
    <w:p w14:paraId="24E8B95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w:t>
      </w:r>
      <w:r w:rsidRPr="000766C5">
        <w:rPr>
          <w:rFonts w:ascii="Palatino Linotype" w:hAnsi="Palatino Linotype" w:cs="Times New Roman"/>
          <w:noProof/>
          <w:szCs w:val="24"/>
        </w:rPr>
        <w:tab/>
        <w:t xml:space="preserve">X. Meng, J. Zhong, S. Liu, M. Murray, and A. M. Gonzalez-Angulo, “A new hypothesis for the cancer mechanism.,” </w:t>
      </w:r>
      <w:r w:rsidRPr="000766C5">
        <w:rPr>
          <w:rFonts w:ascii="Palatino Linotype" w:hAnsi="Palatino Linotype" w:cs="Times New Roman"/>
          <w:i/>
          <w:iCs/>
          <w:noProof/>
          <w:szCs w:val="24"/>
        </w:rPr>
        <w:t>Cancer Metastasis Rev.</w:t>
      </w:r>
      <w:r w:rsidRPr="000766C5">
        <w:rPr>
          <w:rFonts w:ascii="Palatino Linotype" w:hAnsi="Palatino Linotype" w:cs="Times New Roman"/>
          <w:noProof/>
          <w:szCs w:val="24"/>
        </w:rPr>
        <w:t>, vol. 31, no. 1–2, pp. 247–68, Jun. 2012.</w:t>
      </w:r>
    </w:p>
    <w:p w14:paraId="0F1AEC1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w:t>
      </w:r>
      <w:r w:rsidRPr="000766C5">
        <w:rPr>
          <w:rFonts w:ascii="Palatino Linotype" w:hAnsi="Palatino Linotype" w:cs="Times New Roman"/>
          <w:noProof/>
          <w:szCs w:val="24"/>
        </w:rPr>
        <w:tab/>
        <w:t>Cancer Research UK, “Stages of cancer,” 2020. [Online]. Available: https://www.cancerresearchuk.org/about-cancer/what-is-cancer/stages-of-cancer.</w:t>
      </w:r>
    </w:p>
    <w:p w14:paraId="16DFEBA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w:t>
      </w:r>
      <w:r w:rsidRPr="000766C5">
        <w:rPr>
          <w:rFonts w:ascii="Palatino Linotype" w:hAnsi="Palatino Linotype" w:cs="Times New Roman"/>
          <w:noProof/>
          <w:szCs w:val="24"/>
        </w:rPr>
        <w:tab/>
        <w:t xml:space="preserve">National Cancer Institute, “Genetic Changes and Cancer,” </w:t>
      </w:r>
      <w:r w:rsidRPr="000766C5">
        <w:rPr>
          <w:rFonts w:ascii="Palatino Linotype" w:hAnsi="Palatino Linotype" w:cs="Times New Roman"/>
          <w:i/>
          <w:iCs/>
          <w:noProof/>
          <w:szCs w:val="24"/>
        </w:rPr>
        <w:t>Genetic Changes and Cancer</w:t>
      </w:r>
      <w:r w:rsidRPr="000766C5">
        <w:rPr>
          <w:rFonts w:ascii="Palatino Linotype" w:hAnsi="Palatino Linotype" w:cs="Times New Roman"/>
          <w:noProof/>
          <w:szCs w:val="24"/>
        </w:rPr>
        <w:t>, 2019. [Online]. Available: https://www.cancer.gov/about-cancer/causes-prevention/genetics.</w:t>
      </w:r>
    </w:p>
    <w:p w14:paraId="2760091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w:t>
      </w:r>
      <w:r w:rsidRPr="000766C5">
        <w:rPr>
          <w:rFonts w:ascii="Palatino Linotype" w:hAnsi="Palatino Linotype" w:cs="Times New Roman"/>
          <w:noProof/>
          <w:szCs w:val="24"/>
        </w:rPr>
        <w:tab/>
        <w:t>A. A. Buzdin, “DNA Hybridization in Solution for Mutation Detection BT  - Nucleic Acids Hybridization Modern Applications,” A. A. Buzdin and S. A. Lukyanov, Eds. Dordrecht: Springer Netherlands, 2007, pp. 211–239.</w:t>
      </w:r>
    </w:p>
    <w:p w14:paraId="2A4A4DC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w:t>
      </w:r>
      <w:r w:rsidRPr="000766C5">
        <w:rPr>
          <w:rFonts w:ascii="Palatino Linotype" w:hAnsi="Palatino Linotype" w:cs="Times New Roman"/>
          <w:noProof/>
          <w:szCs w:val="24"/>
        </w:rPr>
        <w:tab/>
        <w:t xml:space="preserve">K. A. Pagel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“Pathogenicity and functional impact of non-frameshifting insertion/deletion variation in the human genome,” </w:t>
      </w:r>
      <w:r w:rsidRPr="000766C5">
        <w:rPr>
          <w:rFonts w:ascii="Palatino Linotype" w:hAnsi="Palatino Linotype" w:cs="Times New Roman"/>
          <w:i/>
          <w:iCs/>
          <w:noProof/>
          <w:szCs w:val="24"/>
        </w:rPr>
        <w:t>PLOS Comput. Biol.</w:t>
      </w:r>
      <w:r w:rsidRPr="000766C5">
        <w:rPr>
          <w:rFonts w:ascii="Palatino Linotype" w:hAnsi="Palatino Linotype" w:cs="Times New Roman"/>
          <w:noProof/>
          <w:szCs w:val="24"/>
        </w:rPr>
        <w:t>, vol. 15, no. 6, p. e1007112, Jun. 2019.</w:t>
      </w:r>
    </w:p>
    <w:p w14:paraId="7F97175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w:t>
      </w:r>
      <w:r w:rsidRPr="000766C5">
        <w:rPr>
          <w:rFonts w:ascii="Palatino Linotype" w:hAnsi="Palatino Linotype" w:cs="Times New Roman"/>
          <w:noProof/>
          <w:szCs w:val="24"/>
        </w:rPr>
        <w:tab/>
        <w:t xml:space="preserve">B. Mészáros, A. Zeke, A. Reményi, I. Simon, and Z. Dosztányi, “Systematic analysis of somatic mutations driving cancer: uncovering functional protein regions in disease development,” </w:t>
      </w:r>
      <w:r w:rsidRPr="000766C5">
        <w:rPr>
          <w:rFonts w:ascii="Palatino Linotype" w:hAnsi="Palatino Linotype" w:cs="Times New Roman"/>
          <w:i/>
          <w:iCs/>
          <w:noProof/>
          <w:szCs w:val="24"/>
        </w:rPr>
        <w:t>Biol. Direct</w:t>
      </w:r>
      <w:r w:rsidRPr="000766C5">
        <w:rPr>
          <w:rFonts w:ascii="Palatino Linotype" w:hAnsi="Palatino Linotype" w:cs="Times New Roman"/>
          <w:noProof/>
          <w:szCs w:val="24"/>
        </w:rPr>
        <w:t>, vol. 11, p. 23, May 2016.</w:t>
      </w:r>
    </w:p>
    <w:p w14:paraId="626695E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w:t>
      </w:r>
      <w:r w:rsidRPr="000766C5">
        <w:rPr>
          <w:rFonts w:ascii="Palatino Linotype" w:hAnsi="Palatino Linotype" w:cs="Times New Roman"/>
          <w:noProof/>
          <w:szCs w:val="24"/>
        </w:rPr>
        <w:tab/>
        <w:t xml:space="preserve">J. W. Bruce Alberts, Alexander Johnson, Martin Raff, Julian Lewis, Keith Roberts, Peter Walter, Dennis Bray, “Molecular Biology of the Cell,” in </w:t>
      </w:r>
      <w:r w:rsidRPr="000766C5">
        <w:rPr>
          <w:rFonts w:ascii="Palatino Linotype" w:hAnsi="Palatino Linotype" w:cs="Times New Roman"/>
          <w:i/>
          <w:iCs/>
          <w:noProof/>
          <w:szCs w:val="24"/>
        </w:rPr>
        <w:t>The Structure and Function of DNA.</w:t>
      </w:r>
      <w:r w:rsidRPr="000766C5">
        <w:rPr>
          <w:rFonts w:ascii="Palatino Linotype" w:hAnsi="Palatino Linotype" w:cs="Times New Roman"/>
          <w:noProof/>
          <w:szCs w:val="24"/>
        </w:rPr>
        <w:t>, New York: Garland Science, 2002.</w:t>
      </w:r>
    </w:p>
    <w:p w14:paraId="1492B01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w:t>
      </w:r>
      <w:r w:rsidRPr="000766C5">
        <w:rPr>
          <w:rFonts w:ascii="Palatino Linotype" w:hAnsi="Palatino Linotype" w:cs="Times New Roman"/>
          <w:noProof/>
          <w:szCs w:val="24"/>
        </w:rPr>
        <w:tab/>
        <w:t xml:space="preserve">S. Minchin and J. Lodge, “Understanding biochemistry: structure and function of nucleic acids,” </w:t>
      </w:r>
      <w:r w:rsidRPr="000766C5">
        <w:rPr>
          <w:rFonts w:ascii="Palatino Linotype" w:hAnsi="Palatino Linotype" w:cs="Times New Roman"/>
          <w:i/>
          <w:iCs/>
          <w:noProof/>
          <w:szCs w:val="24"/>
        </w:rPr>
        <w:t>Essays Biochem.</w:t>
      </w:r>
      <w:r w:rsidRPr="000766C5">
        <w:rPr>
          <w:rFonts w:ascii="Palatino Linotype" w:hAnsi="Palatino Linotype" w:cs="Times New Roman"/>
          <w:noProof/>
          <w:szCs w:val="24"/>
        </w:rPr>
        <w:t>, vol. 63, no. 4, pp. 433–456, Oct. 2019.</w:t>
      </w:r>
    </w:p>
    <w:p w14:paraId="5A7A3A0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w:t>
      </w:r>
      <w:r w:rsidRPr="000766C5">
        <w:rPr>
          <w:rFonts w:ascii="Palatino Linotype" w:hAnsi="Palatino Linotype" w:cs="Times New Roman"/>
          <w:noProof/>
          <w:szCs w:val="24"/>
        </w:rPr>
        <w:tab/>
        <w:t>NIH, “Screening Tests,” 2021. [Online]. Available: https://www.cancer.gov/about-cancer/screening/screening-tests.</w:t>
      </w:r>
    </w:p>
    <w:p w14:paraId="1E10BF9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w:t>
      </w:r>
      <w:r w:rsidRPr="000766C5">
        <w:rPr>
          <w:rFonts w:ascii="Palatino Linotype" w:hAnsi="Palatino Linotype" w:cs="Times New Roman"/>
          <w:noProof/>
          <w:szCs w:val="24"/>
        </w:rPr>
        <w:tab/>
        <w:t>NIH, “Prostate-Specific Antigen (PSA) Test,” 2021. [Online]. Available: https://www.cancer.gov/types/prostate/psa-fact-sheet.</w:t>
      </w:r>
    </w:p>
    <w:p w14:paraId="0392BB4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w:t>
      </w:r>
      <w:r w:rsidRPr="000766C5">
        <w:rPr>
          <w:rFonts w:ascii="Palatino Linotype" w:hAnsi="Palatino Linotype" w:cs="Times New Roman"/>
          <w:noProof/>
          <w:szCs w:val="24"/>
        </w:rPr>
        <w:tab/>
        <w:t>F. Coutinho, R. Pancas, E. Magalha, E. Bernardo, and M. J. Antunes, “Diagnostic value of surgical lung biopsy</w:t>
      </w:r>
      <w:r w:rsidRPr="000766C5">
        <w:rPr>
          <w:rFonts w:ascii="Times New Roman" w:hAnsi="Times New Roman" w:cs="Times New Roman"/>
          <w:noProof/>
          <w:szCs w:val="24"/>
        </w:rPr>
        <w:t> </w:t>
      </w:r>
      <w:r w:rsidRPr="000766C5">
        <w:rPr>
          <w:rFonts w:ascii="Palatino Linotype" w:hAnsi="Palatino Linotype" w:cs="Times New Roman"/>
          <w:noProof/>
          <w:szCs w:val="24"/>
        </w:rPr>
        <w:t>: comparison with clinical and radiological diagnosis § Gonc,” vol. 33, no. January 2000, 2008.</w:t>
      </w:r>
    </w:p>
    <w:p w14:paraId="2F2862B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w:t>
      </w:r>
      <w:r w:rsidRPr="000766C5">
        <w:rPr>
          <w:rFonts w:ascii="Palatino Linotype" w:hAnsi="Palatino Linotype" w:cs="Times New Roman"/>
          <w:noProof/>
          <w:szCs w:val="24"/>
        </w:rPr>
        <w:tab/>
        <w:t xml:space="preserve">NHS, “Biopsy,” </w:t>
      </w:r>
      <w:r w:rsidRPr="000766C5">
        <w:rPr>
          <w:rFonts w:ascii="Palatino Linotype" w:hAnsi="Palatino Linotype" w:cs="Times New Roman"/>
          <w:i/>
          <w:iCs/>
          <w:noProof/>
          <w:szCs w:val="24"/>
        </w:rPr>
        <w:t>01.06.2018</w:t>
      </w:r>
      <w:r w:rsidRPr="000766C5">
        <w:rPr>
          <w:rFonts w:ascii="Palatino Linotype" w:hAnsi="Palatino Linotype" w:cs="Times New Roman"/>
          <w:noProof/>
          <w:szCs w:val="24"/>
        </w:rPr>
        <w:t>, 2018. [Online]. Available: https://www.nhs.uk/conditions/biopsy/. [Accessed: 18-Jul-2019].</w:t>
      </w:r>
    </w:p>
    <w:p w14:paraId="3B5F2BD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w:t>
      </w:r>
      <w:r w:rsidRPr="000766C5">
        <w:rPr>
          <w:rFonts w:ascii="Palatino Linotype" w:hAnsi="Palatino Linotype" w:cs="Times New Roman"/>
          <w:noProof/>
          <w:szCs w:val="24"/>
        </w:rPr>
        <w:tab/>
        <w:t xml:space="preserve">E. Othman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“Comparison of false positive rates for screening breast magnetic resonance imaging (MRI) in high risk women performed on stacked versus alternating schedules,” </w:t>
      </w:r>
      <w:r w:rsidRPr="000766C5">
        <w:rPr>
          <w:rFonts w:ascii="Palatino Linotype" w:hAnsi="Palatino Linotype" w:cs="Times New Roman"/>
          <w:i/>
          <w:iCs/>
          <w:noProof/>
          <w:szCs w:val="24"/>
        </w:rPr>
        <w:t>Springerplus</w:t>
      </w:r>
      <w:r w:rsidRPr="000766C5">
        <w:rPr>
          <w:rFonts w:ascii="Palatino Linotype" w:hAnsi="Palatino Linotype" w:cs="Times New Roman"/>
          <w:noProof/>
          <w:szCs w:val="24"/>
        </w:rPr>
        <w:t>, vol. 4, no. 1, pp. 4–9, 2015.</w:t>
      </w:r>
    </w:p>
    <w:p w14:paraId="4D20D30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w:t>
      </w:r>
      <w:r w:rsidRPr="000766C5">
        <w:rPr>
          <w:rFonts w:ascii="Palatino Linotype" w:hAnsi="Palatino Linotype" w:cs="Times New Roman"/>
          <w:noProof/>
          <w:szCs w:val="24"/>
        </w:rPr>
        <w:tab/>
        <w:t xml:space="preserve">K. Shyamala, H. C. Girish, and S. Murgod, “Risk of tumor cell seeding through biopsy and aspiration cytology,” </w:t>
      </w:r>
      <w:r w:rsidRPr="000766C5">
        <w:rPr>
          <w:rFonts w:ascii="Palatino Linotype" w:hAnsi="Palatino Linotype" w:cs="Times New Roman"/>
          <w:i/>
          <w:iCs/>
          <w:noProof/>
          <w:szCs w:val="24"/>
        </w:rPr>
        <w:t>J. Int. Soc. Prev. Community Dent.</w:t>
      </w:r>
      <w:r w:rsidRPr="000766C5">
        <w:rPr>
          <w:rFonts w:ascii="Palatino Linotype" w:hAnsi="Palatino Linotype" w:cs="Times New Roman"/>
          <w:noProof/>
          <w:szCs w:val="24"/>
        </w:rPr>
        <w:t>, vol. 4, no. 1, pp. 5–11, 2014.</w:t>
      </w:r>
    </w:p>
    <w:p w14:paraId="7F4BC4A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w:t>
      </w:r>
      <w:r w:rsidRPr="000766C5">
        <w:rPr>
          <w:rFonts w:ascii="Palatino Linotype" w:hAnsi="Palatino Linotype" w:cs="Times New Roman"/>
          <w:noProof/>
          <w:szCs w:val="24"/>
        </w:rPr>
        <w:tab/>
        <w:t xml:space="preserve">J. S. Brown, “Biomarkers and community-acquired pneumonia,” </w:t>
      </w:r>
      <w:r w:rsidRPr="000766C5">
        <w:rPr>
          <w:rFonts w:ascii="Palatino Linotype" w:hAnsi="Palatino Linotype" w:cs="Times New Roman"/>
          <w:i/>
          <w:iCs/>
          <w:noProof/>
          <w:szCs w:val="24"/>
        </w:rPr>
        <w:t>Thorax</w:t>
      </w:r>
      <w:r w:rsidRPr="000766C5">
        <w:rPr>
          <w:rFonts w:ascii="Palatino Linotype" w:hAnsi="Palatino Linotype" w:cs="Times New Roman"/>
          <w:noProof/>
          <w:szCs w:val="24"/>
        </w:rPr>
        <w:t>, vol. 64, no. 7, pp. 556 LP – 558, Jul. 2009.</w:t>
      </w:r>
    </w:p>
    <w:p w14:paraId="18C3F4B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w:t>
      </w:r>
      <w:r w:rsidRPr="000766C5">
        <w:rPr>
          <w:rFonts w:ascii="Palatino Linotype" w:hAnsi="Palatino Linotype" w:cs="Times New Roman"/>
          <w:noProof/>
          <w:szCs w:val="24"/>
        </w:rPr>
        <w:tab/>
        <w:t xml:space="preserve">H. Schwarzenbach, D. S. B. Hoon, and K. Pantel, “Cell-free nucleic acids as biomarkers in cancer patients,” </w:t>
      </w:r>
      <w:r w:rsidRPr="000766C5">
        <w:rPr>
          <w:rFonts w:ascii="Palatino Linotype" w:hAnsi="Palatino Linotype" w:cs="Times New Roman"/>
          <w:i/>
          <w:iCs/>
          <w:noProof/>
          <w:szCs w:val="24"/>
        </w:rPr>
        <w:t>Nat. Rev. Cancer</w:t>
      </w:r>
      <w:r w:rsidRPr="000766C5">
        <w:rPr>
          <w:rFonts w:ascii="Palatino Linotype" w:hAnsi="Palatino Linotype" w:cs="Times New Roman"/>
          <w:noProof/>
          <w:szCs w:val="24"/>
        </w:rPr>
        <w:t>, vol. 11, no. 6, pp. 426–437, 2011.</w:t>
      </w:r>
    </w:p>
    <w:p w14:paraId="3090C7C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w:t>
      </w:r>
      <w:r w:rsidRPr="000766C5">
        <w:rPr>
          <w:rFonts w:ascii="Palatino Linotype" w:hAnsi="Palatino Linotype" w:cs="Times New Roman"/>
          <w:noProof/>
          <w:szCs w:val="24"/>
        </w:rPr>
        <w:tab/>
        <w:t xml:space="preserve">S. O. Kelley, “What Are Clinically Relevant Levels of Cellular and Biomolecular Analytes?,” </w:t>
      </w:r>
      <w:r w:rsidRPr="000766C5">
        <w:rPr>
          <w:rFonts w:ascii="Palatino Linotype" w:hAnsi="Palatino Linotype" w:cs="Times New Roman"/>
          <w:i/>
          <w:iCs/>
          <w:noProof/>
          <w:szCs w:val="24"/>
        </w:rPr>
        <w:t>ACS Sensors</w:t>
      </w:r>
      <w:r w:rsidRPr="000766C5">
        <w:rPr>
          <w:rFonts w:ascii="Palatino Linotype" w:hAnsi="Palatino Linotype" w:cs="Times New Roman"/>
          <w:noProof/>
          <w:szCs w:val="24"/>
        </w:rPr>
        <w:t>, vol. 2, no. 2, pp. 193–197, 2017.</w:t>
      </w:r>
    </w:p>
    <w:p w14:paraId="3D4E1F2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w:t>
      </w:r>
      <w:r w:rsidRPr="000766C5">
        <w:rPr>
          <w:rFonts w:ascii="Palatino Linotype" w:hAnsi="Palatino Linotype" w:cs="Times New Roman"/>
          <w:noProof/>
          <w:szCs w:val="24"/>
        </w:rPr>
        <w:tab/>
        <w:t xml:space="preserve">G. Brock, E. Castellanos-Rizaldos, L. Hu, C. Coticchia, and J. Skog, “Liquid biopsy for cancer screening, patient stratification and monitoring,” </w:t>
      </w:r>
      <w:r w:rsidRPr="000766C5">
        <w:rPr>
          <w:rFonts w:ascii="Palatino Linotype" w:hAnsi="Palatino Linotype" w:cs="Times New Roman"/>
          <w:i/>
          <w:iCs/>
          <w:noProof/>
          <w:szCs w:val="24"/>
        </w:rPr>
        <w:t>Transl. Cancer Res.</w:t>
      </w:r>
      <w:r w:rsidRPr="000766C5">
        <w:rPr>
          <w:rFonts w:ascii="Palatino Linotype" w:hAnsi="Palatino Linotype" w:cs="Times New Roman"/>
          <w:noProof/>
          <w:szCs w:val="24"/>
        </w:rPr>
        <w:t>, vol. 4, no. 3, pp. 280–290, 2015.</w:t>
      </w:r>
    </w:p>
    <w:p w14:paraId="790EC60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w:t>
      </w:r>
      <w:r w:rsidRPr="000766C5">
        <w:rPr>
          <w:rFonts w:ascii="Palatino Linotype" w:hAnsi="Palatino Linotype" w:cs="Times New Roman"/>
          <w:noProof/>
          <w:szCs w:val="24"/>
        </w:rPr>
        <w:tab/>
        <w:t xml:space="preserve">Tentu Nageswara Rao, </w:t>
      </w:r>
      <w:r w:rsidRPr="000766C5">
        <w:rPr>
          <w:rFonts w:ascii="Palatino Linotype" w:hAnsi="Palatino Linotype" w:cs="Times New Roman"/>
          <w:i/>
          <w:iCs/>
          <w:noProof/>
          <w:szCs w:val="24"/>
        </w:rPr>
        <w:t>Calibration and Validation of Analytical Methods - A Sampling of Current Approaches</w:t>
      </w:r>
      <w:r w:rsidRPr="000766C5">
        <w:rPr>
          <w:rFonts w:ascii="Palatino Linotype" w:hAnsi="Palatino Linotype" w:cs="Times New Roman"/>
          <w:noProof/>
          <w:szCs w:val="24"/>
        </w:rPr>
        <w:t>. 2018.</w:t>
      </w:r>
    </w:p>
    <w:p w14:paraId="46D0F69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w:t>
      </w:r>
      <w:r w:rsidRPr="000766C5">
        <w:rPr>
          <w:rFonts w:ascii="Palatino Linotype" w:hAnsi="Palatino Linotype" w:cs="Times New Roman"/>
          <w:noProof/>
          <w:szCs w:val="24"/>
        </w:rPr>
        <w:tab/>
        <w:t xml:space="preserve">National Cancer Institute, “Sensitivity,” </w:t>
      </w:r>
      <w:r w:rsidRPr="000766C5">
        <w:rPr>
          <w:rFonts w:ascii="Palatino Linotype" w:hAnsi="Palatino Linotype" w:cs="Times New Roman"/>
          <w:i/>
          <w:iCs/>
          <w:noProof/>
          <w:szCs w:val="24"/>
        </w:rPr>
        <w:t>NCI dictionaries</w:t>
      </w:r>
      <w:r w:rsidRPr="000766C5">
        <w:rPr>
          <w:rFonts w:ascii="Palatino Linotype" w:hAnsi="Palatino Linotype" w:cs="Times New Roman"/>
          <w:noProof/>
          <w:szCs w:val="24"/>
        </w:rPr>
        <w:t>, 2021. [Online]. Available: https://www.cancer.gov/publications/dictionaries/genetics-dictionary/def/sensitivity.</w:t>
      </w:r>
    </w:p>
    <w:p w14:paraId="5990706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w:t>
      </w:r>
      <w:r w:rsidRPr="000766C5">
        <w:rPr>
          <w:rFonts w:ascii="Palatino Linotype" w:hAnsi="Palatino Linotype" w:cs="Times New Roman"/>
          <w:noProof/>
          <w:szCs w:val="24"/>
        </w:rPr>
        <w:tab/>
        <w:t xml:space="preserve">J. A. Vendrell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“Detection of known and novel ALK fusion transcripts in lung cancer patients using next-generation sequencing approaches,”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7, no. 1, p. 12510, 2017.</w:t>
      </w:r>
    </w:p>
    <w:p w14:paraId="1534AA5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[25]</w:t>
      </w:r>
      <w:r w:rsidRPr="000766C5">
        <w:rPr>
          <w:rFonts w:ascii="Palatino Linotype" w:hAnsi="Palatino Linotype" w:cs="Times New Roman"/>
          <w:noProof/>
          <w:szCs w:val="24"/>
        </w:rPr>
        <w:tab/>
        <w:t>L. Gorgannezhad, M. Umer, N. Islam, N. Nguyen, and M. J. A. Shiddiky, “Lab on a Chip Circulating tumor DNA and liquid biopsy</w:t>
      </w:r>
      <w:r w:rsidRPr="000766C5">
        <w:rPr>
          <w:rFonts w:ascii="Times New Roman" w:hAnsi="Times New Roman" w:cs="Times New Roman"/>
          <w:noProof/>
          <w:szCs w:val="24"/>
        </w:rPr>
        <w:t> </w:t>
      </w:r>
      <w:r w:rsidRPr="000766C5">
        <w:rPr>
          <w:rFonts w:ascii="Palatino Linotype" w:hAnsi="Palatino Linotype" w:cs="Times New Roman"/>
          <w:noProof/>
          <w:szCs w:val="24"/>
        </w:rPr>
        <w:t>: opportunities , challenges , and recent advances in detection technologies,” pp. 1174–1196, 2018.</w:t>
      </w:r>
    </w:p>
    <w:p w14:paraId="207852D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[26]</w:t>
      </w:r>
      <w:r w:rsidRPr="000766C5">
        <w:rPr>
          <w:rFonts w:ascii="Palatino Linotype" w:hAnsi="Palatino Linotype" w:cs="Times New Roman"/>
          <w:noProof/>
          <w:szCs w:val="24"/>
        </w:rPr>
        <w:tab/>
        <w:t xml:space="preserve">Y. Chu, B. Cai, Y. Ma, M. Zhao, Z. Ye, and J. Huang, “Highly sensitive electrochemical detection of circulating tumor DNA based on thin-layer MoS </w:t>
      </w:r>
      <w:r w:rsidRPr="000766C5">
        <w:rPr>
          <w:rFonts w:ascii="Palatino Linotype" w:hAnsi="Palatino Linotype" w:cs="Times New Roman"/>
          <w:noProof/>
          <w:szCs w:val="24"/>
          <w:vertAlign w:val="subscript"/>
        </w:rPr>
        <w:t>2</w:t>
      </w:r>
      <w:r w:rsidRPr="000766C5">
        <w:rPr>
          <w:rFonts w:ascii="Palatino Linotype" w:hAnsi="Palatino Linotype" w:cs="Times New Roman"/>
          <w:noProof/>
          <w:szCs w:val="24"/>
        </w:rPr>
        <w:t xml:space="preserve"> /graphene composites,” </w:t>
      </w:r>
      <w:r w:rsidRPr="000766C5">
        <w:rPr>
          <w:rFonts w:ascii="Palatino Linotype" w:hAnsi="Palatino Linotype" w:cs="Times New Roman"/>
          <w:i/>
          <w:iCs/>
          <w:noProof/>
          <w:szCs w:val="24"/>
        </w:rPr>
        <w:t>RSC Adv.</w:t>
      </w:r>
      <w:r w:rsidRPr="000766C5">
        <w:rPr>
          <w:rFonts w:ascii="Palatino Linotype" w:hAnsi="Palatino Linotype" w:cs="Times New Roman"/>
          <w:noProof/>
          <w:szCs w:val="24"/>
        </w:rPr>
        <w:t>, vol. 6, no. 27, pp. 22673–22678, Feb. 2016.</w:t>
      </w:r>
    </w:p>
    <w:p w14:paraId="430E6CD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[27]</w:t>
      </w:r>
      <w:r w:rsidRPr="000766C5">
        <w:rPr>
          <w:rFonts w:ascii="Palatino Linotype" w:hAnsi="Palatino Linotype" w:cs="Times New Roman"/>
          <w:noProof/>
          <w:szCs w:val="24"/>
        </w:rPr>
        <w:tab/>
        <w:t xml:space="preserve">V. Taly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“Multiplex picodroplet digital PCR to detect KRAS mutations in circulating DNA from the plasma of colorectal cancer patients,” </w:t>
      </w:r>
      <w:r w:rsidRPr="000766C5">
        <w:rPr>
          <w:rFonts w:ascii="Palatino Linotype" w:hAnsi="Palatino Linotype" w:cs="Times New Roman"/>
          <w:i/>
          <w:iCs/>
          <w:noProof/>
          <w:szCs w:val="24"/>
        </w:rPr>
        <w:t>Clin. Chem.</w:t>
      </w:r>
      <w:r w:rsidRPr="000766C5">
        <w:rPr>
          <w:rFonts w:ascii="Palatino Linotype" w:hAnsi="Palatino Linotype" w:cs="Times New Roman"/>
          <w:noProof/>
          <w:szCs w:val="24"/>
        </w:rPr>
        <w:t>, vol. 59, no. 12, pp. 1722–1731, 2013.</w:t>
      </w:r>
    </w:p>
    <w:p w14:paraId="1B71C46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[28]</w:t>
      </w:r>
      <w:r w:rsidRPr="000766C5">
        <w:rPr>
          <w:rFonts w:ascii="Palatino Linotype" w:hAnsi="Palatino Linotype" w:cs="Times New Roman"/>
          <w:noProof/>
          <w:szCs w:val="24"/>
        </w:rPr>
        <w:tab/>
        <w:t xml:space="preserve">J. C. M. Wan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“Liquid biopsies come of age: towards implementation of circulating tumour DNA,” </w:t>
      </w:r>
      <w:r w:rsidRPr="000766C5">
        <w:rPr>
          <w:rFonts w:ascii="Palatino Linotype" w:hAnsi="Palatino Linotype" w:cs="Times New Roman"/>
          <w:i/>
          <w:iCs/>
          <w:noProof/>
          <w:szCs w:val="24"/>
        </w:rPr>
        <w:t>Nat. Rev. Cancer</w:t>
      </w:r>
      <w:r w:rsidRPr="000766C5">
        <w:rPr>
          <w:rFonts w:ascii="Palatino Linotype" w:hAnsi="Palatino Linotype" w:cs="Times New Roman"/>
          <w:noProof/>
          <w:szCs w:val="24"/>
        </w:rPr>
        <w:t>, vol. 17, p. 223, Feb. 2017.</w:t>
      </w:r>
    </w:p>
    <w:p w14:paraId="76877C0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[29]</w:t>
      </w:r>
      <w:r w:rsidRPr="000766C5">
        <w:rPr>
          <w:rFonts w:ascii="Palatino Linotype" w:hAnsi="Palatino Linotype" w:cs="Times New Roman"/>
          <w:noProof/>
          <w:szCs w:val="24"/>
        </w:rPr>
        <w:tab/>
        <w:t>Inivata ltd, “ctDNA release,” 2021. [Online]. Available: https://www.inivata.com/our-technology/.</w:t>
      </w:r>
    </w:p>
    <w:p w14:paraId="46ADFAA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[30]</w:t>
      </w:r>
      <w:r w:rsidRPr="000766C5">
        <w:rPr>
          <w:rFonts w:ascii="Palatino Linotype" w:hAnsi="Palatino Linotype" w:cs="Times New Roman"/>
          <w:noProof/>
          <w:szCs w:val="24"/>
        </w:rPr>
        <w:tab/>
        <w:t>K. Aro, F. Wei, D. T. Wong, and M. Tu, “Saliva Liquid Biopsy for Point-of-Care Applications,” vol. 5, no. April, 2017.</w:t>
      </w:r>
    </w:p>
    <w:p w14:paraId="1B749D2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[31]</w:t>
      </w:r>
      <w:r w:rsidRPr="000766C5">
        <w:rPr>
          <w:rFonts w:ascii="Palatino Linotype" w:hAnsi="Palatino Linotype" w:cs="Times New Roman"/>
          <w:noProof/>
          <w:szCs w:val="24"/>
        </w:rPr>
        <w:tab/>
        <w:t xml:space="preserve">A. Haranguș, I. Berindan-Neagoe, D. A. Todea, I. Șimon, and M. Șimon, “Noncoding RNAs and Liquid Biopsy in Lung Cancer: A Literature Review,” </w:t>
      </w:r>
      <w:r w:rsidRPr="000766C5">
        <w:rPr>
          <w:rFonts w:ascii="Palatino Linotype" w:hAnsi="Palatino Linotype" w:cs="Times New Roman"/>
          <w:i/>
          <w:iCs/>
          <w:noProof/>
          <w:szCs w:val="24"/>
        </w:rPr>
        <w:t>Diagnostics (Basel, Switzerland)</w:t>
      </w:r>
      <w:r w:rsidRPr="000766C5">
        <w:rPr>
          <w:rFonts w:ascii="Palatino Linotype" w:hAnsi="Palatino Linotype" w:cs="Times New Roman"/>
          <w:noProof/>
          <w:szCs w:val="24"/>
        </w:rPr>
        <w:t>, vol. 9, no. 4, p. 216, Dec. 2019.</w:t>
      </w:r>
    </w:p>
    <w:p w14:paraId="63BC95A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[32]</w:t>
      </w:r>
      <w:r w:rsidRPr="000766C5">
        <w:rPr>
          <w:rFonts w:ascii="Palatino Linotype" w:hAnsi="Palatino Linotype" w:cs="Times New Roman"/>
          <w:noProof/>
          <w:szCs w:val="24"/>
        </w:rPr>
        <w:tab/>
        <w:t xml:space="preserve">M. Cui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“Circulating MicroRNAs in Cancer: Potential and Challenge,” </w:t>
      </w:r>
      <w:r w:rsidRPr="000766C5">
        <w:rPr>
          <w:rFonts w:ascii="Palatino Linotype" w:hAnsi="Palatino Linotype" w:cs="Times New Roman"/>
          <w:i/>
          <w:iCs/>
          <w:noProof/>
          <w:szCs w:val="24"/>
        </w:rPr>
        <w:t>Front. Genet.</w:t>
      </w:r>
      <w:r w:rsidRPr="000766C5">
        <w:rPr>
          <w:rFonts w:ascii="Palatino Linotype" w:hAnsi="Palatino Linotype" w:cs="Times New Roman"/>
          <w:noProof/>
          <w:szCs w:val="24"/>
        </w:rPr>
        <w:t>, vol. 10, p. 626, 2019.</w:t>
      </w:r>
    </w:p>
    <w:p w14:paraId="54C667B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[33]</w:t>
      </w:r>
      <w:r w:rsidRPr="000766C5">
        <w:rPr>
          <w:rFonts w:ascii="Palatino Linotype" w:hAnsi="Palatino Linotype" w:cs="Times New Roman"/>
          <w:noProof/>
          <w:szCs w:val="24"/>
        </w:rPr>
        <w:tab/>
        <w:t xml:space="preserve">J. Cacheux, A. Bancaud, T. Leichlé, and P. Cordelier, “Technological Challenges and Future Issues for the Detection of Circulating MicroRNAs in Patients With Cancer,” </w:t>
      </w:r>
      <w:r w:rsidRPr="000766C5">
        <w:rPr>
          <w:rFonts w:ascii="Palatino Linotype" w:hAnsi="Palatino Linotype" w:cs="Times New Roman"/>
          <w:i/>
          <w:iCs/>
          <w:noProof/>
          <w:szCs w:val="24"/>
        </w:rPr>
        <w:t>Front. Chem.</w:t>
      </w:r>
      <w:r w:rsidRPr="000766C5">
        <w:rPr>
          <w:rFonts w:ascii="Palatino Linotype" w:hAnsi="Palatino Linotype" w:cs="Times New Roman"/>
          <w:noProof/>
          <w:szCs w:val="24"/>
        </w:rPr>
        <w:t>, vol. 7, p. 815, 2019.</w:t>
      </w:r>
    </w:p>
    <w:p w14:paraId="5A85797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[34]</w:t>
      </w:r>
      <w:r w:rsidRPr="000766C5">
        <w:rPr>
          <w:rFonts w:ascii="Palatino Linotype" w:hAnsi="Palatino Linotype" w:cs="Times New Roman"/>
          <w:noProof/>
          <w:szCs w:val="24"/>
        </w:rPr>
        <w:tab/>
        <w:t xml:space="preserve">A. H. Zedan, P. J. S. Osther, J. Assenholt, J. S. Madsen, and T. F. Hansen, “Circulating miR-141 and miR-375 are associated with treatment outcome in metastatic castration resistant prostate cancer,”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10, no. 1, p. 227, 2020.</w:t>
      </w:r>
    </w:p>
    <w:p w14:paraId="4D92E8C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[35]</w:t>
      </w:r>
      <w:r w:rsidRPr="000766C5">
        <w:rPr>
          <w:rFonts w:ascii="Palatino Linotype" w:hAnsi="Palatino Linotype" w:cs="Times New Roman"/>
          <w:noProof/>
          <w:szCs w:val="24"/>
        </w:rPr>
        <w:tab/>
        <w:t xml:space="preserve">K. K. Jain, “Role of proteomics in diagnosis of cancer,” </w:t>
      </w:r>
      <w:r w:rsidRPr="000766C5">
        <w:rPr>
          <w:rFonts w:ascii="Palatino Linotype" w:hAnsi="Palatino Linotype" w:cs="Times New Roman"/>
          <w:i/>
          <w:iCs/>
          <w:noProof/>
          <w:szCs w:val="24"/>
        </w:rPr>
        <w:t>Technol. Cancer Res. Treat.</w:t>
      </w:r>
      <w:r w:rsidRPr="000766C5">
        <w:rPr>
          <w:rFonts w:ascii="Palatino Linotype" w:hAnsi="Palatino Linotype" w:cs="Times New Roman"/>
          <w:noProof/>
          <w:szCs w:val="24"/>
        </w:rPr>
        <w:t>, vol. 1, no. 4, pp. 281–286, 2002.</w:t>
      </w:r>
    </w:p>
    <w:p w14:paraId="17FA27B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[36]</w:t>
      </w:r>
      <w:r w:rsidRPr="000766C5">
        <w:rPr>
          <w:rFonts w:ascii="Palatino Linotype" w:hAnsi="Palatino Linotype" w:cs="Times New Roman"/>
          <w:noProof/>
          <w:szCs w:val="24"/>
        </w:rPr>
        <w:tab/>
        <w:t xml:space="preserve">T. M. Morgan, “Liquid biopsy: Where did it come from, what is it, and where is it going?,” </w:t>
      </w:r>
      <w:r w:rsidRPr="000766C5">
        <w:rPr>
          <w:rFonts w:ascii="Palatino Linotype" w:hAnsi="Palatino Linotype" w:cs="Times New Roman"/>
          <w:i/>
          <w:iCs/>
          <w:noProof/>
          <w:szCs w:val="24"/>
        </w:rPr>
        <w:t>Investig. Clin. Urol.</w:t>
      </w:r>
      <w:r w:rsidRPr="000766C5">
        <w:rPr>
          <w:rFonts w:ascii="Palatino Linotype" w:hAnsi="Palatino Linotype" w:cs="Times New Roman"/>
          <w:noProof/>
          <w:szCs w:val="24"/>
        </w:rPr>
        <w:t>, vol. 60, no. 3, pp. 139–141, May 2019.</w:t>
      </w:r>
    </w:p>
    <w:p w14:paraId="72D25B2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[37]</w:t>
      </w:r>
      <w:r w:rsidRPr="000766C5">
        <w:rPr>
          <w:rFonts w:ascii="Palatino Linotype" w:hAnsi="Palatino Linotype" w:cs="Times New Roman"/>
          <w:noProof/>
          <w:szCs w:val="24"/>
        </w:rPr>
        <w:tab/>
        <w:t xml:space="preserve">J. Hou, X. Li, and K.-P. Xie, “Coupled liquid biopsy and bioinformatics for pancreatic cancer early detection and precision prognostication,” </w:t>
      </w:r>
      <w:r w:rsidRPr="000766C5">
        <w:rPr>
          <w:rFonts w:ascii="Palatino Linotype" w:hAnsi="Palatino Linotype" w:cs="Times New Roman"/>
          <w:i/>
          <w:iCs/>
          <w:noProof/>
          <w:szCs w:val="24"/>
        </w:rPr>
        <w:t>Mol. Cancer</w:t>
      </w:r>
      <w:r w:rsidRPr="000766C5">
        <w:rPr>
          <w:rFonts w:ascii="Palatino Linotype" w:hAnsi="Palatino Linotype" w:cs="Times New Roman"/>
          <w:noProof/>
          <w:szCs w:val="24"/>
        </w:rPr>
        <w:t>, vol. 20, no. 1, p. 34, 2021.</w:t>
      </w:r>
    </w:p>
    <w:p w14:paraId="0AFF4EB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[38]</w:t>
      </w:r>
      <w:r w:rsidRPr="000766C5">
        <w:rPr>
          <w:rFonts w:ascii="Palatino Linotype" w:hAnsi="Palatino Linotype" w:cs="Times New Roman"/>
          <w:noProof/>
          <w:szCs w:val="24"/>
        </w:rPr>
        <w:tab/>
        <w:t xml:space="preserve">M. El-Bahrawy, “α-Fetoprotein-Producing Non-Germ Cell Tumors of the Urological System,” </w:t>
      </w:r>
      <w:r w:rsidRPr="000766C5">
        <w:rPr>
          <w:rFonts w:ascii="Palatino Linotype" w:hAnsi="Palatino Linotype" w:cs="Times New Roman"/>
          <w:i/>
          <w:iCs/>
          <w:noProof/>
          <w:szCs w:val="24"/>
        </w:rPr>
        <w:t>Rev. Urol.</w:t>
      </w:r>
      <w:r w:rsidRPr="000766C5">
        <w:rPr>
          <w:rFonts w:ascii="Palatino Linotype" w:hAnsi="Palatino Linotype" w:cs="Times New Roman"/>
          <w:noProof/>
          <w:szCs w:val="24"/>
        </w:rPr>
        <w:t>, vol. 13, no. 1, pp. 14–19, 2011.</w:t>
      </w:r>
    </w:p>
    <w:p w14:paraId="7F7CA0C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[39]</w:t>
      </w:r>
      <w:r w:rsidRPr="000766C5">
        <w:rPr>
          <w:rFonts w:ascii="Palatino Linotype" w:hAnsi="Palatino Linotype" w:cs="Times New Roman"/>
          <w:noProof/>
          <w:szCs w:val="24"/>
        </w:rPr>
        <w:tab/>
        <w:t xml:space="preserve">A. C. Kölbl, K. Schlenk, N. Behrendt, and U. Andergasse, “The importance of hcg in human endometrial adenocarcinoma and breast cancer,” </w:t>
      </w:r>
      <w:r w:rsidRPr="000766C5">
        <w:rPr>
          <w:rFonts w:ascii="Palatino Linotype" w:hAnsi="Palatino Linotype" w:cs="Times New Roman"/>
          <w:i/>
          <w:iCs/>
          <w:noProof/>
          <w:szCs w:val="24"/>
        </w:rPr>
        <w:t>Int. J. Biol. Markers</w:t>
      </w:r>
      <w:r w:rsidRPr="000766C5">
        <w:rPr>
          <w:rFonts w:ascii="Palatino Linotype" w:hAnsi="Palatino Linotype" w:cs="Times New Roman"/>
          <w:noProof/>
          <w:szCs w:val="24"/>
        </w:rPr>
        <w:t>, vol. 33, no. 1, pp. 33–39, 2018.</w:t>
      </w:r>
    </w:p>
    <w:p w14:paraId="6B3085E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[40]</w:t>
      </w:r>
      <w:r w:rsidRPr="000766C5">
        <w:rPr>
          <w:rFonts w:ascii="Palatino Linotype" w:hAnsi="Palatino Linotype" w:cs="Times New Roman"/>
          <w:noProof/>
          <w:szCs w:val="24"/>
        </w:rPr>
        <w:tab/>
        <w:t xml:space="preserve">I. Elia and M. C. Haigis, “Metabolites and the tumour microenvironment: from cellular mechanisms to systemic metabolism,” </w:t>
      </w:r>
      <w:r w:rsidRPr="000766C5">
        <w:rPr>
          <w:rFonts w:ascii="Palatino Linotype" w:hAnsi="Palatino Linotype" w:cs="Times New Roman"/>
          <w:i/>
          <w:iCs/>
          <w:noProof/>
          <w:szCs w:val="24"/>
        </w:rPr>
        <w:t>Nat. Metab.</w:t>
      </w:r>
      <w:r w:rsidRPr="000766C5">
        <w:rPr>
          <w:rFonts w:ascii="Palatino Linotype" w:hAnsi="Palatino Linotype" w:cs="Times New Roman"/>
          <w:noProof/>
          <w:szCs w:val="24"/>
        </w:rPr>
        <w:t>, vol. 3, no. 1, pp. 21–32, 2021.</w:t>
      </w:r>
    </w:p>
    <w:p w14:paraId="3F8E9F5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[41]</w:t>
      </w:r>
      <w:r w:rsidRPr="000766C5">
        <w:rPr>
          <w:rFonts w:ascii="Palatino Linotype" w:hAnsi="Palatino Linotype" w:cs="Times New Roman"/>
          <w:noProof/>
          <w:szCs w:val="24"/>
        </w:rPr>
        <w:tab/>
        <w:t xml:space="preserve">P. L. Sulkowski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“Oncometabolites suppress DNA repair by disrupting local chromatin signalling,” </w:t>
      </w:r>
      <w:r w:rsidRPr="000766C5">
        <w:rPr>
          <w:rFonts w:ascii="Palatino Linotype" w:hAnsi="Palatino Linotype" w:cs="Times New Roman"/>
          <w:i/>
          <w:iCs/>
          <w:noProof/>
          <w:szCs w:val="24"/>
        </w:rPr>
        <w:t>Nature</w:t>
      </w:r>
      <w:r w:rsidRPr="000766C5">
        <w:rPr>
          <w:rFonts w:ascii="Palatino Linotype" w:hAnsi="Palatino Linotype" w:cs="Times New Roman"/>
          <w:noProof/>
          <w:szCs w:val="24"/>
        </w:rPr>
        <w:t>, vol. 582, no. 7813, pp. 586–591, 2020.</w:t>
      </w:r>
    </w:p>
    <w:p w14:paraId="5D8419D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[42]</w:t>
      </w:r>
      <w:r w:rsidRPr="000766C5">
        <w:rPr>
          <w:rFonts w:ascii="Palatino Linotype" w:hAnsi="Palatino Linotype" w:cs="Times New Roman"/>
          <w:noProof/>
          <w:szCs w:val="24"/>
        </w:rPr>
        <w:tab/>
        <w:t xml:space="preserve">Z.-J. Zhu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“Untargeted Metabolomics Analysis of Esophageal Squamous Cell Carcinoma Discovers Dysregulated Metabolic Pathways and Potential Diagnostic Biomarkers,” </w:t>
      </w:r>
      <w:r w:rsidRPr="000766C5">
        <w:rPr>
          <w:rFonts w:ascii="Palatino Linotype" w:hAnsi="Palatino Linotype" w:cs="Times New Roman"/>
          <w:i/>
          <w:iCs/>
          <w:noProof/>
          <w:szCs w:val="24"/>
        </w:rPr>
        <w:t>J. Cancer</w:t>
      </w:r>
      <w:r w:rsidRPr="000766C5">
        <w:rPr>
          <w:rFonts w:ascii="Palatino Linotype" w:hAnsi="Palatino Linotype" w:cs="Times New Roman"/>
          <w:noProof/>
          <w:szCs w:val="24"/>
        </w:rPr>
        <w:t>, vol. 11, no. 13, pp. 3944–3954, Apr. 2020.</w:t>
      </w:r>
    </w:p>
    <w:p w14:paraId="2FDFEDE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[43]</w:t>
      </w:r>
      <w:r w:rsidRPr="000766C5">
        <w:rPr>
          <w:rFonts w:ascii="Palatino Linotype" w:hAnsi="Palatino Linotype" w:cs="Times New Roman"/>
          <w:noProof/>
          <w:szCs w:val="24"/>
        </w:rPr>
        <w:tab/>
        <w:t xml:space="preserve">K. Yang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 Comprehensive Analysis of Metabolomics and Transcriptomics in Cervical Cancer,”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7, p. 43353, Feb. 2017.</w:t>
      </w:r>
    </w:p>
    <w:p w14:paraId="3CB7660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[44]</w:t>
      </w:r>
      <w:r w:rsidRPr="000766C5">
        <w:rPr>
          <w:rFonts w:ascii="Palatino Linotype" w:hAnsi="Palatino Linotype" w:cs="Times New Roman"/>
          <w:noProof/>
          <w:szCs w:val="24"/>
        </w:rPr>
        <w:tab/>
        <w:t xml:space="preserve">L. Kong and A. C. Birkeland, “Liquid biopsies in head and neck cancer: Current state and future challenges,” </w:t>
      </w:r>
      <w:r w:rsidRPr="000766C5">
        <w:rPr>
          <w:rFonts w:ascii="Palatino Linotype" w:hAnsi="Palatino Linotype" w:cs="Times New Roman"/>
          <w:i/>
          <w:iCs/>
          <w:noProof/>
          <w:szCs w:val="24"/>
        </w:rPr>
        <w:t>Cancers (Basel).</w:t>
      </w:r>
      <w:r w:rsidRPr="000766C5">
        <w:rPr>
          <w:rFonts w:ascii="Palatino Linotype" w:hAnsi="Palatino Linotype" w:cs="Times New Roman"/>
          <w:noProof/>
          <w:szCs w:val="24"/>
        </w:rPr>
        <w:t>, vol. 13, no. 8, pp. 1–16, 2021.</w:t>
      </w:r>
    </w:p>
    <w:p w14:paraId="62D1041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[45]</w:t>
      </w:r>
      <w:r w:rsidRPr="000766C5">
        <w:rPr>
          <w:rFonts w:ascii="Palatino Linotype" w:hAnsi="Palatino Linotype" w:cs="Times New Roman"/>
          <w:noProof/>
          <w:szCs w:val="24"/>
        </w:rPr>
        <w:tab/>
        <w:t xml:space="preserve">W. Yu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“Exosome-based liquid biopsies in cancer: opportunities and challenges,” </w:t>
      </w:r>
      <w:r w:rsidRPr="000766C5">
        <w:rPr>
          <w:rFonts w:ascii="Palatino Linotype" w:hAnsi="Palatino Linotype" w:cs="Times New Roman"/>
          <w:i/>
          <w:iCs/>
          <w:noProof/>
          <w:szCs w:val="24"/>
        </w:rPr>
        <w:t>Ann. Oncol.</w:t>
      </w:r>
      <w:r w:rsidRPr="000766C5">
        <w:rPr>
          <w:rFonts w:ascii="Palatino Linotype" w:hAnsi="Palatino Linotype" w:cs="Times New Roman"/>
          <w:noProof/>
          <w:szCs w:val="24"/>
        </w:rPr>
        <w:t>, vol. 32, no. 4, pp. 466–477, 2021.</w:t>
      </w:r>
    </w:p>
    <w:p w14:paraId="0796A40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[46]</w:t>
      </w:r>
      <w:r w:rsidRPr="000766C5">
        <w:rPr>
          <w:rFonts w:ascii="Palatino Linotype" w:hAnsi="Palatino Linotype" w:cs="Times New Roman"/>
          <w:noProof/>
          <w:szCs w:val="24"/>
        </w:rPr>
        <w:tab/>
        <w:t xml:space="preserve">S. Boukouris and S. Mathivanan, “Exosomes in bodily fluids are a highly stable resource of disease biomarkers,” </w:t>
      </w:r>
      <w:r w:rsidRPr="000766C5">
        <w:rPr>
          <w:rFonts w:ascii="Palatino Linotype" w:hAnsi="Palatino Linotype" w:cs="Times New Roman"/>
          <w:i/>
          <w:iCs/>
          <w:noProof/>
          <w:szCs w:val="24"/>
        </w:rPr>
        <w:t>Proteomics. Clin. Appl.</w:t>
      </w:r>
      <w:r w:rsidRPr="000766C5">
        <w:rPr>
          <w:rFonts w:ascii="Palatino Linotype" w:hAnsi="Palatino Linotype" w:cs="Times New Roman"/>
          <w:noProof/>
          <w:szCs w:val="24"/>
        </w:rPr>
        <w:t>, vol. 9, no. 3–4, pp. 358–367, Apr. 2015.</w:t>
      </w:r>
    </w:p>
    <w:p w14:paraId="391F407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[47]</w:t>
      </w:r>
      <w:r w:rsidRPr="000766C5">
        <w:rPr>
          <w:rFonts w:ascii="Palatino Linotype" w:hAnsi="Palatino Linotype" w:cs="Times New Roman"/>
          <w:noProof/>
          <w:szCs w:val="24"/>
        </w:rPr>
        <w:tab/>
        <w:t xml:space="preserve">Y.-T. Lu, K. Delijani, A. Mecum, and A. Goldkorn, “Current status of liquid biopsies for the detection and management of prostate cancer,” </w:t>
      </w:r>
      <w:r w:rsidRPr="000766C5">
        <w:rPr>
          <w:rFonts w:ascii="Palatino Linotype" w:hAnsi="Palatino Linotype" w:cs="Times New Roman"/>
          <w:i/>
          <w:iCs/>
          <w:noProof/>
          <w:szCs w:val="24"/>
        </w:rPr>
        <w:t>Cancer Manag. Res.</w:t>
      </w:r>
      <w:r w:rsidRPr="000766C5">
        <w:rPr>
          <w:rFonts w:ascii="Palatino Linotype" w:hAnsi="Palatino Linotype" w:cs="Times New Roman"/>
          <w:noProof/>
          <w:szCs w:val="24"/>
        </w:rPr>
        <w:t>, vol. 11, pp. 5271–5291, Jun. 2019.</w:t>
      </w:r>
    </w:p>
    <w:p w14:paraId="7EF8D73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[48]</w:t>
      </w:r>
      <w:r w:rsidRPr="000766C5">
        <w:rPr>
          <w:rFonts w:ascii="Palatino Linotype" w:hAnsi="Palatino Linotype" w:cs="Times New Roman"/>
          <w:noProof/>
          <w:szCs w:val="24"/>
        </w:rPr>
        <w:tab/>
        <w:t xml:space="preserve">M. Murtaza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“Multifocal clonal evolution characterized using circulating tumour DNA in a case of metastatic breast cancer,” </w:t>
      </w:r>
      <w:r w:rsidRPr="000766C5">
        <w:rPr>
          <w:rFonts w:ascii="Palatino Linotype" w:hAnsi="Palatino Linotype" w:cs="Times New Roman"/>
          <w:i/>
          <w:iCs/>
          <w:noProof/>
          <w:szCs w:val="24"/>
        </w:rPr>
        <w:t>Nat. Commun.</w:t>
      </w:r>
      <w:r w:rsidRPr="000766C5">
        <w:rPr>
          <w:rFonts w:ascii="Palatino Linotype" w:hAnsi="Palatino Linotype" w:cs="Times New Roman"/>
          <w:noProof/>
          <w:szCs w:val="24"/>
        </w:rPr>
        <w:t>, vol. 6, p. 8760, Nov. 2015.</w:t>
      </w:r>
    </w:p>
    <w:p w14:paraId="2B66405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[49]</w:t>
      </w:r>
      <w:r w:rsidRPr="000766C5">
        <w:rPr>
          <w:rFonts w:ascii="Palatino Linotype" w:hAnsi="Palatino Linotype" w:cs="Times New Roman"/>
          <w:noProof/>
          <w:szCs w:val="24"/>
        </w:rPr>
        <w:tab/>
        <w:t xml:space="preserve">B. Busser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“Plasma Circulating Tumor DNA Levels for the Monitoring of Melanoma Patients: Landscape of Available Technologies and Clinical Applications,” </w:t>
      </w:r>
      <w:r w:rsidRPr="000766C5">
        <w:rPr>
          <w:rFonts w:ascii="Palatino Linotype" w:hAnsi="Palatino Linotype" w:cs="Times New Roman"/>
          <w:i/>
          <w:iCs/>
          <w:noProof/>
          <w:szCs w:val="24"/>
        </w:rPr>
        <w:t>Biomed Res. Int.</w:t>
      </w:r>
      <w:r w:rsidRPr="000766C5">
        <w:rPr>
          <w:rFonts w:ascii="Palatino Linotype" w:hAnsi="Palatino Linotype" w:cs="Times New Roman"/>
          <w:noProof/>
          <w:szCs w:val="24"/>
        </w:rPr>
        <w:t>, vol. 2017, p. 5986129, 2017.</w:t>
      </w:r>
    </w:p>
    <w:p w14:paraId="0CBF02C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[50]</w:t>
      </w:r>
      <w:r w:rsidRPr="000766C5">
        <w:rPr>
          <w:rFonts w:ascii="Palatino Linotype" w:hAnsi="Palatino Linotype" w:cs="Times New Roman"/>
          <w:noProof/>
          <w:szCs w:val="24"/>
        </w:rPr>
        <w:tab/>
        <w:t xml:space="preserve">K. L. Aung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“Analytical validation of BRAF mutation testing from circulating free DNA using the amplification refractory mutation testing system,” </w:t>
      </w:r>
      <w:r w:rsidRPr="000766C5">
        <w:rPr>
          <w:rFonts w:ascii="Palatino Linotype" w:hAnsi="Palatino Linotype" w:cs="Times New Roman"/>
          <w:i/>
          <w:iCs/>
          <w:noProof/>
          <w:szCs w:val="24"/>
        </w:rPr>
        <w:t>J. Mol. Diagnostics</w:t>
      </w:r>
      <w:r w:rsidRPr="000766C5">
        <w:rPr>
          <w:rFonts w:ascii="Palatino Linotype" w:hAnsi="Palatino Linotype" w:cs="Times New Roman"/>
          <w:noProof/>
          <w:szCs w:val="24"/>
        </w:rPr>
        <w:t>, vol. 16, no. 3, pp. 343–349, 2014.</w:t>
      </w:r>
    </w:p>
    <w:p w14:paraId="16DA567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[51]</w:t>
      </w:r>
      <w:r w:rsidRPr="000766C5">
        <w:rPr>
          <w:rFonts w:ascii="Palatino Linotype" w:hAnsi="Palatino Linotype" w:cs="Times New Roman"/>
          <w:noProof/>
          <w:szCs w:val="24"/>
        </w:rPr>
        <w:tab/>
        <w:t xml:space="preserve">S. El Messaoudi, F. Rolet, F. Mouliere, and A. R. Thierry, “Circulating cell free DNA: Preanalytical considerations,” </w:t>
      </w:r>
      <w:r w:rsidRPr="000766C5">
        <w:rPr>
          <w:rFonts w:ascii="Palatino Linotype" w:hAnsi="Palatino Linotype" w:cs="Times New Roman"/>
          <w:i/>
          <w:iCs/>
          <w:noProof/>
          <w:szCs w:val="24"/>
        </w:rPr>
        <w:t>Clin. Chim. Acta</w:t>
      </w:r>
      <w:r w:rsidRPr="000766C5">
        <w:rPr>
          <w:rFonts w:ascii="Palatino Linotype" w:hAnsi="Palatino Linotype" w:cs="Times New Roman"/>
          <w:noProof/>
          <w:szCs w:val="24"/>
        </w:rPr>
        <w:t>, vol. 424, pp. 222–230, 2013.</w:t>
      </w:r>
    </w:p>
    <w:p w14:paraId="5134330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[52]</w:t>
      </w:r>
      <w:r w:rsidRPr="000766C5">
        <w:rPr>
          <w:rFonts w:ascii="Palatino Linotype" w:hAnsi="Palatino Linotype" w:cs="Times New Roman"/>
          <w:noProof/>
          <w:szCs w:val="24"/>
        </w:rPr>
        <w:tab/>
        <w:t xml:space="preserve">A. N. Barrett, B. G. Zimmermann, D. Wang, A. Holloway, and L. S. Chitty, “Implementing prenatal diagnosis based on cell-free fetal DNA: accurate identification of factors affecting fetal DNA yield,” </w:t>
      </w:r>
      <w:r w:rsidRPr="000766C5">
        <w:rPr>
          <w:rFonts w:ascii="Palatino Linotype" w:hAnsi="Palatino Linotype" w:cs="Times New Roman"/>
          <w:i/>
          <w:iCs/>
          <w:noProof/>
          <w:szCs w:val="24"/>
        </w:rPr>
        <w:t>PLoS One</w:t>
      </w:r>
      <w:r w:rsidRPr="000766C5">
        <w:rPr>
          <w:rFonts w:ascii="Palatino Linotype" w:hAnsi="Palatino Linotype" w:cs="Times New Roman"/>
          <w:noProof/>
          <w:szCs w:val="24"/>
        </w:rPr>
        <w:t>, vol. 6, no. 10, pp. e25202–e25202, 2011.</w:t>
      </w:r>
    </w:p>
    <w:p w14:paraId="5A97646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[53]</w:t>
      </w:r>
      <w:r w:rsidRPr="000766C5">
        <w:rPr>
          <w:rFonts w:ascii="Palatino Linotype" w:hAnsi="Palatino Linotype" w:cs="Times New Roman"/>
          <w:noProof/>
          <w:szCs w:val="24"/>
        </w:rPr>
        <w:tab/>
        <w:t xml:space="preserve">T. Gerber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“Assessment of Pre-Analytical Sample Handling Conditions for Comprehensive Liquid Biopsy Analysis,” </w:t>
      </w:r>
      <w:r w:rsidRPr="000766C5">
        <w:rPr>
          <w:rFonts w:ascii="Palatino Linotype" w:hAnsi="Palatino Linotype" w:cs="Times New Roman"/>
          <w:i/>
          <w:iCs/>
          <w:noProof/>
          <w:szCs w:val="24"/>
        </w:rPr>
        <w:t>J. Mol. Diagnostics</w:t>
      </w:r>
      <w:r w:rsidRPr="000766C5">
        <w:rPr>
          <w:rFonts w:ascii="Palatino Linotype" w:hAnsi="Palatino Linotype" w:cs="Times New Roman"/>
          <w:noProof/>
          <w:szCs w:val="24"/>
        </w:rPr>
        <w:t>, vol. 22, no. 8, pp. 1070–1086, 2020.</w:t>
      </w:r>
    </w:p>
    <w:p w14:paraId="7CF44FE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[54]</w:t>
      </w:r>
      <w:r w:rsidRPr="000766C5">
        <w:rPr>
          <w:rFonts w:ascii="Palatino Linotype" w:hAnsi="Palatino Linotype" w:cs="Times New Roman"/>
          <w:noProof/>
          <w:szCs w:val="24"/>
        </w:rPr>
        <w:tab/>
        <w:t xml:space="preserve">J.-S. Lee, M. Kim, M.-W. Seong, H.-S. Kim, Y. K. Lee, and H. J. Kang, “Plasma vs. serum in circulating tumor DNA measurement: characterization by DNA fragment sizing and digital droplet polymerase chain reaction,” </w:t>
      </w:r>
      <w:r w:rsidRPr="000766C5">
        <w:rPr>
          <w:rFonts w:ascii="Palatino Linotype" w:hAnsi="Palatino Linotype" w:cs="Times New Roman"/>
          <w:i/>
          <w:iCs/>
          <w:noProof/>
          <w:szCs w:val="24"/>
        </w:rPr>
        <w:t>Clin. Chem. Lab. Med.</w:t>
      </w:r>
      <w:r w:rsidRPr="000766C5">
        <w:rPr>
          <w:rFonts w:ascii="Palatino Linotype" w:hAnsi="Palatino Linotype" w:cs="Times New Roman"/>
          <w:noProof/>
          <w:szCs w:val="24"/>
        </w:rPr>
        <w:t>, vol. 58, no. 4, pp. 527–532, 2020.</w:t>
      </w:r>
    </w:p>
    <w:p w14:paraId="43A98A5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[55]</w:t>
      </w:r>
      <w:r w:rsidRPr="000766C5">
        <w:rPr>
          <w:rFonts w:ascii="Palatino Linotype" w:hAnsi="Palatino Linotype" w:cs="Times New Roman"/>
          <w:noProof/>
          <w:szCs w:val="24"/>
        </w:rPr>
        <w:tab/>
        <w:t xml:space="preserve">F. Pittella-Silva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“Plasma or Serum: Which Is Preferable for Mutation Detection in Liquid Biopsy?,” </w:t>
      </w:r>
      <w:r w:rsidRPr="000766C5">
        <w:rPr>
          <w:rFonts w:ascii="Palatino Linotype" w:hAnsi="Palatino Linotype" w:cs="Times New Roman"/>
          <w:i/>
          <w:iCs/>
          <w:noProof/>
          <w:szCs w:val="24"/>
        </w:rPr>
        <w:t>Clin. Chem.</w:t>
      </w:r>
      <w:r w:rsidRPr="000766C5">
        <w:rPr>
          <w:rFonts w:ascii="Palatino Linotype" w:hAnsi="Palatino Linotype" w:cs="Times New Roman"/>
          <w:noProof/>
          <w:szCs w:val="24"/>
        </w:rPr>
        <w:t>, vol. 66, no. 7, pp. 946–957, Jul. 2020.</w:t>
      </w:r>
    </w:p>
    <w:p w14:paraId="5A2CDB2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[56]</w:t>
      </w:r>
      <w:r w:rsidRPr="000766C5">
        <w:rPr>
          <w:rFonts w:ascii="Palatino Linotype" w:hAnsi="Palatino Linotype" w:cs="Times New Roman"/>
          <w:noProof/>
          <w:szCs w:val="24"/>
        </w:rPr>
        <w:tab/>
        <w:t xml:space="preserve">R. E. Gislefoss, T. K. Grimsrud, and L. Mørkrid, “Long‐term stability of serum components in the Janus Serum Bank,” </w:t>
      </w:r>
      <w:r w:rsidRPr="000766C5">
        <w:rPr>
          <w:rFonts w:ascii="Palatino Linotype" w:hAnsi="Palatino Linotype" w:cs="Times New Roman"/>
          <w:i/>
          <w:iCs/>
          <w:noProof/>
          <w:szCs w:val="24"/>
        </w:rPr>
        <w:t>Scand. J. Clin. Lab. Invest.</w:t>
      </w:r>
      <w:r w:rsidRPr="000766C5">
        <w:rPr>
          <w:rFonts w:ascii="Palatino Linotype" w:hAnsi="Palatino Linotype" w:cs="Times New Roman"/>
          <w:noProof/>
          <w:szCs w:val="24"/>
        </w:rPr>
        <w:t>, vol. 68, no. 5, pp. 402–409, Jan. 2008.</w:t>
      </w:r>
    </w:p>
    <w:p w14:paraId="05E1810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[57]</w:t>
      </w:r>
      <w:r w:rsidRPr="000766C5">
        <w:rPr>
          <w:rFonts w:ascii="Palatino Linotype" w:hAnsi="Palatino Linotype" w:cs="Times New Roman"/>
          <w:noProof/>
          <w:szCs w:val="24"/>
        </w:rPr>
        <w:tab/>
        <w:t xml:space="preserve">A. R. Castro, S. E. Kikkert, M. B. Fears, and V. Pope, “Defibrination of blood plasma for use in serological tests for syphilis,” </w:t>
      </w:r>
      <w:r w:rsidRPr="000766C5">
        <w:rPr>
          <w:rFonts w:ascii="Palatino Linotype" w:hAnsi="Palatino Linotype" w:cs="Times New Roman"/>
          <w:i/>
          <w:iCs/>
          <w:noProof/>
          <w:szCs w:val="24"/>
        </w:rPr>
        <w:t>Clin. Diagn. Lab. Immunol.</w:t>
      </w:r>
      <w:r w:rsidRPr="000766C5">
        <w:rPr>
          <w:rFonts w:ascii="Palatino Linotype" w:hAnsi="Palatino Linotype" w:cs="Times New Roman"/>
          <w:noProof/>
          <w:szCs w:val="24"/>
        </w:rPr>
        <w:t>, vol. 9, no. 6, pp. 1376–1378, Nov. 2002.</w:t>
      </w:r>
    </w:p>
    <w:p w14:paraId="371FB30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[58]</w:t>
      </w:r>
      <w:r w:rsidRPr="000766C5">
        <w:rPr>
          <w:rFonts w:ascii="Palatino Linotype" w:hAnsi="Palatino Linotype" w:cs="Times New Roman"/>
          <w:noProof/>
          <w:szCs w:val="24"/>
        </w:rPr>
        <w:tab/>
        <w:t xml:space="preserve">N. Umetani, S. Hiramatsu, and D. S. B. Hoon, “Higher amount of free circulating DNA in serum than in plasma is not mainly caused by contaminated extraneous DNA during separation,” </w:t>
      </w:r>
      <w:r w:rsidRPr="000766C5">
        <w:rPr>
          <w:rFonts w:ascii="Palatino Linotype" w:hAnsi="Palatino Linotype" w:cs="Times New Roman"/>
          <w:i/>
          <w:iCs/>
          <w:noProof/>
          <w:szCs w:val="24"/>
        </w:rPr>
        <w:t>Ann. N. Y. Acad. Sci.</w:t>
      </w:r>
      <w:r w:rsidRPr="000766C5">
        <w:rPr>
          <w:rFonts w:ascii="Palatino Linotype" w:hAnsi="Palatino Linotype" w:cs="Times New Roman"/>
          <w:noProof/>
          <w:szCs w:val="24"/>
        </w:rPr>
        <w:t>, vol. 1075, pp. 299–307, 2006.</w:t>
      </w:r>
    </w:p>
    <w:p w14:paraId="5624B47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[59]</w:t>
      </w:r>
      <w:r w:rsidRPr="000766C5">
        <w:rPr>
          <w:rFonts w:ascii="Palatino Linotype" w:hAnsi="Palatino Linotype" w:cs="Times New Roman"/>
          <w:noProof/>
          <w:szCs w:val="24"/>
        </w:rPr>
        <w:tab/>
        <w:t xml:space="preserve">K. C. A. Chan, S.-W. Yeung, W.-B. Lui, T. H. Rainer, and Y. M. D. Lo, “Effects of Preanalytical Factors on the Molecular Size of Cell-Free DNA in Blood,” </w:t>
      </w:r>
      <w:r w:rsidRPr="000766C5">
        <w:rPr>
          <w:rFonts w:ascii="Palatino Linotype" w:hAnsi="Palatino Linotype" w:cs="Times New Roman"/>
          <w:i/>
          <w:iCs/>
          <w:noProof/>
          <w:szCs w:val="24"/>
        </w:rPr>
        <w:t>Clin. Chem.</w:t>
      </w:r>
      <w:r w:rsidRPr="000766C5">
        <w:rPr>
          <w:rFonts w:ascii="Palatino Linotype" w:hAnsi="Palatino Linotype" w:cs="Times New Roman"/>
          <w:noProof/>
          <w:szCs w:val="24"/>
        </w:rPr>
        <w:t>, vol. 51, no. 4, pp. 781–784, Apr. 2005.</w:t>
      </w:r>
    </w:p>
    <w:p w14:paraId="592C22A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[60]</w:t>
      </w:r>
      <w:r w:rsidRPr="000766C5">
        <w:rPr>
          <w:rFonts w:ascii="Palatino Linotype" w:hAnsi="Palatino Linotype" w:cs="Times New Roman"/>
          <w:noProof/>
          <w:szCs w:val="24"/>
        </w:rPr>
        <w:tab/>
        <w:t xml:space="preserve">O. Gautschi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“Circulating Deoxyribonucleic Acid As Prognostic Marker in Non–Small-Cell Lung Cancer Patients Undergoing Chemotherapy,” </w:t>
      </w:r>
      <w:r w:rsidRPr="000766C5">
        <w:rPr>
          <w:rFonts w:ascii="Palatino Linotype" w:hAnsi="Palatino Linotype" w:cs="Times New Roman"/>
          <w:i/>
          <w:iCs/>
          <w:noProof/>
          <w:szCs w:val="24"/>
        </w:rPr>
        <w:t>J. Clin. Oncol.</w:t>
      </w:r>
      <w:r w:rsidRPr="000766C5">
        <w:rPr>
          <w:rFonts w:ascii="Palatino Linotype" w:hAnsi="Palatino Linotype" w:cs="Times New Roman"/>
          <w:noProof/>
          <w:szCs w:val="24"/>
        </w:rPr>
        <w:t>, vol. 22, no. 20, pp. 4157–4164, Oct. 2004.</w:t>
      </w:r>
    </w:p>
    <w:p w14:paraId="0D3A505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[61]</w:t>
      </w:r>
      <w:r w:rsidRPr="000766C5">
        <w:rPr>
          <w:rFonts w:ascii="Palatino Linotype" w:hAnsi="Palatino Linotype" w:cs="Times New Roman"/>
          <w:noProof/>
          <w:szCs w:val="24"/>
        </w:rPr>
        <w:tab/>
        <w:t xml:space="preserve">M. Jung, S. Klotzek, M. Lewandowski, M. Fleischhacker, and K. Jung, “Changes in Concentration of DNA in Serum and Plasma during Storage of Blood Samples,” </w:t>
      </w:r>
      <w:r w:rsidRPr="000766C5">
        <w:rPr>
          <w:rFonts w:ascii="Palatino Linotype" w:hAnsi="Palatino Linotype" w:cs="Times New Roman"/>
          <w:i/>
          <w:iCs/>
          <w:noProof/>
          <w:szCs w:val="24"/>
        </w:rPr>
        <w:t>Clin. Chem.</w:t>
      </w:r>
      <w:r w:rsidRPr="000766C5">
        <w:rPr>
          <w:rFonts w:ascii="Palatino Linotype" w:hAnsi="Palatino Linotype" w:cs="Times New Roman"/>
          <w:noProof/>
          <w:szCs w:val="24"/>
        </w:rPr>
        <w:t>, vol. 49, no. 6, pp. 1028–1029, Jun. 2003.</w:t>
      </w:r>
    </w:p>
    <w:p w14:paraId="1127D94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[62]</w:t>
      </w:r>
      <w:r w:rsidRPr="000766C5">
        <w:rPr>
          <w:rFonts w:ascii="Palatino Linotype" w:hAnsi="Palatino Linotype" w:cs="Times New Roman"/>
          <w:noProof/>
          <w:szCs w:val="24"/>
        </w:rPr>
        <w:tab/>
        <w:t xml:space="preserve">O. J. Lee, H. W. Kang, and S. J. Yun, </w:t>
      </w:r>
      <w:r w:rsidRPr="000766C5">
        <w:rPr>
          <w:rFonts w:ascii="Palatino Linotype" w:hAnsi="Palatino Linotype" w:cs="Times New Roman"/>
          <w:i/>
          <w:iCs/>
          <w:noProof/>
          <w:szCs w:val="24"/>
        </w:rPr>
        <w:t>Urine Cytology and Urinary Biomarkers</w:t>
      </w:r>
      <w:r w:rsidRPr="000766C5">
        <w:rPr>
          <w:rFonts w:ascii="Palatino Linotype" w:hAnsi="Palatino Linotype" w:cs="Times New Roman"/>
          <w:noProof/>
          <w:szCs w:val="24"/>
        </w:rPr>
        <w:t>. Elsevier Inc., 2018.</w:t>
      </w:r>
    </w:p>
    <w:p w14:paraId="40C6D52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[63]</w:t>
      </w:r>
      <w:r w:rsidRPr="000766C5">
        <w:rPr>
          <w:rFonts w:ascii="Palatino Linotype" w:hAnsi="Palatino Linotype" w:cs="Times New Roman"/>
          <w:noProof/>
          <w:szCs w:val="24"/>
        </w:rPr>
        <w:tab/>
        <w:t xml:space="preserve">J. Pannek, F. Rademacher, and J. Wöllner, “Clinical usefulness of urine cytology in the detection of bladder tumors in patients with neurogenic lower urinary tract dysfunction,” </w:t>
      </w:r>
      <w:r w:rsidRPr="000766C5">
        <w:rPr>
          <w:rFonts w:ascii="Palatino Linotype" w:hAnsi="Palatino Linotype" w:cs="Times New Roman"/>
          <w:i/>
          <w:iCs/>
          <w:noProof/>
          <w:szCs w:val="24"/>
        </w:rPr>
        <w:t>Res. reports Urol.</w:t>
      </w:r>
      <w:r w:rsidRPr="000766C5">
        <w:rPr>
          <w:rFonts w:ascii="Palatino Linotype" w:hAnsi="Palatino Linotype" w:cs="Times New Roman"/>
          <w:noProof/>
          <w:szCs w:val="24"/>
        </w:rPr>
        <w:t>, vol. 9, pp. 219–223, Dec. 2017.</w:t>
      </w:r>
    </w:p>
    <w:p w14:paraId="26EB1B2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[64]</w:t>
      </w:r>
      <w:r w:rsidRPr="000766C5">
        <w:rPr>
          <w:rFonts w:ascii="Palatino Linotype" w:hAnsi="Palatino Linotype" w:cs="Times New Roman"/>
          <w:noProof/>
          <w:szCs w:val="24"/>
        </w:rPr>
        <w:tab/>
        <w:t xml:space="preserve">F. Brimo, R. T. Vollmer, B. Case, A. Aprikian, W. Kassouf, and M. Auger, “Accuracy of urine cytology and the significance of an atypical category,” </w:t>
      </w:r>
      <w:r w:rsidRPr="000766C5">
        <w:rPr>
          <w:rFonts w:ascii="Palatino Linotype" w:hAnsi="Palatino Linotype" w:cs="Times New Roman"/>
          <w:i/>
          <w:iCs/>
          <w:noProof/>
          <w:szCs w:val="24"/>
        </w:rPr>
        <w:t>Am. J. Clin. Pathol.</w:t>
      </w:r>
      <w:r w:rsidRPr="000766C5">
        <w:rPr>
          <w:rFonts w:ascii="Palatino Linotype" w:hAnsi="Palatino Linotype" w:cs="Times New Roman"/>
          <w:noProof/>
          <w:szCs w:val="24"/>
        </w:rPr>
        <w:t>, vol. 132, no. 5, pp. 785–793, 2009.</w:t>
      </w:r>
    </w:p>
    <w:p w14:paraId="247D313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[65]</w:t>
      </w:r>
      <w:r w:rsidRPr="000766C5">
        <w:rPr>
          <w:rFonts w:ascii="Palatino Linotype" w:hAnsi="Palatino Linotype" w:cs="Times New Roman"/>
          <w:noProof/>
          <w:szCs w:val="24"/>
        </w:rPr>
        <w:tab/>
        <w:t xml:space="preserve">J. Stockley, R. Akhand, A. Kennedy, C. Nyberg, E. J. Crosbie, and R. J. Edmondson, “Detection of MCM5 as a novel non-invasive aid for the diagnosis of endometrial and ovarian tumours,” </w:t>
      </w:r>
      <w:r w:rsidRPr="000766C5">
        <w:rPr>
          <w:rFonts w:ascii="Palatino Linotype" w:hAnsi="Palatino Linotype" w:cs="Times New Roman"/>
          <w:i/>
          <w:iCs/>
          <w:noProof/>
          <w:szCs w:val="24"/>
        </w:rPr>
        <w:t>BMC Cancer</w:t>
      </w:r>
      <w:r w:rsidRPr="000766C5">
        <w:rPr>
          <w:rFonts w:ascii="Palatino Linotype" w:hAnsi="Palatino Linotype" w:cs="Times New Roman"/>
          <w:noProof/>
          <w:szCs w:val="24"/>
        </w:rPr>
        <w:t>, vol. 20, no. 1, p. 1000, 2020.</w:t>
      </w:r>
    </w:p>
    <w:p w14:paraId="71D5A52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[66]</w:t>
      </w:r>
      <w:r w:rsidRPr="000766C5">
        <w:rPr>
          <w:rFonts w:ascii="Palatino Linotype" w:hAnsi="Palatino Linotype" w:cs="Times New Roman"/>
          <w:noProof/>
          <w:szCs w:val="24"/>
        </w:rPr>
        <w:tab/>
        <w:t xml:space="preserve">M. Roupret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“Diagnostic Accuracy of MCM5 for the Detection of Recurrence in Nonmuscle Invasive Bladder Cancer Followup: A Blinded, Prospective Cohort, Multicenter European Study,” </w:t>
      </w:r>
      <w:r w:rsidRPr="000766C5">
        <w:rPr>
          <w:rFonts w:ascii="Palatino Linotype" w:hAnsi="Palatino Linotype" w:cs="Times New Roman"/>
          <w:i/>
          <w:iCs/>
          <w:noProof/>
          <w:szCs w:val="24"/>
        </w:rPr>
        <w:t>J. Urol.</w:t>
      </w:r>
      <w:r w:rsidRPr="000766C5">
        <w:rPr>
          <w:rFonts w:ascii="Palatino Linotype" w:hAnsi="Palatino Linotype" w:cs="Times New Roman"/>
          <w:noProof/>
          <w:szCs w:val="24"/>
        </w:rPr>
        <w:t>, vol. 204, no. 4, pp. 685–690, 2020.</w:t>
      </w:r>
    </w:p>
    <w:p w14:paraId="2C2CCBE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[67]</w:t>
      </w:r>
      <w:r w:rsidRPr="000766C5">
        <w:rPr>
          <w:rFonts w:ascii="Palatino Linotype" w:hAnsi="Palatino Linotype" w:cs="Times New Roman"/>
          <w:noProof/>
          <w:szCs w:val="24"/>
        </w:rPr>
        <w:tab/>
        <w:t xml:space="preserve">Ł. Białek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“MCM5 urine expression (ADXBLADDER) is a reliable biomarker of high-risk non- muscle-invasive bladder cancer recurrence: A prospective matched case-control study,” </w:t>
      </w:r>
      <w:r w:rsidRPr="000766C5">
        <w:rPr>
          <w:rFonts w:ascii="Palatino Linotype" w:hAnsi="Palatino Linotype" w:cs="Times New Roman"/>
          <w:i/>
          <w:iCs/>
          <w:noProof/>
          <w:szCs w:val="24"/>
        </w:rPr>
        <w:t>Cancer Biomarkers</w:t>
      </w:r>
      <w:r w:rsidRPr="000766C5">
        <w:rPr>
          <w:rFonts w:ascii="Palatino Linotype" w:hAnsi="Palatino Linotype" w:cs="Times New Roman"/>
          <w:noProof/>
          <w:szCs w:val="24"/>
        </w:rPr>
        <w:t>, vol. 30, pp. 139–143, 2021.</w:t>
      </w:r>
    </w:p>
    <w:p w14:paraId="4D96A8B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[68]</w:t>
      </w:r>
      <w:r w:rsidRPr="000766C5">
        <w:rPr>
          <w:rFonts w:ascii="Palatino Linotype" w:hAnsi="Palatino Linotype" w:cs="Times New Roman"/>
          <w:noProof/>
          <w:szCs w:val="24"/>
        </w:rPr>
        <w:tab/>
        <w:t xml:space="preserve">M. Tiwari, “Science behind human saliva,” </w:t>
      </w:r>
      <w:r w:rsidRPr="000766C5">
        <w:rPr>
          <w:rFonts w:ascii="Palatino Linotype" w:hAnsi="Palatino Linotype" w:cs="Times New Roman"/>
          <w:i/>
          <w:iCs/>
          <w:noProof/>
          <w:szCs w:val="24"/>
        </w:rPr>
        <w:t>J. Nat. Sci. Biol. Med.</w:t>
      </w:r>
      <w:r w:rsidRPr="000766C5">
        <w:rPr>
          <w:rFonts w:ascii="Palatino Linotype" w:hAnsi="Palatino Linotype" w:cs="Times New Roman"/>
          <w:noProof/>
          <w:szCs w:val="24"/>
        </w:rPr>
        <w:t>, vol. 2, no. 1, pp. 53–58, Jan. 2011.</w:t>
      </w:r>
    </w:p>
    <w:p w14:paraId="27D2775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[69]</w:t>
      </w:r>
      <w:r w:rsidRPr="000766C5">
        <w:rPr>
          <w:rFonts w:ascii="Palatino Linotype" w:hAnsi="Palatino Linotype" w:cs="Times New Roman"/>
          <w:noProof/>
          <w:szCs w:val="24"/>
        </w:rPr>
        <w:tab/>
        <w:t xml:space="preserve">S. P. Humphrey and R. T. Williamson, “A review of saliva Normal composition, flow, and function. Humphrey, Williamson. 2001. Journal of Prosthetic Dentistry.pdf,” </w:t>
      </w:r>
      <w:r w:rsidRPr="000766C5">
        <w:rPr>
          <w:rFonts w:ascii="Palatino Linotype" w:hAnsi="Palatino Linotype" w:cs="Times New Roman"/>
          <w:i/>
          <w:iCs/>
          <w:noProof/>
          <w:szCs w:val="24"/>
        </w:rPr>
        <w:t>J. Prosthet. Dent.</w:t>
      </w:r>
      <w:r w:rsidRPr="000766C5">
        <w:rPr>
          <w:rFonts w:ascii="Palatino Linotype" w:hAnsi="Palatino Linotype" w:cs="Times New Roman"/>
          <w:noProof/>
          <w:szCs w:val="24"/>
        </w:rPr>
        <w:t>, vol. 85, no. 2, pp. 162–169, 2001.</w:t>
      </w:r>
    </w:p>
    <w:p w14:paraId="5039847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[70]</w:t>
      </w:r>
      <w:r w:rsidRPr="000766C5">
        <w:rPr>
          <w:rFonts w:ascii="Palatino Linotype" w:hAnsi="Palatino Linotype" w:cs="Times New Roman"/>
          <w:noProof/>
          <w:szCs w:val="24"/>
        </w:rPr>
        <w:tab/>
        <w:t xml:space="preserve">K. E. Kaczor-Urbanowicz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“Clinical validity of saliva and novel technology for cancer detection,” </w:t>
      </w:r>
      <w:r w:rsidRPr="000766C5">
        <w:rPr>
          <w:rFonts w:ascii="Palatino Linotype" w:hAnsi="Palatino Linotype" w:cs="Times New Roman"/>
          <w:i/>
          <w:iCs/>
          <w:noProof/>
          <w:szCs w:val="24"/>
        </w:rPr>
        <w:t>Biochim. Biophys. acta. Rev. cancer</w:t>
      </w:r>
      <w:r w:rsidRPr="000766C5">
        <w:rPr>
          <w:rFonts w:ascii="Palatino Linotype" w:hAnsi="Palatino Linotype" w:cs="Times New Roman"/>
          <w:noProof/>
          <w:szCs w:val="24"/>
        </w:rPr>
        <w:t>, vol. 1872, no. 1, pp. 49–59, Aug. 2019.</w:t>
      </w:r>
    </w:p>
    <w:p w14:paraId="499CDCF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[71]</w:t>
      </w:r>
      <w:r w:rsidRPr="000766C5">
        <w:rPr>
          <w:rFonts w:ascii="Palatino Linotype" w:hAnsi="Palatino Linotype" w:cs="Times New Roman"/>
          <w:noProof/>
          <w:szCs w:val="24"/>
        </w:rPr>
        <w:tab/>
        <w:t xml:space="preserve">Y. Wang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“Detection of somatic mutations and HPV in the saliva and plasma of patients with head and neck squamous cell carcinomas,” </w:t>
      </w:r>
      <w:r w:rsidRPr="000766C5">
        <w:rPr>
          <w:rFonts w:ascii="Palatino Linotype" w:hAnsi="Palatino Linotype" w:cs="Times New Roman"/>
          <w:i/>
          <w:iCs/>
          <w:noProof/>
          <w:szCs w:val="24"/>
        </w:rPr>
        <w:t>Sci. Transl. Med.</w:t>
      </w:r>
      <w:r w:rsidRPr="000766C5">
        <w:rPr>
          <w:rFonts w:ascii="Palatino Linotype" w:hAnsi="Palatino Linotype" w:cs="Times New Roman"/>
          <w:noProof/>
          <w:szCs w:val="24"/>
        </w:rPr>
        <w:t>, vol. 7, no. 293, pp. 293ra104-293ra104, Jun. 2015.</w:t>
      </w:r>
    </w:p>
    <w:p w14:paraId="21D4FD7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[72]</w:t>
      </w:r>
      <w:r w:rsidRPr="000766C5">
        <w:rPr>
          <w:rFonts w:ascii="Palatino Linotype" w:hAnsi="Palatino Linotype" w:cs="Times New Roman"/>
          <w:noProof/>
          <w:szCs w:val="24"/>
        </w:rPr>
        <w:tab/>
        <w:t xml:space="preserve">G. Patelli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“Liquid Biopsy for Prognosis and Treatment in Metastatic Colorectal Cancer: Circulating Tumor Cells vs Circulating Tumor DNA,” </w:t>
      </w:r>
      <w:r w:rsidRPr="000766C5">
        <w:rPr>
          <w:rFonts w:ascii="Palatino Linotype" w:hAnsi="Palatino Linotype" w:cs="Times New Roman"/>
          <w:i/>
          <w:iCs/>
          <w:noProof/>
          <w:szCs w:val="24"/>
        </w:rPr>
        <w:t>Target. Oncol.</w:t>
      </w:r>
      <w:r w:rsidRPr="000766C5">
        <w:rPr>
          <w:rFonts w:ascii="Palatino Linotype" w:hAnsi="Palatino Linotype" w:cs="Times New Roman"/>
          <w:noProof/>
          <w:szCs w:val="24"/>
        </w:rPr>
        <w:t>, vol. 16, no. 3, pp. 309–324, 2021.</w:t>
      </w:r>
    </w:p>
    <w:p w14:paraId="030C980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[73]</w:t>
      </w:r>
      <w:r w:rsidRPr="000766C5">
        <w:rPr>
          <w:rFonts w:ascii="Palatino Linotype" w:hAnsi="Palatino Linotype" w:cs="Times New Roman"/>
          <w:noProof/>
          <w:szCs w:val="24"/>
        </w:rPr>
        <w:tab/>
        <w:t xml:space="preserve">G. Santis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“Screening for EGFR and KRAS mutations in endobronchial ultrasound derived transbronchial needle aspirates in non-small cell lung cancer using COLD-PCR,” </w:t>
      </w:r>
      <w:r w:rsidRPr="000766C5">
        <w:rPr>
          <w:rFonts w:ascii="Palatino Linotype" w:hAnsi="Palatino Linotype" w:cs="Times New Roman"/>
          <w:i/>
          <w:iCs/>
          <w:noProof/>
          <w:szCs w:val="24"/>
        </w:rPr>
        <w:t>PLoS One</w:t>
      </w:r>
      <w:r w:rsidRPr="000766C5">
        <w:rPr>
          <w:rFonts w:ascii="Palatino Linotype" w:hAnsi="Palatino Linotype" w:cs="Times New Roman"/>
          <w:noProof/>
          <w:szCs w:val="24"/>
        </w:rPr>
        <w:t>, vol. 6, no. 9, pp. e25191–e25191, 2011.</w:t>
      </w:r>
    </w:p>
    <w:p w14:paraId="152FDC5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[74]</w:t>
      </w:r>
      <w:r w:rsidRPr="000766C5">
        <w:rPr>
          <w:rFonts w:ascii="Palatino Linotype" w:hAnsi="Palatino Linotype" w:cs="Times New Roman"/>
          <w:noProof/>
          <w:szCs w:val="24"/>
        </w:rPr>
        <w:tab/>
        <w:t xml:space="preserve">M. Chen and H. Zhao, “Next-generation sequencing in liquid biopsy: cancer screening and early detection,” </w:t>
      </w:r>
      <w:r w:rsidRPr="000766C5">
        <w:rPr>
          <w:rFonts w:ascii="Palatino Linotype" w:hAnsi="Palatino Linotype" w:cs="Times New Roman"/>
          <w:i/>
          <w:iCs/>
          <w:noProof/>
          <w:szCs w:val="24"/>
        </w:rPr>
        <w:t>Hum. Genomics</w:t>
      </w:r>
      <w:r w:rsidRPr="000766C5">
        <w:rPr>
          <w:rFonts w:ascii="Palatino Linotype" w:hAnsi="Palatino Linotype" w:cs="Times New Roman"/>
          <w:noProof/>
          <w:szCs w:val="24"/>
        </w:rPr>
        <w:t>, vol. 13, no. 1, p. 34, 2019.</w:t>
      </w:r>
    </w:p>
    <w:p w14:paraId="6824D31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[75]</w:t>
      </w:r>
      <w:r w:rsidRPr="000766C5">
        <w:rPr>
          <w:rFonts w:ascii="Palatino Linotype" w:hAnsi="Palatino Linotype" w:cs="Times New Roman"/>
          <w:noProof/>
          <w:szCs w:val="24"/>
        </w:rPr>
        <w:tab/>
        <w:t xml:space="preserve">A. Alba-Bernal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“Challenges and achievements of liquid biopsy technologies employed in early breast cancer,” </w:t>
      </w:r>
      <w:r w:rsidRPr="000766C5">
        <w:rPr>
          <w:rFonts w:ascii="Palatino Linotype" w:hAnsi="Palatino Linotype" w:cs="Times New Roman"/>
          <w:i/>
          <w:iCs/>
          <w:noProof/>
          <w:szCs w:val="24"/>
        </w:rPr>
        <w:t>EBioMedicine</w:t>
      </w:r>
      <w:r w:rsidRPr="000766C5">
        <w:rPr>
          <w:rFonts w:ascii="Palatino Linotype" w:hAnsi="Palatino Linotype" w:cs="Times New Roman"/>
          <w:noProof/>
          <w:szCs w:val="24"/>
        </w:rPr>
        <w:t>, vol. 62, 2020.</w:t>
      </w:r>
    </w:p>
    <w:p w14:paraId="67C40AC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[76]</w:t>
      </w:r>
      <w:r w:rsidRPr="000766C5">
        <w:rPr>
          <w:rFonts w:ascii="Palatino Linotype" w:hAnsi="Palatino Linotype" w:cs="Times New Roman"/>
          <w:noProof/>
          <w:szCs w:val="24"/>
        </w:rPr>
        <w:tab/>
        <w:t xml:space="preserve">D. Thakral, R. Gupta, R. K. Sahoo, P. Verma, I. Kumar, and S. Vashishtha, “Real-Time Molecular Monitoring in Acute Myeloid Leukemia With Circulating Tumor DNA   ,” </w:t>
      </w:r>
      <w:r w:rsidRPr="000766C5">
        <w:rPr>
          <w:rFonts w:ascii="Palatino Linotype" w:hAnsi="Palatino Linotype" w:cs="Times New Roman"/>
          <w:i/>
          <w:iCs/>
          <w:noProof/>
          <w:szCs w:val="24"/>
        </w:rPr>
        <w:t xml:space="preserve">Frontiers in Cell and Developmental Biology  </w:t>
      </w:r>
      <w:r w:rsidRPr="000766C5">
        <w:rPr>
          <w:rFonts w:ascii="Palatino Linotype" w:hAnsi="Palatino Linotype" w:cs="Times New Roman"/>
          <w:noProof/>
          <w:szCs w:val="24"/>
        </w:rPr>
        <w:t>, vol. 8. p. 1328, 2020.</w:t>
      </w:r>
    </w:p>
    <w:p w14:paraId="66DD545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[77]</w:t>
      </w:r>
      <w:r w:rsidRPr="000766C5">
        <w:rPr>
          <w:rFonts w:ascii="Palatino Linotype" w:hAnsi="Palatino Linotype" w:cs="Times New Roman"/>
          <w:noProof/>
          <w:szCs w:val="24"/>
        </w:rPr>
        <w:tab/>
        <w:t xml:space="preserve">J. F. Huggett and A. Whale, “Digital PCR as a Novel Technology and Its Potential Implications for Molecular Diagnostics,” </w:t>
      </w:r>
      <w:r w:rsidRPr="000766C5">
        <w:rPr>
          <w:rFonts w:ascii="Palatino Linotype" w:hAnsi="Palatino Linotype" w:cs="Times New Roman"/>
          <w:i/>
          <w:iCs/>
          <w:noProof/>
          <w:szCs w:val="24"/>
        </w:rPr>
        <w:t>Clin. Chem.</w:t>
      </w:r>
      <w:r w:rsidRPr="000766C5">
        <w:rPr>
          <w:rFonts w:ascii="Palatino Linotype" w:hAnsi="Palatino Linotype" w:cs="Times New Roman"/>
          <w:noProof/>
          <w:szCs w:val="24"/>
        </w:rPr>
        <w:t>, vol. 59, no. 12, pp. 1691–1693, Dec. 2013.</w:t>
      </w:r>
    </w:p>
    <w:p w14:paraId="53F8AF3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[78]</w:t>
      </w:r>
      <w:r w:rsidRPr="000766C5">
        <w:rPr>
          <w:rFonts w:ascii="Palatino Linotype" w:hAnsi="Palatino Linotype" w:cs="Times New Roman"/>
          <w:noProof/>
          <w:szCs w:val="24"/>
        </w:rPr>
        <w:tab/>
        <w:t xml:space="preserve">M. F. Sanmamed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“Quantitative Cell-Free Circulating BRAFV600E Mutation Analysis by Use of Droplet Digital PCR in the Follow-up of Patients with Melanoma Being Treated with BRAF Inhibitors,” </w:t>
      </w:r>
      <w:r w:rsidRPr="000766C5">
        <w:rPr>
          <w:rFonts w:ascii="Palatino Linotype" w:hAnsi="Palatino Linotype" w:cs="Times New Roman"/>
          <w:i/>
          <w:iCs/>
          <w:noProof/>
          <w:szCs w:val="24"/>
        </w:rPr>
        <w:t>Clin. Chem.</w:t>
      </w:r>
      <w:r w:rsidRPr="000766C5">
        <w:rPr>
          <w:rFonts w:ascii="Palatino Linotype" w:hAnsi="Palatino Linotype" w:cs="Times New Roman"/>
          <w:noProof/>
          <w:szCs w:val="24"/>
        </w:rPr>
        <w:t>, vol. 61, no. 1, pp. 297–304, Jan. 2015.</w:t>
      </w:r>
    </w:p>
    <w:p w14:paraId="0665F01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[79]</w:t>
      </w:r>
      <w:r w:rsidRPr="000766C5">
        <w:rPr>
          <w:rFonts w:ascii="Palatino Linotype" w:hAnsi="Palatino Linotype" w:cs="Times New Roman"/>
          <w:noProof/>
          <w:szCs w:val="24"/>
        </w:rPr>
        <w:tab/>
        <w:t xml:space="preserve">M. Elazezy and S. A. Joosse, “Techniques of using circulating tumor DNA as a liquid biopsy component in cancer management,” </w:t>
      </w:r>
      <w:r w:rsidRPr="000766C5">
        <w:rPr>
          <w:rFonts w:ascii="Palatino Linotype" w:hAnsi="Palatino Linotype" w:cs="Times New Roman"/>
          <w:i/>
          <w:iCs/>
          <w:noProof/>
          <w:szCs w:val="24"/>
        </w:rPr>
        <w:t>Comput. Struct. Biotechnol. J.</w:t>
      </w:r>
      <w:r w:rsidRPr="000766C5">
        <w:rPr>
          <w:rFonts w:ascii="Palatino Linotype" w:hAnsi="Palatino Linotype" w:cs="Times New Roman"/>
          <w:noProof/>
          <w:szCs w:val="24"/>
        </w:rPr>
        <w:t>, vol. 16, pp. 370–378, 2018.</w:t>
      </w:r>
    </w:p>
    <w:p w14:paraId="0FB8CE3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[80]</w:t>
      </w:r>
      <w:r w:rsidRPr="000766C5">
        <w:rPr>
          <w:rFonts w:ascii="Palatino Linotype" w:hAnsi="Palatino Linotype" w:cs="Times New Roman"/>
          <w:noProof/>
          <w:szCs w:val="24"/>
        </w:rPr>
        <w:tab/>
        <w:t xml:space="preserve">Y.-C. Chen, T. Liu, C.-H. Yu, T.-Y. Chiang, and C.-C. Hwang, “Effects of GC bias in next-generation-sequencing data on de novo genome assembly,” </w:t>
      </w:r>
      <w:r w:rsidRPr="000766C5">
        <w:rPr>
          <w:rFonts w:ascii="Palatino Linotype" w:hAnsi="Palatino Linotype" w:cs="Times New Roman"/>
          <w:i/>
          <w:iCs/>
          <w:noProof/>
          <w:szCs w:val="24"/>
        </w:rPr>
        <w:t>PLoS One</w:t>
      </w:r>
      <w:r w:rsidRPr="000766C5">
        <w:rPr>
          <w:rFonts w:ascii="Palatino Linotype" w:hAnsi="Palatino Linotype" w:cs="Times New Roman"/>
          <w:noProof/>
          <w:szCs w:val="24"/>
        </w:rPr>
        <w:t>, vol. 8, no. 4, pp. e62856–e62856, Apr. 2013.</w:t>
      </w:r>
    </w:p>
    <w:p w14:paraId="3FCCEE3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[81]</w:t>
      </w:r>
      <w:r w:rsidRPr="000766C5">
        <w:rPr>
          <w:rFonts w:ascii="Palatino Linotype" w:hAnsi="Palatino Linotype" w:cs="Times New Roman"/>
          <w:noProof/>
          <w:szCs w:val="24"/>
        </w:rPr>
        <w:tab/>
        <w:t xml:space="preserve">G. Johansson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“Considerations and quality controls when analyzing cell-free tumor DNA,” </w:t>
      </w:r>
      <w:r w:rsidRPr="000766C5">
        <w:rPr>
          <w:rFonts w:ascii="Palatino Linotype" w:hAnsi="Palatino Linotype" w:cs="Times New Roman"/>
          <w:i/>
          <w:iCs/>
          <w:noProof/>
          <w:szCs w:val="24"/>
        </w:rPr>
        <w:t>Biomol. Detect. Quantif.</w:t>
      </w:r>
      <w:r w:rsidRPr="000766C5">
        <w:rPr>
          <w:rFonts w:ascii="Palatino Linotype" w:hAnsi="Palatino Linotype" w:cs="Times New Roman"/>
          <w:noProof/>
          <w:szCs w:val="24"/>
        </w:rPr>
        <w:t>, vol. 17, no. December 2018, p. 100078, 2019.</w:t>
      </w:r>
    </w:p>
    <w:p w14:paraId="33DBE86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[82]</w:t>
      </w:r>
      <w:r w:rsidRPr="000766C5">
        <w:rPr>
          <w:rFonts w:ascii="Palatino Linotype" w:hAnsi="Palatino Linotype" w:cs="Times New Roman"/>
          <w:noProof/>
          <w:szCs w:val="24"/>
        </w:rPr>
        <w:tab/>
        <w:t>Agena Bioscience, “UltraSEEK panel user guide,” 2019. [Online]. Available: https://www.veritastk.co.jp/products/pdf/UltraSEEK-Panels-User-Guide.pdf.</w:t>
      </w:r>
    </w:p>
    <w:p w14:paraId="166FC69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[83]</w:t>
      </w:r>
      <w:r w:rsidRPr="000766C5">
        <w:rPr>
          <w:rFonts w:ascii="Palatino Linotype" w:hAnsi="Palatino Linotype" w:cs="Times New Roman"/>
          <w:noProof/>
          <w:szCs w:val="24"/>
        </w:rPr>
        <w:tab/>
        <w:t xml:space="preserve">X. Chen, L. Wang, and J. Lou, “Nanotechnology Strategies for the Analysis of Circulating Tumor DNA: A Review,” </w:t>
      </w:r>
      <w:r w:rsidRPr="000766C5">
        <w:rPr>
          <w:rFonts w:ascii="Palatino Linotype" w:hAnsi="Palatino Linotype" w:cs="Times New Roman"/>
          <w:i/>
          <w:iCs/>
          <w:noProof/>
          <w:szCs w:val="24"/>
        </w:rPr>
        <w:t>Med. Sci. Monit.</w:t>
      </w:r>
      <w:r w:rsidRPr="000766C5">
        <w:rPr>
          <w:rFonts w:ascii="Palatino Linotype" w:hAnsi="Palatino Linotype" w:cs="Times New Roman"/>
          <w:noProof/>
          <w:szCs w:val="24"/>
        </w:rPr>
        <w:t>, vol. 26, pp. e921040–e921040, Mar. 2020.</w:t>
      </w:r>
    </w:p>
    <w:p w14:paraId="5923069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[84]</w:t>
      </w:r>
      <w:r w:rsidRPr="000766C5">
        <w:rPr>
          <w:rFonts w:ascii="Palatino Linotype" w:hAnsi="Palatino Linotype" w:cs="Times New Roman"/>
          <w:noProof/>
          <w:szCs w:val="24"/>
        </w:rPr>
        <w:tab/>
        <w:t xml:space="preserve">J. D. Cohen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“Detection and localization of surgically resectable cancers with a multi-analyte blood test,” </w:t>
      </w:r>
      <w:r w:rsidRPr="000766C5">
        <w:rPr>
          <w:rFonts w:ascii="Palatino Linotype" w:hAnsi="Palatino Linotype" w:cs="Times New Roman"/>
          <w:i/>
          <w:iCs/>
          <w:noProof/>
          <w:szCs w:val="24"/>
        </w:rPr>
        <w:t>Science (80-. ).</w:t>
      </w:r>
      <w:r w:rsidRPr="000766C5">
        <w:rPr>
          <w:rFonts w:ascii="Palatino Linotype" w:hAnsi="Palatino Linotype" w:cs="Times New Roman"/>
          <w:noProof/>
          <w:szCs w:val="24"/>
        </w:rPr>
        <w:t>, vol. 3247, no. January, p. eaar3247, 2018.</w:t>
      </w:r>
    </w:p>
    <w:p w14:paraId="2FBFD5D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[85]</w:t>
      </w:r>
      <w:r w:rsidRPr="000766C5">
        <w:rPr>
          <w:rFonts w:ascii="Palatino Linotype" w:hAnsi="Palatino Linotype" w:cs="Times New Roman"/>
          <w:noProof/>
          <w:szCs w:val="24"/>
        </w:rPr>
        <w:tab/>
        <w:t xml:space="preserve">P. A. Cohen, N. Flowers, S. Tong, N. Hannan, M. D. Pertile, and L. Hui, “Abnormal plasma DNA profiles in early ovarian cancer using a non-invasive prenatal testing platform: implications for cancer screening,” </w:t>
      </w:r>
      <w:r w:rsidRPr="000766C5">
        <w:rPr>
          <w:rFonts w:ascii="Palatino Linotype" w:hAnsi="Palatino Linotype" w:cs="Times New Roman"/>
          <w:i/>
          <w:iCs/>
          <w:noProof/>
          <w:szCs w:val="24"/>
        </w:rPr>
        <w:t>BMC Med.</w:t>
      </w:r>
      <w:r w:rsidRPr="000766C5">
        <w:rPr>
          <w:rFonts w:ascii="Palatino Linotype" w:hAnsi="Palatino Linotype" w:cs="Times New Roman"/>
          <w:noProof/>
          <w:szCs w:val="24"/>
        </w:rPr>
        <w:t>, vol. 14, no. 1, p. 126, Aug. 2016.</w:t>
      </w:r>
    </w:p>
    <w:p w14:paraId="6D7BB24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[86]</w:t>
      </w:r>
      <w:r w:rsidRPr="000766C5">
        <w:rPr>
          <w:rFonts w:ascii="Palatino Linotype" w:hAnsi="Palatino Linotype" w:cs="Times New Roman"/>
          <w:noProof/>
          <w:szCs w:val="24"/>
        </w:rPr>
        <w:tab/>
        <w:t xml:space="preserve">C. Bettegowda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“Detection of circulating tumor DNA in early- and late-stage human malignancies.,” </w:t>
      </w:r>
      <w:r w:rsidRPr="000766C5">
        <w:rPr>
          <w:rFonts w:ascii="Palatino Linotype" w:hAnsi="Palatino Linotype" w:cs="Times New Roman"/>
          <w:i/>
          <w:iCs/>
          <w:noProof/>
          <w:szCs w:val="24"/>
        </w:rPr>
        <w:t>Sci. Transl. Med.</w:t>
      </w:r>
      <w:r w:rsidRPr="000766C5">
        <w:rPr>
          <w:rFonts w:ascii="Palatino Linotype" w:hAnsi="Palatino Linotype" w:cs="Times New Roman"/>
          <w:noProof/>
          <w:szCs w:val="24"/>
        </w:rPr>
        <w:t>, vol. 6, no. 224, p. 224ra24, Feb. 2014.</w:t>
      </w:r>
    </w:p>
    <w:p w14:paraId="3D72724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[87]</w:t>
      </w:r>
      <w:r w:rsidRPr="000766C5">
        <w:rPr>
          <w:rFonts w:ascii="Palatino Linotype" w:hAnsi="Palatino Linotype" w:cs="Times New Roman"/>
          <w:noProof/>
          <w:szCs w:val="24"/>
        </w:rPr>
        <w:tab/>
        <w:t xml:space="preserve">A. M. Newman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“An ultrasensitive method for quantitating circulating tumor DNA with broad patient coverage,” </w:t>
      </w:r>
      <w:r w:rsidRPr="000766C5">
        <w:rPr>
          <w:rFonts w:ascii="Palatino Linotype" w:hAnsi="Palatino Linotype" w:cs="Times New Roman"/>
          <w:i/>
          <w:iCs/>
          <w:noProof/>
          <w:szCs w:val="24"/>
        </w:rPr>
        <w:t>Nat. Med.</w:t>
      </w:r>
      <w:r w:rsidRPr="000766C5">
        <w:rPr>
          <w:rFonts w:ascii="Palatino Linotype" w:hAnsi="Palatino Linotype" w:cs="Times New Roman"/>
          <w:noProof/>
          <w:szCs w:val="24"/>
        </w:rPr>
        <w:t>, vol. 20, no. 5, pp. 548–554, May 2014.</w:t>
      </w:r>
    </w:p>
    <w:p w14:paraId="6A97FC9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[88]</w:t>
      </w:r>
      <w:r w:rsidRPr="000766C5">
        <w:rPr>
          <w:rFonts w:ascii="Palatino Linotype" w:hAnsi="Palatino Linotype" w:cs="Times New Roman"/>
          <w:noProof/>
          <w:szCs w:val="24"/>
        </w:rPr>
        <w:tab/>
        <w:t xml:space="preserve">I. Kinde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“Evaluation of DNA from the Papanicolaou test to detect ovarian and endometrial cancers,” </w:t>
      </w:r>
      <w:r w:rsidRPr="000766C5">
        <w:rPr>
          <w:rFonts w:ascii="Palatino Linotype" w:hAnsi="Palatino Linotype" w:cs="Times New Roman"/>
          <w:i/>
          <w:iCs/>
          <w:noProof/>
          <w:szCs w:val="24"/>
        </w:rPr>
        <w:t>Sci. Transl. Med.</w:t>
      </w:r>
      <w:r w:rsidRPr="000766C5">
        <w:rPr>
          <w:rFonts w:ascii="Palatino Linotype" w:hAnsi="Palatino Linotype" w:cs="Times New Roman"/>
          <w:noProof/>
          <w:szCs w:val="24"/>
        </w:rPr>
        <w:t>, vol. 5, no. 167, pp. 167ra4-167ra4, Jan. 2013.</w:t>
      </w:r>
    </w:p>
    <w:p w14:paraId="63C1258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[89]</w:t>
      </w:r>
      <w:r w:rsidRPr="000766C5">
        <w:rPr>
          <w:rFonts w:ascii="Palatino Linotype" w:hAnsi="Palatino Linotype" w:cs="Times New Roman"/>
          <w:noProof/>
          <w:szCs w:val="24"/>
        </w:rPr>
        <w:tab/>
        <w:t xml:space="preserve">D. W. Bianchi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“Noninvasive Prenatal Testing and Incidental Detection of Occult Maternal Malignancies,” </w:t>
      </w:r>
      <w:r w:rsidRPr="000766C5">
        <w:rPr>
          <w:rFonts w:ascii="Palatino Linotype" w:hAnsi="Palatino Linotype" w:cs="Times New Roman"/>
          <w:i/>
          <w:iCs/>
          <w:noProof/>
          <w:szCs w:val="24"/>
        </w:rPr>
        <w:t>JAMA</w:t>
      </w:r>
      <w:r w:rsidRPr="000766C5">
        <w:rPr>
          <w:rFonts w:ascii="Palatino Linotype" w:hAnsi="Palatino Linotype" w:cs="Times New Roman"/>
          <w:noProof/>
          <w:szCs w:val="24"/>
        </w:rPr>
        <w:t>, vol. 314, no. 2, pp. 162–169, Jul. 2015.</w:t>
      </w:r>
    </w:p>
    <w:p w14:paraId="03C9D0F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[90]</w:t>
      </w:r>
      <w:r w:rsidRPr="000766C5">
        <w:rPr>
          <w:rFonts w:ascii="Palatino Linotype" w:hAnsi="Palatino Linotype" w:cs="Times New Roman"/>
          <w:noProof/>
          <w:szCs w:val="24"/>
        </w:rPr>
        <w:tab/>
        <w:t xml:space="preserve">F. Amant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“Presymptomatic Identification of Cancers in Pregnant Women During Noninvasive Prenatal Testing,” </w:t>
      </w:r>
      <w:r w:rsidRPr="000766C5">
        <w:rPr>
          <w:rFonts w:ascii="Palatino Linotype" w:hAnsi="Palatino Linotype" w:cs="Times New Roman"/>
          <w:i/>
          <w:iCs/>
          <w:noProof/>
          <w:szCs w:val="24"/>
        </w:rPr>
        <w:t>JAMA Oncol.</w:t>
      </w:r>
      <w:r w:rsidRPr="000766C5">
        <w:rPr>
          <w:rFonts w:ascii="Palatino Linotype" w:hAnsi="Palatino Linotype" w:cs="Times New Roman"/>
          <w:noProof/>
          <w:szCs w:val="24"/>
        </w:rPr>
        <w:t>, vol. 1, no. 6, pp. 814–819, Sep. 2015.</w:t>
      </w:r>
    </w:p>
    <w:p w14:paraId="70623F3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[91]</w:t>
      </w:r>
      <w:r w:rsidRPr="000766C5">
        <w:rPr>
          <w:rFonts w:ascii="Palatino Linotype" w:hAnsi="Palatino Linotype" w:cs="Times New Roman"/>
          <w:noProof/>
          <w:szCs w:val="24"/>
        </w:rPr>
        <w:tab/>
        <w:t xml:space="preserve">K. Sun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“Plasma DNA tissue mapping by genome-wide methylation sequencing for noninvasive prenatal, cancer, and transplantation assessments,” </w:t>
      </w:r>
      <w:r w:rsidRPr="000766C5">
        <w:rPr>
          <w:rFonts w:ascii="Palatino Linotype" w:hAnsi="Palatino Linotype" w:cs="Times New Roman"/>
          <w:i/>
          <w:iCs/>
          <w:noProof/>
          <w:szCs w:val="24"/>
        </w:rPr>
        <w:t>Proc. Natl. Acad. Sci. U. S. A.</w:t>
      </w:r>
      <w:r w:rsidRPr="000766C5">
        <w:rPr>
          <w:rFonts w:ascii="Palatino Linotype" w:hAnsi="Palatino Linotype" w:cs="Times New Roman"/>
          <w:noProof/>
          <w:szCs w:val="24"/>
        </w:rPr>
        <w:t>, vol. 112, no. 40, pp. E5503–E5512, Oct. 2015.</w:t>
      </w:r>
    </w:p>
    <w:p w14:paraId="041EFBC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[92]</w:t>
      </w:r>
      <w:r w:rsidRPr="000766C5">
        <w:rPr>
          <w:rFonts w:ascii="Palatino Linotype" w:hAnsi="Palatino Linotype" w:cs="Times New Roman"/>
          <w:noProof/>
          <w:szCs w:val="24"/>
        </w:rPr>
        <w:tab/>
        <w:t xml:space="preserve">E. Gormally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“&amp;lt;em&amp;gt;TP53&amp;lt;/em&amp;gt; and &amp;lt;em&amp;gt;KRAS2&amp;lt;/em&amp;gt; Mutations in Plasma DNA of Healthy Subjects and Subsequent Cancer Occurrence: A Prospective Study,” </w:t>
      </w:r>
      <w:r w:rsidRPr="000766C5">
        <w:rPr>
          <w:rFonts w:ascii="Palatino Linotype" w:hAnsi="Palatino Linotype" w:cs="Times New Roman"/>
          <w:i/>
          <w:iCs/>
          <w:noProof/>
          <w:szCs w:val="24"/>
        </w:rPr>
        <w:t>Cancer Res.</w:t>
      </w:r>
      <w:r w:rsidRPr="000766C5">
        <w:rPr>
          <w:rFonts w:ascii="Palatino Linotype" w:hAnsi="Palatino Linotype" w:cs="Times New Roman"/>
          <w:noProof/>
          <w:szCs w:val="24"/>
        </w:rPr>
        <w:t>, vol. 66, no. 13, pp. 6871 LP – 6876, Jul. 2006.</w:t>
      </w:r>
    </w:p>
    <w:p w14:paraId="33AD544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[93]</w:t>
      </w:r>
      <w:r w:rsidRPr="000766C5">
        <w:rPr>
          <w:rFonts w:ascii="Palatino Linotype" w:hAnsi="Palatino Linotype" w:cs="Times New Roman"/>
          <w:noProof/>
          <w:szCs w:val="24"/>
        </w:rPr>
        <w:tab/>
        <w:t xml:space="preserve">L. Mao, R. H. Hruban, J. O. Boyle, M. Tockman, and D. Sidransky, “Detection of Oncogene Mutations in Sputum Precedes Diagnosis of Lung Cancer,” </w:t>
      </w:r>
      <w:r w:rsidRPr="000766C5">
        <w:rPr>
          <w:rFonts w:ascii="Palatino Linotype" w:hAnsi="Palatino Linotype" w:cs="Times New Roman"/>
          <w:i/>
          <w:iCs/>
          <w:noProof/>
          <w:szCs w:val="24"/>
        </w:rPr>
        <w:t>Cancer Res.</w:t>
      </w:r>
      <w:r w:rsidRPr="000766C5">
        <w:rPr>
          <w:rFonts w:ascii="Palatino Linotype" w:hAnsi="Palatino Linotype" w:cs="Times New Roman"/>
          <w:noProof/>
          <w:szCs w:val="24"/>
        </w:rPr>
        <w:t>, vol. 54, no. 7, pp. 1634 LP – 1637, Apr. 1994.</w:t>
      </w:r>
    </w:p>
    <w:p w14:paraId="1B8661D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[94]</w:t>
      </w:r>
      <w:r w:rsidRPr="000766C5">
        <w:rPr>
          <w:rFonts w:ascii="Palatino Linotype" w:hAnsi="Palatino Linotype" w:cs="Times New Roman"/>
          <w:noProof/>
          <w:szCs w:val="24"/>
        </w:rPr>
        <w:tab/>
        <w:t xml:space="preserve">P. J. Lamy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“Mass spectrometry as a highly sensitive method for specific circulating tumor dna analysis in nsclc: A comparison study,” </w:t>
      </w:r>
      <w:r w:rsidRPr="000766C5">
        <w:rPr>
          <w:rFonts w:ascii="Palatino Linotype" w:hAnsi="Palatino Linotype" w:cs="Times New Roman"/>
          <w:i/>
          <w:iCs/>
          <w:noProof/>
          <w:szCs w:val="24"/>
        </w:rPr>
        <w:t>Cancers (Basel).</w:t>
      </w:r>
      <w:r w:rsidRPr="000766C5">
        <w:rPr>
          <w:rFonts w:ascii="Palatino Linotype" w:hAnsi="Palatino Linotype" w:cs="Times New Roman"/>
          <w:noProof/>
          <w:szCs w:val="24"/>
        </w:rPr>
        <w:t>, vol. 12, no. 10, pp. 1–14, 2020.</w:t>
      </w:r>
    </w:p>
    <w:p w14:paraId="0D63296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[95]</w:t>
      </w:r>
      <w:r w:rsidRPr="000766C5">
        <w:rPr>
          <w:rFonts w:ascii="Palatino Linotype" w:hAnsi="Palatino Linotype" w:cs="Times New Roman"/>
          <w:noProof/>
          <w:szCs w:val="24"/>
        </w:rPr>
        <w:tab/>
        <w:t xml:space="preserve">B. Ricciuti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“Early plasma circulating tumor DNA (ctDNA) changes predict response to first-line pembrolizumab-based therapy in non-small cell lung cancer (NSCLC),” </w:t>
      </w:r>
      <w:r w:rsidRPr="000766C5">
        <w:rPr>
          <w:rFonts w:ascii="Palatino Linotype" w:hAnsi="Palatino Linotype" w:cs="Times New Roman"/>
          <w:i/>
          <w:iCs/>
          <w:noProof/>
          <w:szCs w:val="24"/>
        </w:rPr>
        <w:t>J. Immunother. Cancer</w:t>
      </w:r>
      <w:r w:rsidRPr="000766C5">
        <w:rPr>
          <w:rFonts w:ascii="Palatino Linotype" w:hAnsi="Palatino Linotype" w:cs="Times New Roman"/>
          <w:noProof/>
          <w:szCs w:val="24"/>
        </w:rPr>
        <w:t>, vol. 9, no. 3, p. e001504, Mar. 2021.</w:t>
      </w:r>
    </w:p>
    <w:p w14:paraId="3037264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[96]</w:t>
      </w:r>
      <w:r w:rsidRPr="000766C5">
        <w:rPr>
          <w:rFonts w:ascii="Palatino Linotype" w:hAnsi="Palatino Linotype" w:cs="Times New Roman"/>
          <w:noProof/>
          <w:szCs w:val="24"/>
        </w:rPr>
        <w:tab/>
        <w:t xml:space="preserve">J. Wehrle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“Personalized Treatment Selection and Disease Monitoring Using Circulating Tumor DNA Profiling in Real-World Cancer Patient Management,” </w:t>
      </w:r>
      <w:r w:rsidRPr="000766C5">
        <w:rPr>
          <w:rFonts w:ascii="Palatino Linotype" w:hAnsi="Palatino Linotype" w:cs="Times New Roman"/>
          <w:i/>
          <w:iCs/>
          <w:noProof/>
          <w:szCs w:val="24"/>
        </w:rPr>
        <w:t>Diagnostics (Basel, Switzerland)</w:t>
      </w:r>
      <w:r w:rsidRPr="000766C5">
        <w:rPr>
          <w:rFonts w:ascii="Palatino Linotype" w:hAnsi="Palatino Linotype" w:cs="Times New Roman"/>
          <w:noProof/>
          <w:szCs w:val="24"/>
        </w:rPr>
        <w:t>, vol. 10, no. 8, p. 550, Aug. 2020.</w:t>
      </w:r>
    </w:p>
    <w:p w14:paraId="4EC4934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[97]</w:t>
      </w:r>
      <w:r w:rsidRPr="000766C5">
        <w:rPr>
          <w:rFonts w:ascii="Palatino Linotype" w:hAnsi="Palatino Linotype" w:cs="Times New Roman"/>
          <w:noProof/>
          <w:szCs w:val="24"/>
        </w:rPr>
        <w:tab/>
        <w:t xml:space="preserve">L. A. Diaz and A. Bardelli, “Liquid biopsies: Genotyping circulating tumor DNA,” </w:t>
      </w:r>
      <w:r w:rsidRPr="000766C5">
        <w:rPr>
          <w:rFonts w:ascii="Palatino Linotype" w:hAnsi="Palatino Linotype" w:cs="Times New Roman"/>
          <w:i/>
          <w:iCs/>
          <w:noProof/>
          <w:szCs w:val="24"/>
        </w:rPr>
        <w:t>J. Clin. Oncol.</w:t>
      </w:r>
      <w:r w:rsidRPr="000766C5">
        <w:rPr>
          <w:rFonts w:ascii="Palatino Linotype" w:hAnsi="Palatino Linotype" w:cs="Times New Roman"/>
          <w:noProof/>
          <w:szCs w:val="24"/>
        </w:rPr>
        <w:t>, vol. 32, no. 6, pp. 579–586, 2014.</w:t>
      </w:r>
    </w:p>
    <w:p w14:paraId="66525BE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[98]</w:t>
      </w:r>
      <w:r w:rsidRPr="000766C5">
        <w:rPr>
          <w:rFonts w:ascii="Palatino Linotype" w:hAnsi="Palatino Linotype" w:cs="Times New Roman"/>
          <w:noProof/>
          <w:szCs w:val="24"/>
        </w:rPr>
        <w:tab/>
        <w:t>F. Schmitt, “Utility of Circulating Tumor DNA in Di ff erent,” pp. 1–14, 2020.</w:t>
      </w:r>
    </w:p>
    <w:p w14:paraId="009BF88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[99]</w:t>
      </w:r>
      <w:r w:rsidRPr="000766C5">
        <w:rPr>
          <w:rFonts w:ascii="Palatino Linotype" w:hAnsi="Palatino Linotype" w:cs="Times New Roman"/>
          <w:noProof/>
          <w:szCs w:val="24"/>
        </w:rPr>
        <w:tab/>
        <w:t xml:space="preserve">H. Osumi, E. Shinozaki, K. Yamaguchi, and H. Zembutsu, “Early change in circulating tumor DNA as a potential predictor of response to chemotherapy in patients with metastatic colorectal cancer,”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9, no. 1, p. 17358, 2019.</w:t>
      </w:r>
    </w:p>
    <w:p w14:paraId="7A9AC79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[100]</w:t>
      </w:r>
      <w:r w:rsidRPr="000766C5">
        <w:rPr>
          <w:rFonts w:ascii="Palatino Linotype" w:hAnsi="Palatino Linotype" w:cs="Times New Roman"/>
          <w:noProof/>
          <w:szCs w:val="24"/>
        </w:rPr>
        <w:tab/>
        <w:t xml:space="preserve">T. Reinert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“Analysis of circulating tumour DNA to monitor disease burden following colorectal cancer surgery,” </w:t>
      </w:r>
      <w:r w:rsidRPr="000766C5">
        <w:rPr>
          <w:rFonts w:ascii="Palatino Linotype" w:hAnsi="Palatino Linotype" w:cs="Times New Roman"/>
          <w:i/>
          <w:iCs/>
          <w:noProof/>
          <w:szCs w:val="24"/>
        </w:rPr>
        <w:t>Gut</w:t>
      </w:r>
      <w:r w:rsidRPr="000766C5">
        <w:rPr>
          <w:rFonts w:ascii="Palatino Linotype" w:hAnsi="Palatino Linotype" w:cs="Times New Roman"/>
          <w:noProof/>
          <w:szCs w:val="24"/>
        </w:rPr>
        <w:t>, vol. 65, no. 4, pp. 625–634, 2016.</w:t>
      </w:r>
    </w:p>
    <w:p w14:paraId="1EE880B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[101]</w:t>
      </w:r>
      <w:r w:rsidRPr="000766C5">
        <w:rPr>
          <w:rFonts w:ascii="Palatino Linotype" w:hAnsi="Palatino Linotype" w:cs="Times New Roman"/>
          <w:noProof/>
          <w:szCs w:val="24"/>
        </w:rPr>
        <w:tab/>
        <w:t xml:space="preserve">M. Nagasaka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“Liquid biopsy for therapy monitoring in early-stage non-small cell lung cancer,” </w:t>
      </w:r>
      <w:r w:rsidRPr="000766C5">
        <w:rPr>
          <w:rFonts w:ascii="Palatino Linotype" w:hAnsi="Palatino Linotype" w:cs="Times New Roman"/>
          <w:i/>
          <w:iCs/>
          <w:noProof/>
          <w:szCs w:val="24"/>
        </w:rPr>
        <w:t>Mol. Cancer</w:t>
      </w:r>
      <w:r w:rsidRPr="000766C5">
        <w:rPr>
          <w:rFonts w:ascii="Palatino Linotype" w:hAnsi="Palatino Linotype" w:cs="Times New Roman"/>
          <w:noProof/>
          <w:szCs w:val="24"/>
        </w:rPr>
        <w:t>, vol. 20, no. 1, p. 82, 2021.</w:t>
      </w:r>
    </w:p>
    <w:p w14:paraId="589ED82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[102]</w:t>
      </w:r>
      <w:r w:rsidRPr="000766C5">
        <w:rPr>
          <w:rFonts w:ascii="Palatino Linotype" w:hAnsi="Palatino Linotype" w:cs="Times New Roman"/>
          <w:noProof/>
          <w:szCs w:val="24"/>
        </w:rPr>
        <w:tab/>
        <w:t xml:space="preserve">A. J. Bronkhorst, V. Ungerer, and S. Holdenrieder, “The emerging role of cell-free DNA as a molecular marker for cancer management,” </w:t>
      </w:r>
      <w:r w:rsidRPr="000766C5">
        <w:rPr>
          <w:rFonts w:ascii="Palatino Linotype" w:hAnsi="Palatino Linotype" w:cs="Times New Roman"/>
          <w:i/>
          <w:iCs/>
          <w:noProof/>
          <w:szCs w:val="24"/>
        </w:rPr>
        <w:t>Biomol. Detect. Quantif.</w:t>
      </w:r>
      <w:r w:rsidRPr="000766C5">
        <w:rPr>
          <w:rFonts w:ascii="Palatino Linotype" w:hAnsi="Palatino Linotype" w:cs="Times New Roman"/>
          <w:noProof/>
          <w:szCs w:val="24"/>
        </w:rPr>
        <w:t>, vol. 17, p. 100087, Mar. 2019.</w:t>
      </w:r>
    </w:p>
    <w:p w14:paraId="60D72AA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[103]</w:t>
      </w:r>
      <w:r w:rsidRPr="000766C5">
        <w:rPr>
          <w:rFonts w:ascii="Palatino Linotype" w:hAnsi="Palatino Linotype" w:cs="Times New Roman"/>
          <w:noProof/>
          <w:szCs w:val="24"/>
        </w:rPr>
        <w:tab/>
        <w:t xml:space="preserve">S. N. Lam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“Comparison of Target Enrichment Platforms for Circulating Tumor DNA Detection,”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10, no. 1, p. 4124, 2020.</w:t>
      </w:r>
    </w:p>
    <w:p w14:paraId="398D3F3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[104]</w:t>
      </w:r>
      <w:r w:rsidRPr="000766C5">
        <w:rPr>
          <w:rFonts w:ascii="Palatino Linotype" w:hAnsi="Palatino Linotype" w:cs="Times New Roman"/>
          <w:noProof/>
          <w:szCs w:val="24"/>
        </w:rPr>
        <w:tab/>
        <w:t xml:space="preserve">J. Li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“Patient specific circulating tumor DNA fingerprints to monitor treatment response across multiple tumors,” </w:t>
      </w:r>
      <w:r w:rsidRPr="000766C5">
        <w:rPr>
          <w:rFonts w:ascii="Palatino Linotype" w:hAnsi="Palatino Linotype" w:cs="Times New Roman"/>
          <w:i/>
          <w:iCs/>
          <w:noProof/>
          <w:szCs w:val="24"/>
        </w:rPr>
        <w:t>J. Transl. Med.</w:t>
      </w:r>
      <w:r w:rsidRPr="000766C5">
        <w:rPr>
          <w:rFonts w:ascii="Palatino Linotype" w:hAnsi="Palatino Linotype" w:cs="Times New Roman"/>
          <w:noProof/>
          <w:szCs w:val="24"/>
        </w:rPr>
        <w:t>, vol. 18, no. 1, p. 293, 2020.</w:t>
      </w:r>
    </w:p>
    <w:p w14:paraId="7ABFBB7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[105]</w:t>
      </w:r>
      <w:r w:rsidRPr="000766C5">
        <w:rPr>
          <w:rFonts w:ascii="Palatino Linotype" w:hAnsi="Palatino Linotype" w:cs="Times New Roman"/>
          <w:noProof/>
          <w:szCs w:val="24"/>
        </w:rPr>
        <w:tab/>
        <w:t xml:space="preserve">A. M. Newman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“Integrated digital error suppression for improved detection of circulating tumor DNA,” </w:t>
      </w:r>
      <w:r w:rsidRPr="000766C5">
        <w:rPr>
          <w:rFonts w:ascii="Palatino Linotype" w:hAnsi="Palatino Linotype" w:cs="Times New Roman"/>
          <w:i/>
          <w:iCs/>
          <w:noProof/>
          <w:szCs w:val="24"/>
        </w:rPr>
        <w:t>Nat. Biotechnol.</w:t>
      </w:r>
      <w:r w:rsidRPr="000766C5">
        <w:rPr>
          <w:rFonts w:ascii="Palatino Linotype" w:hAnsi="Palatino Linotype" w:cs="Times New Roman"/>
          <w:noProof/>
          <w:szCs w:val="24"/>
        </w:rPr>
        <w:t>, vol. 34, no. 5, pp. 547–555, May 2016.</w:t>
      </w:r>
    </w:p>
    <w:p w14:paraId="28876F7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[106]</w:t>
      </w:r>
      <w:r w:rsidRPr="000766C5">
        <w:rPr>
          <w:rFonts w:ascii="Palatino Linotype" w:hAnsi="Palatino Linotype" w:cs="Times New Roman"/>
          <w:noProof/>
          <w:szCs w:val="24"/>
        </w:rPr>
        <w:tab/>
        <w:t xml:space="preserve">I. Kinde, J. Wu, N. Papadopoulos, K. W. Kinzler, and B. Vogelstein, “Detection and quantification of rare mutations with massively parallel sequencing,” </w:t>
      </w:r>
      <w:r w:rsidRPr="000766C5">
        <w:rPr>
          <w:rFonts w:ascii="Palatino Linotype" w:hAnsi="Palatino Linotype" w:cs="Times New Roman"/>
          <w:i/>
          <w:iCs/>
          <w:noProof/>
          <w:szCs w:val="24"/>
        </w:rPr>
        <w:t>Proc. Natl. Acad. Sci. U. S. A.</w:t>
      </w:r>
      <w:r w:rsidRPr="000766C5">
        <w:rPr>
          <w:rFonts w:ascii="Palatino Linotype" w:hAnsi="Palatino Linotype" w:cs="Times New Roman"/>
          <w:noProof/>
          <w:szCs w:val="24"/>
        </w:rPr>
        <w:t>, vol. 108, no. 23, pp. 9530–9535, Jun. 2011.</w:t>
      </w:r>
    </w:p>
    <w:p w14:paraId="6ECBFAB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[107]</w:t>
      </w:r>
      <w:r w:rsidRPr="000766C5">
        <w:rPr>
          <w:rFonts w:ascii="Palatino Linotype" w:hAnsi="Palatino Linotype" w:cs="Times New Roman"/>
          <w:noProof/>
          <w:szCs w:val="24"/>
        </w:rPr>
        <w:tab/>
        <w:t xml:space="preserve">S. R. Kennedy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“Detecting ultralow-frequency mutations by Duplex Sequencing,” </w:t>
      </w:r>
      <w:r w:rsidRPr="000766C5">
        <w:rPr>
          <w:rFonts w:ascii="Palatino Linotype" w:hAnsi="Palatino Linotype" w:cs="Times New Roman"/>
          <w:i/>
          <w:iCs/>
          <w:noProof/>
          <w:szCs w:val="24"/>
        </w:rPr>
        <w:t>Nat. Protoc.</w:t>
      </w:r>
      <w:r w:rsidRPr="000766C5">
        <w:rPr>
          <w:rFonts w:ascii="Palatino Linotype" w:hAnsi="Palatino Linotype" w:cs="Times New Roman"/>
          <w:noProof/>
          <w:szCs w:val="24"/>
        </w:rPr>
        <w:t>, vol. 9, no. 11, pp. 2586–2606, Nov. 2014.</w:t>
      </w:r>
    </w:p>
    <w:p w14:paraId="225E8AE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[108]</w:t>
      </w:r>
      <w:r w:rsidRPr="000766C5">
        <w:rPr>
          <w:rFonts w:ascii="Palatino Linotype" w:hAnsi="Palatino Linotype" w:cs="Times New Roman"/>
          <w:noProof/>
          <w:szCs w:val="24"/>
        </w:rPr>
        <w:tab/>
        <w:t xml:space="preserve">J. Phallen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“Direct detection of early-stage cancers using circulating tumor DNA,” </w:t>
      </w:r>
      <w:r w:rsidRPr="000766C5">
        <w:rPr>
          <w:rFonts w:ascii="Palatino Linotype" w:hAnsi="Palatino Linotype" w:cs="Times New Roman"/>
          <w:i/>
          <w:iCs/>
          <w:noProof/>
          <w:szCs w:val="24"/>
        </w:rPr>
        <w:t>Sci. Transl. Med.</w:t>
      </w:r>
      <w:r w:rsidRPr="000766C5">
        <w:rPr>
          <w:rFonts w:ascii="Palatino Linotype" w:hAnsi="Palatino Linotype" w:cs="Times New Roman"/>
          <w:noProof/>
          <w:szCs w:val="24"/>
        </w:rPr>
        <w:t>, vol. 9, no. 403, p. eaan2415, Aug. 2017.</w:t>
      </w:r>
    </w:p>
    <w:p w14:paraId="2002EDB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[109]</w:t>
      </w:r>
      <w:r w:rsidRPr="000766C5">
        <w:rPr>
          <w:rFonts w:ascii="Palatino Linotype" w:hAnsi="Palatino Linotype" w:cs="Times New Roman"/>
          <w:noProof/>
          <w:szCs w:val="24"/>
        </w:rPr>
        <w:tab/>
        <w:t xml:space="preserve">C. C. Liu, “Electrochemical Based Biosensors,” </w:t>
      </w:r>
      <w:r w:rsidRPr="000766C5">
        <w:rPr>
          <w:rFonts w:ascii="Palatino Linotype" w:hAnsi="Palatino Linotype" w:cs="Times New Roman"/>
          <w:i/>
          <w:iCs/>
          <w:noProof/>
          <w:szCs w:val="24"/>
        </w:rPr>
        <w:t xml:space="preserve">Biosensors </w:t>
      </w:r>
      <w:r w:rsidRPr="000766C5">
        <w:rPr>
          <w:rFonts w:ascii="Palatino Linotype" w:hAnsi="Palatino Linotype" w:cs="Times New Roman"/>
          <w:noProof/>
          <w:szCs w:val="24"/>
        </w:rPr>
        <w:t>, vol. 2, no. 3. 2012.</w:t>
      </w:r>
    </w:p>
    <w:p w14:paraId="2B66A21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[110]</w:t>
      </w:r>
      <w:r w:rsidRPr="000766C5">
        <w:rPr>
          <w:rFonts w:ascii="Palatino Linotype" w:hAnsi="Palatino Linotype" w:cs="Times New Roman"/>
          <w:noProof/>
          <w:szCs w:val="24"/>
        </w:rPr>
        <w:tab/>
        <w:t xml:space="preserve">D. G. Rackus, M. H. Shamsi, and A. R. Wheeler, “Electrochemistry, biosensors and microfluidics: a convergence of fields,” </w:t>
      </w:r>
      <w:r w:rsidRPr="000766C5">
        <w:rPr>
          <w:rFonts w:ascii="Palatino Linotype" w:hAnsi="Palatino Linotype" w:cs="Times New Roman"/>
          <w:i/>
          <w:iCs/>
          <w:noProof/>
          <w:szCs w:val="24"/>
        </w:rPr>
        <w:t>Chem. Soc. Rev.</w:t>
      </w:r>
      <w:r w:rsidRPr="000766C5">
        <w:rPr>
          <w:rFonts w:ascii="Palatino Linotype" w:hAnsi="Palatino Linotype" w:cs="Times New Roman"/>
          <w:noProof/>
          <w:szCs w:val="24"/>
        </w:rPr>
        <w:t>, vol. 44, no. 15, pp. 5320–5340, 2015.</w:t>
      </w:r>
    </w:p>
    <w:p w14:paraId="1B64CB3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[111]</w:t>
      </w:r>
      <w:r w:rsidRPr="000766C5">
        <w:rPr>
          <w:rFonts w:ascii="Palatino Linotype" w:hAnsi="Palatino Linotype" w:cs="Times New Roman"/>
          <w:noProof/>
          <w:szCs w:val="24"/>
        </w:rPr>
        <w:tab/>
        <w:t xml:space="preserve">S. Liu and X. Guo, “Carbon nanomaterials field-effect-transistor-based biosensors,” </w:t>
      </w:r>
      <w:r w:rsidRPr="000766C5">
        <w:rPr>
          <w:rFonts w:ascii="Palatino Linotype" w:hAnsi="Palatino Linotype" w:cs="Times New Roman"/>
          <w:i/>
          <w:iCs/>
          <w:noProof/>
          <w:szCs w:val="24"/>
        </w:rPr>
        <w:t>NPG Asia Mater.</w:t>
      </w:r>
      <w:r w:rsidRPr="000766C5">
        <w:rPr>
          <w:rFonts w:ascii="Palatino Linotype" w:hAnsi="Palatino Linotype" w:cs="Times New Roman"/>
          <w:noProof/>
          <w:szCs w:val="24"/>
        </w:rPr>
        <w:t>, vol. 4, no. 8, pp. e23–e23, 2012.</w:t>
      </w:r>
    </w:p>
    <w:p w14:paraId="04D57AD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[112]</w:t>
      </w:r>
      <w:r w:rsidRPr="000766C5">
        <w:rPr>
          <w:rFonts w:ascii="Palatino Linotype" w:hAnsi="Palatino Linotype" w:cs="Times New Roman"/>
          <w:noProof/>
          <w:szCs w:val="24"/>
        </w:rPr>
        <w:tab/>
        <w:t xml:space="preserve">H. Shen, “Plasmonic nanoparticles: Towards the fabrication of biosensors,” </w:t>
      </w:r>
      <w:r w:rsidRPr="000766C5">
        <w:rPr>
          <w:rFonts w:ascii="Palatino Linotype" w:hAnsi="Palatino Linotype" w:cs="Times New Roman"/>
          <w:i/>
          <w:iCs/>
          <w:noProof/>
          <w:szCs w:val="24"/>
        </w:rPr>
        <w:t>IOP Conf. Ser. Mater. Sci. Eng.</w:t>
      </w:r>
      <w:r w:rsidRPr="000766C5">
        <w:rPr>
          <w:rFonts w:ascii="Palatino Linotype" w:hAnsi="Palatino Linotype" w:cs="Times New Roman"/>
          <w:noProof/>
          <w:szCs w:val="24"/>
        </w:rPr>
        <w:t>, vol. 87, no. 1, 2015.</w:t>
      </w:r>
    </w:p>
    <w:p w14:paraId="0CD64CD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[113]</w:t>
      </w:r>
      <w:r w:rsidRPr="000766C5">
        <w:rPr>
          <w:rFonts w:ascii="Palatino Linotype" w:hAnsi="Palatino Linotype" w:cs="Times New Roman"/>
          <w:noProof/>
          <w:szCs w:val="24"/>
        </w:rPr>
        <w:tab/>
        <w:t xml:space="preserve">X. Shi, W. Gu, B. Li, N. Chen, K. Zhao, and Y. Xian, “Enzymatic biosensors based on the use of metal oxide nanoparticles,” </w:t>
      </w:r>
      <w:r w:rsidRPr="000766C5">
        <w:rPr>
          <w:rFonts w:ascii="Palatino Linotype" w:hAnsi="Palatino Linotype" w:cs="Times New Roman"/>
          <w:i/>
          <w:iCs/>
          <w:noProof/>
          <w:szCs w:val="24"/>
        </w:rPr>
        <w:t>Microchim. Acta</w:t>
      </w:r>
      <w:r w:rsidRPr="000766C5">
        <w:rPr>
          <w:rFonts w:ascii="Palatino Linotype" w:hAnsi="Palatino Linotype" w:cs="Times New Roman"/>
          <w:noProof/>
          <w:szCs w:val="24"/>
        </w:rPr>
        <w:t>, vol. 181, no. 1, pp. 1–22, 2014.</w:t>
      </w:r>
    </w:p>
    <w:p w14:paraId="144FB46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[114]</w:t>
      </w:r>
      <w:r w:rsidRPr="000766C5">
        <w:rPr>
          <w:rFonts w:ascii="Palatino Linotype" w:hAnsi="Palatino Linotype" w:cs="Times New Roman"/>
          <w:noProof/>
          <w:szCs w:val="24"/>
        </w:rPr>
        <w:tab/>
        <w:t xml:space="preserve">A. Sobczak-Kupiec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“Magnetic nanomaterials and sensors for biological detection,” </w:t>
      </w:r>
      <w:r w:rsidRPr="000766C5">
        <w:rPr>
          <w:rFonts w:ascii="Palatino Linotype" w:hAnsi="Palatino Linotype" w:cs="Times New Roman"/>
          <w:i/>
          <w:iCs/>
          <w:noProof/>
          <w:szCs w:val="24"/>
        </w:rPr>
        <w:t>Nanomedicine Nanotechnology, Biol. Med.</w:t>
      </w:r>
      <w:r w:rsidRPr="000766C5">
        <w:rPr>
          <w:rFonts w:ascii="Palatino Linotype" w:hAnsi="Palatino Linotype" w:cs="Times New Roman"/>
          <w:noProof/>
          <w:szCs w:val="24"/>
        </w:rPr>
        <w:t>, vol. 12, no. 8, pp. 2459–2473, 2016.</w:t>
      </w:r>
    </w:p>
    <w:p w14:paraId="50C9498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[115]</w:t>
      </w:r>
      <w:r w:rsidRPr="000766C5">
        <w:rPr>
          <w:rFonts w:ascii="Palatino Linotype" w:hAnsi="Palatino Linotype" w:cs="Times New Roman"/>
          <w:noProof/>
          <w:szCs w:val="24"/>
        </w:rPr>
        <w:tab/>
        <w:t xml:space="preserve">K. Yamanaka, M. C. Vestergaard, and E. Tamiya, “Printable electrochemical biosensors: A focus on screen-printed electrodes and their application,” </w:t>
      </w:r>
      <w:r w:rsidRPr="000766C5">
        <w:rPr>
          <w:rFonts w:ascii="Palatino Linotype" w:hAnsi="Palatino Linotype" w:cs="Times New Roman"/>
          <w:i/>
          <w:iCs/>
          <w:noProof/>
          <w:szCs w:val="24"/>
        </w:rPr>
        <w:t>Sensors (Switzerland)</w:t>
      </w:r>
      <w:r w:rsidRPr="000766C5">
        <w:rPr>
          <w:rFonts w:ascii="Palatino Linotype" w:hAnsi="Palatino Linotype" w:cs="Times New Roman"/>
          <w:noProof/>
          <w:szCs w:val="24"/>
        </w:rPr>
        <w:t>, vol. 16, no. 10, pp. 1–16, 2016.</w:t>
      </w:r>
    </w:p>
    <w:p w14:paraId="5517C0E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[116]</w:t>
      </w:r>
      <w:r w:rsidRPr="000766C5">
        <w:rPr>
          <w:rFonts w:ascii="Palatino Linotype" w:hAnsi="Palatino Linotype" w:cs="Times New Roman"/>
          <w:noProof/>
          <w:szCs w:val="24"/>
        </w:rPr>
        <w:tab/>
        <w:t xml:space="preserve">P. K. Wilson, T. Jiang, M. E. Minunni, A. P. F. Turner, and M. Mascini, “A novel optical biosensor format for the detection of clinically relevant TP53 mutations,” </w:t>
      </w:r>
      <w:r w:rsidRPr="000766C5">
        <w:rPr>
          <w:rFonts w:ascii="Palatino Linotype" w:hAnsi="Palatino Linotype" w:cs="Times New Roman"/>
          <w:i/>
          <w:iCs/>
          <w:noProof/>
          <w:szCs w:val="24"/>
        </w:rPr>
        <w:t>Biosens. Bioelectron.</w:t>
      </w:r>
      <w:r w:rsidRPr="000766C5">
        <w:rPr>
          <w:rFonts w:ascii="Palatino Linotype" w:hAnsi="Palatino Linotype" w:cs="Times New Roman"/>
          <w:noProof/>
          <w:szCs w:val="24"/>
        </w:rPr>
        <w:t>, vol. 20, no. 11, pp. 2310–2313, 2005.</w:t>
      </w:r>
    </w:p>
    <w:p w14:paraId="0B4F279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[117]</w:t>
      </w:r>
      <w:r w:rsidRPr="000766C5">
        <w:rPr>
          <w:rFonts w:ascii="Palatino Linotype" w:hAnsi="Palatino Linotype" w:cs="Times New Roman"/>
          <w:noProof/>
          <w:szCs w:val="24"/>
        </w:rPr>
        <w:tab/>
        <w:t xml:space="preserve">C. S. Huertas, O. Calvo-Lozano, A. Mitchell, and L. M. Lechuga, “Advanced Evanescent-Wave Optical Biosensors for the Detection of Nucleic Acids: An Analytic Perspective,” </w:t>
      </w:r>
      <w:r w:rsidRPr="000766C5">
        <w:rPr>
          <w:rFonts w:ascii="Palatino Linotype" w:hAnsi="Palatino Linotype" w:cs="Times New Roman"/>
          <w:i/>
          <w:iCs/>
          <w:noProof/>
          <w:szCs w:val="24"/>
        </w:rPr>
        <w:t>Front. Chem.</w:t>
      </w:r>
      <w:r w:rsidRPr="000766C5">
        <w:rPr>
          <w:rFonts w:ascii="Palatino Linotype" w:hAnsi="Palatino Linotype" w:cs="Times New Roman"/>
          <w:noProof/>
          <w:szCs w:val="24"/>
        </w:rPr>
        <w:t>, vol. 7, p. 724, Oct. 2019.</w:t>
      </w:r>
    </w:p>
    <w:p w14:paraId="76AFB4D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[118]</w:t>
      </w:r>
      <w:r w:rsidRPr="000766C5">
        <w:rPr>
          <w:rFonts w:ascii="Palatino Linotype" w:hAnsi="Palatino Linotype" w:cs="Times New Roman"/>
          <w:noProof/>
          <w:szCs w:val="24"/>
        </w:rPr>
        <w:tab/>
        <w:t xml:space="preserve">Z. A. R. Jawad, I. G. Theodorou, L. R. Jiao, and F. Xie, “Highly Sensitive Plasmonic Detection of the Pancreatic Cancer Biomarker CA 19-9,”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7, no. 1, p. 14309, 2017.</w:t>
      </w:r>
    </w:p>
    <w:p w14:paraId="4DBA3B4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[119]</w:t>
      </w:r>
      <w:r w:rsidRPr="000766C5">
        <w:rPr>
          <w:rFonts w:ascii="Palatino Linotype" w:hAnsi="Palatino Linotype" w:cs="Times New Roman"/>
          <w:noProof/>
          <w:szCs w:val="24"/>
        </w:rPr>
        <w:tab/>
        <w:t xml:space="preserve">B. Bohunicky and S. A. Mousa, “Biosensors: The new wave in cancer diagnosis,” </w:t>
      </w:r>
      <w:r w:rsidRPr="000766C5">
        <w:rPr>
          <w:rFonts w:ascii="Palatino Linotype" w:hAnsi="Palatino Linotype" w:cs="Times New Roman"/>
          <w:i/>
          <w:iCs/>
          <w:noProof/>
          <w:szCs w:val="24"/>
        </w:rPr>
        <w:t>Nanotechnol. Sci. Appl.</w:t>
      </w:r>
      <w:r w:rsidRPr="000766C5">
        <w:rPr>
          <w:rFonts w:ascii="Palatino Linotype" w:hAnsi="Palatino Linotype" w:cs="Times New Roman"/>
          <w:noProof/>
          <w:szCs w:val="24"/>
        </w:rPr>
        <w:t>, vol. 4, no. 1, pp. 1–10, 2011.</w:t>
      </w:r>
    </w:p>
    <w:p w14:paraId="7C82020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[120]</w:t>
      </w:r>
      <w:r w:rsidRPr="000766C5">
        <w:rPr>
          <w:rFonts w:ascii="Palatino Linotype" w:hAnsi="Palatino Linotype" w:cs="Times New Roman"/>
          <w:noProof/>
          <w:szCs w:val="24"/>
        </w:rPr>
        <w:tab/>
        <w:t xml:space="preserve">D. Damborska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“Nanomaterial-based biosensors for detection of prostate specific antigen,” </w:t>
      </w:r>
      <w:r w:rsidRPr="000766C5">
        <w:rPr>
          <w:rFonts w:ascii="Palatino Linotype" w:hAnsi="Palatino Linotype" w:cs="Times New Roman"/>
          <w:i/>
          <w:iCs/>
          <w:noProof/>
          <w:szCs w:val="24"/>
        </w:rPr>
        <w:t>Mikrochim. Acta</w:t>
      </w:r>
      <w:r w:rsidRPr="000766C5">
        <w:rPr>
          <w:rFonts w:ascii="Palatino Linotype" w:hAnsi="Palatino Linotype" w:cs="Times New Roman"/>
          <w:noProof/>
          <w:szCs w:val="24"/>
        </w:rPr>
        <w:t>, vol. 184, no. 9, pp. 3049–3067, Jul. 2017.</w:t>
      </w:r>
    </w:p>
    <w:p w14:paraId="229435C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[121]</w:t>
      </w:r>
      <w:r w:rsidRPr="000766C5">
        <w:rPr>
          <w:rFonts w:ascii="Palatino Linotype" w:hAnsi="Palatino Linotype" w:cs="Times New Roman"/>
          <w:noProof/>
          <w:szCs w:val="24"/>
        </w:rPr>
        <w:tab/>
        <w:t xml:space="preserve">B. B. Nunna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“Detection of cancer antigens (CA-125) using gold nano particles on interdigitated electrode-based microfluidic biosensor,” </w:t>
      </w:r>
      <w:r w:rsidRPr="000766C5">
        <w:rPr>
          <w:rFonts w:ascii="Palatino Linotype" w:hAnsi="Palatino Linotype" w:cs="Times New Roman"/>
          <w:i/>
          <w:iCs/>
          <w:noProof/>
          <w:szCs w:val="24"/>
        </w:rPr>
        <w:t>Nano Converg.</w:t>
      </w:r>
      <w:r w:rsidRPr="000766C5">
        <w:rPr>
          <w:rFonts w:ascii="Palatino Linotype" w:hAnsi="Palatino Linotype" w:cs="Times New Roman"/>
          <w:noProof/>
          <w:szCs w:val="24"/>
        </w:rPr>
        <w:t>, vol. 6, no. 1, p. 3, Jan. 2019.</w:t>
      </w:r>
    </w:p>
    <w:p w14:paraId="2ADF394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[122]</w:t>
      </w:r>
      <w:r w:rsidRPr="000766C5">
        <w:rPr>
          <w:rFonts w:ascii="Palatino Linotype" w:hAnsi="Palatino Linotype" w:cs="Times New Roman"/>
          <w:noProof/>
          <w:szCs w:val="24"/>
        </w:rPr>
        <w:tab/>
        <w:t xml:space="preserve">A. Poturnayová, Ľ. Dzubinová, M. Buríková, J. Bízik, and T. Hianik, “Detection of Breast Cancer Cells Using Acoustics Aptasensor Specific to HER2 Receptors,” </w:t>
      </w:r>
      <w:r w:rsidRPr="000766C5">
        <w:rPr>
          <w:rFonts w:ascii="Palatino Linotype" w:hAnsi="Palatino Linotype" w:cs="Times New Roman"/>
          <w:i/>
          <w:iCs/>
          <w:noProof/>
          <w:szCs w:val="24"/>
        </w:rPr>
        <w:t xml:space="preserve">Biosensors </w:t>
      </w:r>
      <w:r w:rsidRPr="000766C5">
        <w:rPr>
          <w:rFonts w:ascii="Palatino Linotype" w:hAnsi="Palatino Linotype" w:cs="Times New Roman"/>
          <w:noProof/>
          <w:szCs w:val="24"/>
        </w:rPr>
        <w:t>, vol. 9, no. 2. 2019.</w:t>
      </w:r>
    </w:p>
    <w:p w14:paraId="50A6396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[123]</w:t>
      </w:r>
      <w:r w:rsidRPr="000766C5">
        <w:rPr>
          <w:rFonts w:ascii="Palatino Linotype" w:hAnsi="Palatino Linotype" w:cs="Times New Roman"/>
          <w:noProof/>
          <w:szCs w:val="24"/>
        </w:rPr>
        <w:tab/>
        <w:t xml:space="preserve">R. Salahandish, A. Ghaffarinejad, S. M. Naghib, K. Majidzadeh-A, H. Zargartalebi, and A. Sanati-Nezhad, “Nano-biosensor for highly sensitive detection of HER2 positive breast cancer,” </w:t>
      </w:r>
      <w:r w:rsidRPr="000766C5">
        <w:rPr>
          <w:rFonts w:ascii="Palatino Linotype" w:hAnsi="Palatino Linotype" w:cs="Times New Roman"/>
          <w:i/>
          <w:iCs/>
          <w:noProof/>
          <w:szCs w:val="24"/>
        </w:rPr>
        <w:t>Biosens. Bioelectron.</w:t>
      </w:r>
      <w:r w:rsidRPr="000766C5">
        <w:rPr>
          <w:rFonts w:ascii="Palatino Linotype" w:hAnsi="Palatino Linotype" w:cs="Times New Roman"/>
          <w:noProof/>
          <w:szCs w:val="24"/>
        </w:rPr>
        <w:t>, vol. 117, pp. 104–111, 2018.</w:t>
      </w:r>
    </w:p>
    <w:p w14:paraId="13F51CF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[124]</w:t>
      </w:r>
      <w:r w:rsidRPr="000766C5">
        <w:rPr>
          <w:rFonts w:ascii="Palatino Linotype" w:hAnsi="Palatino Linotype" w:cs="Times New Roman"/>
          <w:noProof/>
          <w:szCs w:val="24"/>
        </w:rPr>
        <w:tab/>
        <w:t xml:space="preserve">S. M. Traynor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“Review—Recent Advances in Electrochemical Detection of Prostate Specific Antigen (PSA) in Clinically-Relevant Samples,” </w:t>
      </w:r>
      <w:r w:rsidRPr="000766C5">
        <w:rPr>
          <w:rFonts w:ascii="Palatino Linotype" w:hAnsi="Palatino Linotype" w:cs="Times New Roman"/>
          <w:i/>
          <w:iCs/>
          <w:noProof/>
          <w:szCs w:val="24"/>
        </w:rPr>
        <w:t>J. Electrochem. Soc.</w:t>
      </w:r>
      <w:r w:rsidRPr="000766C5">
        <w:rPr>
          <w:rFonts w:ascii="Palatino Linotype" w:hAnsi="Palatino Linotype" w:cs="Times New Roman"/>
          <w:noProof/>
          <w:szCs w:val="24"/>
        </w:rPr>
        <w:t>, vol. 167, no. 3, p. 37551, 2020.</w:t>
      </w:r>
    </w:p>
    <w:p w14:paraId="3D6586A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[125]</w:t>
      </w:r>
      <w:r w:rsidRPr="000766C5">
        <w:rPr>
          <w:rFonts w:ascii="Palatino Linotype" w:hAnsi="Palatino Linotype" w:cs="Times New Roman"/>
          <w:noProof/>
          <w:szCs w:val="24"/>
        </w:rPr>
        <w:tab/>
        <w:t xml:space="preserve">N. Zeng and J. Xiang, “Detection of KRAS G12D point mutation level by anchor-like DNA electrochemical biosensor,” </w:t>
      </w:r>
      <w:r w:rsidRPr="000766C5">
        <w:rPr>
          <w:rFonts w:ascii="Palatino Linotype" w:hAnsi="Palatino Linotype" w:cs="Times New Roman"/>
          <w:i/>
          <w:iCs/>
          <w:noProof/>
          <w:szCs w:val="24"/>
        </w:rPr>
        <w:t>Talanta</w:t>
      </w:r>
      <w:r w:rsidRPr="000766C5">
        <w:rPr>
          <w:rFonts w:ascii="Palatino Linotype" w:hAnsi="Palatino Linotype" w:cs="Times New Roman"/>
          <w:noProof/>
          <w:szCs w:val="24"/>
        </w:rPr>
        <w:t>, vol. 198, pp. 111–117, 2019.</w:t>
      </w:r>
    </w:p>
    <w:p w14:paraId="7AEA7FD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[126]</w:t>
      </w:r>
      <w:r w:rsidRPr="000766C5">
        <w:rPr>
          <w:rFonts w:ascii="Palatino Linotype" w:hAnsi="Palatino Linotype" w:cs="Times New Roman"/>
          <w:noProof/>
          <w:szCs w:val="24"/>
        </w:rPr>
        <w:tab/>
        <w:t xml:space="preserve">L.-H. Pan, S.-H. Kuo, T.-Y. Lin, C.-W. Lin, P.-Y. Fang, and H.-W. Yang, “An electrochemical biosensor to simultaneously detect VEGF and PSA for early prostate cancer diagnosis based on graphene oxide/ssDNA/PLLA nanoparticles,” </w:t>
      </w:r>
      <w:r w:rsidRPr="000766C5">
        <w:rPr>
          <w:rFonts w:ascii="Palatino Linotype" w:hAnsi="Palatino Linotype" w:cs="Times New Roman"/>
          <w:i/>
          <w:iCs/>
          <w:noProof/>
          <w:szCs w:val="24"/>
        </w:rPr>
        <w:t>Biosens. Bioelectron.</w:t>
      </w:r>
      <w:r w:rsidRPr="000766C5">
        <w:rPr>
          <w:rFonts w:ascii="Palatino Linotype" w:hAnsi="Palatino Linotype" w:cs="Times New Roman"/>
          <w:noProof/>
          <w:szCs w:val="24"/>
        </w:rPr>
        <w:t>, vol. 89, pp. 598–605, 2017.</w:t>
      </w:r>
    </w:p>
    <w:p w14:paraId="1138360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[127]</w:t>
      </w:r>
      <w:r w:rsidRPr="000766C5">
        <w:rPr>
          <w:rFonts w:ascii="Palatino Linotype" w:hAnsi="Palatino Linotype" w:cs="Times New Roman"/>
          <w:noProof/>
          <w:szCs w:val="24"/>
        </w:rPr>
        <w:tab/>
        <w:t xml:space="preserve">P. Patel, “Biosensors and Biomarkers: Promising Tools for Cancer Diagnosis,” </w:t>
      </w:r>
      <w:r w:rsidRPr="000766C5">
        <w:rPr>
          <w:rFonts w:ascii="Palatino Linotype" w:hAnsi="Palatino Linotype" w:cs="Times New Roman"/>
          <w:i/>
          <w:iCs/>
          <w:noProof/>
          <w:szCs w:val="24"/>
        </w:rPr>
        <w:t>Int. J. Biosens. Bioelectron.</w:t>
      </w:r>
      <w:r w:rsidRPr="000766C5">
        <w:rPr>
          <w:rFonts w:ascii="Palatino Linotype" w:hAnsi="Palatino Linotype" w:cs="Times New Roman"/>
          <w:noProof/>
          <w:szCs w:val="24"/>
        </w:rPr>
        <w:t>, vol. 3, no. 4, pp. 313–316, 2017.</w:t>
      </w:r>
    </w:p>
    <w:p w14:paraId="347D5E0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[128]</w:t>
      </w:r>
      <w:r w:rsidRPr="000766C5">
        <w:rPr>
          <w:rFonts w:ascii="Palatino Linotype" w:hAnsi="Palatino Linotype" w:cs="Times New Roman"/>
          <w:noProof/>
          <w:szCs w:val="24"/>
        </w:rPr>
        <w:tab/>
        <w:t xml:space="preserve">M. A. de Muro, “Probe Design, Production, and Applications,” </w:t>
      </w:r>
      <w:r w:rsidRPr="000766C5">
        <w:rPr>
          <w:rFonts w:ascii="Palatino Linotype" w:hAnsi="Palatino Linotype" w:cs="Times New Roman"/>
          <w:i/>
          <w:iCs/>
          <w:noProof/>
          <w:szCs w:val="24"/>
        </w:rPr>
        <w:t>Mol. Biomethods Handb.</w:t>
      </w:r>
      <w:r w:rsidRPr="000766C5">
        <w:rPr>
          <w:rFonts w:ascii="Palatino Linotype" w:hAnsi="Palatino Linotype" w:cs="Times New Roman"/>
          <w:noProof/>
          <w:szCs w:val="24"/>
        </w:rPr>
        <w:t>, pp. 41–53, 2008.</w:t>
      </w:r>
    </w:p>
    <w:p w14:paraId="488CB77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[129]</w:t>
      </w:r>
      <w:r w:rsidRPr="000766C5">
        <w:rPr>
          <w:rFonts w:ascii="Palatino Linotype" w:hAnsi="Palatino Linotype" w:cs="Times New Roman"/>
          <w:noProof/>
          <w:szCs w:val="24"/>
        </w:rPr>
        <w:tab/>
        <w:t xml:space="preserve">J. I. A. Rashid and N. A. Yusof, “The strategies of DNA immobilization and hybridization detection mechanism in the construction of electrochemical DNA sensor: A review,” </w:t>
      </w:r>
      <w:r w:rsidRPr="000766C5">
        <w:rPr>
          <w:rFonts w:ascii="Palatino Linotype" w:hAnsi="Palatino Linotype" w:cs="Times New Roman"/>
          <w:i/>
          <w:iCs/>
          <w:noProof/>
          <w:szCs w:val="24"/>
        </w:rPr>
        <w:t>Sens. Bio-Sensing Res.</w:t>
      </w:r>
      <w:r w:rsidRPr="000766C5">
        <w:rPr>
          <w:rFonts w:ascii="Palatino Linotype" w:hAnsi="Palatino Linotype" w:cs="Times New Roman"/>
          <w:noProof/>
          <w:szCs w:val="24"/>
        </w:rPr>
        <w:t>, vol. 16, no. September, pp. 19–31, 2017.</w:t>
      </w:r>
    </w:p>
    <w:p w14:paraId="59680FC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[130]</w:t>
      </w:r>
      <w:r w:rsidRPr="000766C5">
        <w:rPr>
          <w:rFonts w:ascii="Palatino Linotype" w:hAnsi="Palatino Linotype" w:cs="Times New Roman"/>
          <w:noProof/>
          <w:szCs w:val="24"/>
        </w:rPr>
        <w:tab/>
        <w:t>Wadsworth Thomson Learning, “2 DNA strands with complementary base pairs,” 2004. [Online]. Available: https://i.pinimg.com/originals/73/6c/eb/736ceb06de3858d85d5b8669845f912c.jpg.</w:t>
      </w:r>
    </w:p>
    <w:p w14:paraId="0832F9B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[131]</w:t>
      </w:r>
      <w:r w:rsidRPr="000766C5">
        <w:rPr>
          <w:rFonts w:ascii="Palatino Linotype" w:hAnsi="Palatino Linotype" w:cs="Times New Roman"/>
          <w:noProof/>
          <w:szCs w:val="24"/>
        </w:rPr>
        <w:tab/>
        <w:t xml:space="preserve">X. Li, J. S. Lee, and H. B. Kraatz, “Electrochemical detection of single-nucleotide mismatches using an electrode microarray,” </w:t>
      </w:r>
      <w:r w:rsidRPr="000766C5">
        <w:rPr>
          <w:rFonts w:ascii="Palatino Linotype" w:hAnsi="Palatino Linotype" w:cs="Times New Roman"/>
          <w:i/>
          <w:iCs/>
          <w:noProof/>
          <w:szCs w:val="24"/>
        </w:rPr>
        <w:t>Anal. Chem.</w:t>
      </w:r>
      <w:r w:rsidRPr="000766C5">
        <w:rPr>
          <w:rFonts w:ascii="Palatino Linotype" w:hAnsi="Palatino Linotype" w:cs="Times New Roman"/>
          <w:noProof/>
          <w:szCs w:val="24"/>
        </w:rPr>
        <w:t>, vol. 78, no. 17, pp. 6096–6101, 2006.</w:t>
      </w:r>
    </w:p>
    <w:p w14:paraId="26A213C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[132]</w:t>
      </w:r>
      <w:r w:rsidRPr="000766C5">
        <w:rPr>
          <w:rFonts w:ascii="Palatino Linotype" w:hAnsi="Palatino Linotype" w:cs="Times New Roman"/>
          <w:noProof/>
          <w:szCs w:val="24"/>
        </w:rPr>
        <w:tab/>
        <w:t xml:space="preserve">Z. He, L. Wu, X. Li, M. W. Fields, and J. Zhou, “Empirical establishment of oligonucleotide probe design criteria,” </w:t>
      </w:r>
      <w:r w:rsidRPr="000766C5">
        <w:rPr>
          <w:rFonts w:ascii="Palatino Linotype" w:hAnsi="Palatino Linotype" w:cs="Times New Roman"/>
          <w:i/>
          <w:iCs/>
          <w:noProof/>
          <w:szCs w:val="24"/>
        </w:rPr>
        <w:t>Appl. Environ. Microbiol.</w:t>
      </w:r>
      <w:r w:rsidRPr="000766C5">
        <w:rPr>
          <w:rFonts w:ascii="Palatino Linotype" w:hAnsi="Palatino Linotype" w:cs="Times New Roman"/>
          <w:noProof/>
          <w:szCs w:val="24"/>
        </w:rPr>
        <w:t>, vol. 71, no. 7, pp. 3753–3760, Jul. 2005.</w:t>
      </w:r>
    </w:p>
    <w:p w14:paraId="32DDABA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[133]</w:t>
      </w:r>
      <w:r w:rsidRPr="000766C5">
        <w:rPr>
          <w:rFonts w:ascii="Palatino Linotype" w:hAnsi="Palatino Linotype" w:cs="Times New Roman"/>
          <w:noProof/>
          <w:szCs w:val="24"/>
        </w:rPr>
        <w:tab/>
        <w:t xml:space="preserve">S. Feng and E. R. M. Tillier, “A fast and flexible approach to oligonucleotide probe design for genomes and gene families,” </w:t>
      </w:r>
      <w:r w:rsidRPr="000766C5">
        <w:rPr>
          <w:rFonts w:ascii="Palatino Linotype" w:hAnsi="Palatino Linotype" w:cs="Times New Roman"/>
          <w:i/>
          <w:iCs/>
          <w:noProof/>
          <w:szCs w:val="24"/>
        </w:rPr>
        <w:t>Bioinformatics</w:t>
      </w:r>
      <w:r w:rsidRPr="000766C5">
        <w:rPr>
          <w:rFonts w:ascii="Palatino Linotype" w:hAnsi="Palatino Linotype" w:cs="Times New Roman"/>
          <w:noProof/>
          <w:szCs w:val="24"/>
        </w:rPr>
        <w:t>, vol. 23, no. 10, pp. 1195–1202, May 2007.</w:t>
      </w:r>
    </w:p>
    <w:p w14:paraId="7D0E46B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[134]</w:t>
      </w:r>
      <w:r w:rsidRPr="000766C5">
        <w:rPr>
          <w:rFonts w:ascii="Palatino Linotype" w:hAnsi="Palatino Linotype" w:cs="Times New Roman"/>
          <w:noProof/>
          <w:szCs w:val="24"/>
        </w:rPr>
        <w:tab/>
        <w:t xml:space="preserve">T. Strother, R. J. Hamers, and L. M. Smith, “Covalent attachment of oligodeoxyribonucleotides to amine-modified Si (001) surfaces,” </w:t>
      </w:r>
      <w:r w:rsidRPr="000766C5">
        <w:rPr>
          <w:rFonts w:ascii="Palatino Linotype" w:hAnsi="Palatino Linotype" w:cs="Times New Roman"/>
          <w:i/>
          <w:iCs/>
          <w:noProof/>
          <w:szCs w:val="24"/>
        </w:rPr>
        <w:t>Nucleic Acids Res.</w:t>
      </w:r>
      <w:r w:rsidRPr="000766C5">
        <w:rPr>
          <w:rFonts w:ascii="Palatino Linotype" w:hAnsi="Palatino Linotype" w:cs="Times New Roman"/>
          <w:noProof/>
          <w:szCs w:val="24"/>
        </w:rPr>
        <w:t>, vol. 28, no. 18, pp. 3535–3541, Sep. 2000.</w:t>
      </w:r>
    </w:p>
    <w:p w14:paraId="27BC6ED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[135]</w:t>
      </w:r>
      <w:r w:rsidRPr="000766C5">
        <w:rPr>
          <w:rFonts w:ascii="Palatino Linotype" w:hAnsi="Palatino Linotype" w:cs="Times New Roman"/>
          <w:noProof/>
          <w:szCs w:val="24"/>
        </w:rPr>
        <w:tab/>
        <w:t xml:space="preserve">C. W. Dieffenbach, T. M. J. Lowe, and G. S. Dveksler, “General concepts for PCR primer design,” </w:t>
      </w:r>
      <w:r w:rsidRPr="000766C5">
        <w:rPr>
          <w:rFonts w:ascii="Palatino Linotype" w:hAnsi="Palatino Linotype" w:cs="Times New Roman"/>
          <w:i/>
          <w:iCs/>
          <w:noProof/>
          <w:szCs w:val="24"/>
        </w:rPr>
        <w:t>Genome Res.</w:t>
      </w:r>
      <w:r w:rsidRPr="000766C5">
        <w:rPr>
          <w:rFonts w:ascii="Palatino Linotype" w:hAnsi="Palatino Linotype" w:cs="Times New Roman"/>
          <w:noProof/>
          <w:szCs w:val="24"/>
        </w:rPr>
        <w:t>, vol. 3, no. 3, 1993.</w:t>
      </w:r>
    </w:p>
    <w:p w14:paraId="02F41D9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[136]</w:t>
      </w:r>
      <w:r w:rsidRPr="000766C5">
        <w:rPr>
          <w:rFonts w:ascii="Palatino Linotype" w:hAnsi="Palatino Linotype" w:cs="Times New Roman"/>
          <w:noProof/>
          <w:szCs w:val="24"/>
        </w:rPr>
        <w:tab/>
        <w:t xml:space="preserve">K. A. A. Elsalam, “Bioinformatic tools and guideline for PCR primer design,” </w:t>
      </w:r>
      <w:r w:rsidRPr="000766C5">
        <w:rPr>
          <w:rFonts w:ascii="Palatino Linotype" w:hAnsi="Palatino Linotype" w:cs="Times New Roman"/>
          <w:i/>
          <w:iCs/>
          <w:noProof/>
          <w:szCs w:val="24"/>
        </w:rPr>
        <w:t>African J. Biotechnol.</w:t>
      </w:r>
      <w:r w:rsidRPr="000766C5">
        <w:rPr>
          <w:rFonts w:ascii="Palatino Linotype" w:hAnsi="Palatino Linotype" w:cs="Times New Roman"/>
          <w:noProof/>
          <w:szCs w:val="24"/>
        </w:rPr>
        <w:t>, vol. 2, no. 5, pp. 91–95, 2003.</w:t>
      </w:r>
    </w:p>
    <w:p w14:paraId="6A1F351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[137]</w:t>
      </w:r>
      <w:r w:rsidRPr="000766C5">
        <w:rPr>
          <w:rFonts w:ascii="Palatino Linotype" w:hAnsi="Palatino Linotype" w:cs="Times New Roman"/>
          <w:noProof/>
          <w:szCs w:val="24"/>
        </w:rPr>
        <w:tab/>
        <w:t>B. C. Delidow, J. P. Lynch, J. J. Peluso, and B. A. White, “Polymerase Chain Reaction BT  - PCR Protocols: Current Methods and Applications,” B. A. White, Ed. Totowa, NJ: Humana Press, 1993, pp. 1–29.</w:t>
      </w:r>
    </w:p>
    <w:p w14:paraId="4A4599E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[138]</w:t>
      </w:r>
      <w:r w:rsidRPr="000766C5">
        <w:rPr>
          <w:rFonts w:ascii="Palatino Linotype" w:hAnsi="Palatino Linotype" w:cs="Times New Roman"/>
          <w:noProof/>
          <w:szCs w:val="24"/>
        </w:rPr>
        <w:tab/>
        <w:t xml:space="preserve">A. Tankeshwar, “Polymerase Chain Reaction (PCR),” </w:t>
      </w:r>
      <w:r w:rsidRPr="000766C5">
        <w:rPr>
          <w:rFonts w:ascii="Palatino Linotype" w:hAnsi="Palatino Linotype" w:cs="Times New Roman"/>
          <w:i/>
          <w:iCs/>
          <w:noProof/>
          <w:szCs w:val="24"/>
        </w:rPr>
        <w:t>microbeonline</w:t>
      </w:r>
      <w:r w:rsidRPr="000766C5">
        <w:rPr>
          <w:rFonts w:ascii="Palatino Linotype" w:hAnsi="Palatino Linotype" w:cs="Times New Roman"/>
          <w:noProof/>
          <w:szCs w:val="24"/>
        </w:rPr>
        <w:t>, 2021. [Online]. Available: https://microbeonline.com/polymerase-chain-reaction-pcr-steps-types-applications/.</w:t>
      </w:r>
    </w:p>
    <w:p w14:paraId="6B2D901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[139]</w:t>
      </w:r>
      <w:r w:rsidRPr="000766C5">
        <w:rPr>
          <w:rFonts w:ascii="Palatino Linotype" w:hAnsi="Palatino Linotype" w:cs="Times New Roman"/>
          <w:noProof/>
          <w:szCs w:val="24"/>
        </w:rPr>
        <w:tab/>
        <w:t>T. Limited, “TwistDx,” 2020. [Online]. Available: https://www.twistdx.co.uk/en/rpa.</w:t>
      </w:r>
    </w:p>
    <w:p w14:paraId="4DFD175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[140]</w:t>
      </w:r>
      <w:r w:rsidRPr="000766C5">
        <w:rPr>
          <w:rFonts w:ascii="Palatino Linotype" w:hAnsi="Palatino Linotype" w:cs="Times New Roman"/>
          <w:noProof/>
          <w:szCs w:val="24"/>
        </w:rPr>
        <w:tab/>
        <w:t xml:space="preserve">J. Compton, “Nucleic acid sequence-based amplification,” </w:t>
      </w:r>
      <w:r w:rsidRPr="000766C5">
        <w:rPr>
          <w:rFonts w:ascii="Palatino Linotype" w:hAnsi="Palatino Linotype" w:cs="Times New Roman"/>
          <w:i/>
          <w:iCs/>
          <w:noProof/>
          <w:szCs w:val="24"/>
        </w:rPr>
        <w:t>Nature</w:t>
      </w:r>
      <w:r w:rsidRPr="000766C5">
        <w:rPr>
          <w:rFonts w:ascii="Palatino Linotype" w:hAnsi="Palatino Linotype" w:cs="Times New Roman"/>
          <w:noProof/>
          <w:szCs w:val="24"/>
        </w:rPr>
        <w:t>, vol. 350, no. 6313, pp. 91–92, 1991.</w:t>
      </w:r>
    </w:p>
    <w:p w14:paraId="0175814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[141]</w:t>
      </w:r>
      <w:r w:rsidRPr="000766C5">
        <w:rPr>
          <w:rFonts w:ascii="Palatino Linotype" w:hAnsi="Palatino Linotype" w:cs="Times New Roman"/>
          <w:noProof/>
          <w:szCs w:val="24"/>
        </w:rPr>
        <w:tab/>
        <w:t xml:space="preserve">T. Notomi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“Loop-mediated isothermal amplification of DNA,” </w:t>
      </w:r>
      <w:r w:rsidRPr="000766C5">
        <w:rPr>
          <w:rFonts w:ascii="Palatino Linotype" w:hAnsi="Palatino Linotype" w:cs="Times New Roman"/>
          <w:i/>
          <w:iCs/>
          <w:noProof/>
          <w:szCs w:val="24"/>
        </w:rPr>
        <w:t>Nucleic Acids Res.</w:t>
      </w:r>
      <w:r w:rsidRPr="000766C5">
        <w:rPr>
          <w:rFonts w:ascii="Palatino Linotype" w:hAnsi="Palatino Linotype" w:cs="Times New Roman"/>
          <w:noProof/>
          <w:szCs w:val="24"/>
        </w:rPr>
        <w:t>, vol. 28, no. 12, pp. E63–E63, Jun. 2000.</w:t>
      </w:r>
    </w:p>
    <w:p w14:paraId="13ED79B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[142]</w:t>
      </w:r>
      <w:r w:rsidRPr="000766C5">
        <w:rPr>
          <w:rFonts w:ascii="Palatino Linotype" w:hAnsi="Palatino Linotype" w:cs="Times New Roman"/>
          <w:noProof/>
          <w:szCs w:val="24"/>
        </w:rPr>
        <w:tab/>
        <w:t xml:space="preserve">G. T. Walker, M. S. Fraiser, J. L. Schram, M. C. Little, J. G. Nadeau, and D. P. Malinowski, “Strand displacement amplification--an isothermal, in vitro DNA amplification technique,” </w:t>
      </w:r>
      <w:r w:rsidRPr="000766C5">
        <w:rPr>
          <w:rFonts w:ascii="Palatino Linotype" w:hAnsi="Palatino Linotype" w:cs="Times New Roman"/>
          <w:i/>
          <w:iCs/>
          <w:noProof/>
          <w:szCs w:val="24"/>
        </w:rPr>
        <w:t>Nucleic Acids Res.</w:t>
      </w:r>
      <w:r w:rsidRPr="000766C5">
        <w:rPr>
          <w:rFonts w:ascii="Palatino Linotype" w:hAnsi="Palatino Linotype" w:cs="Times New Roman"/>
          <w:noProof/>
          <w:szCs w:val="24"/>
        </w:rPr>
        <w:t>, vol. 20, no. 7, pp. 1691–1696, Apr. 1992.</w:t>
      </w:r>
    </w:p>
    <w:p w14:paraId="1863B4D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[143]</w:t>
      </w:r>
      <w:r w:rsidRPr="000766C5">
        <w:rPr>
          <w:rFonts w:ascii="Palatino Linotype" w:hAnsi="Palatino Linotype" w:cs="Times New Roman"/>
          <w:noProof/>
          <w:szCs w:val="24"/>
        </w:rPr>
        <w:tab/>
        <w:t xml:space="preserve">C. Spits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“Whole-genome multiple displacement amplification from single cells,” </w:t>
      </w:r>
      <w:r w:rsidRPr="000766C5">
        <w:rPr>
          <w:rFonts w:ascii="Palatino Linotype" w:hAnsi="Palatino Linotype" w:cs="Times New Roman"/>
          <w:i/>
          <w:iCs/>
          <w:noProof/>
          <w:szCs w:val="24"/>
        </w:rPr>
        <w:t>Nat. Protoc.</w:t>
      </w:r>
      <w:r w:rsidRPr="000766C5">
        <w:rPr>
          <w:rFonts w:ascii="Palatino Linotype" w:hAnsi="Palatino Linotype" w:cs="Times New Roman"/>
          <w:noProof/>
          <w:szCs w:val="24"/>
        </w:rPr>
        <w:t>, vol. 1, no. 4, pp. 1965–1970, 2006.</w:t>
      </w:r>
    </w:p>
    <w:p w14:paraId="441E043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[144]</w:t>
      </w:r>
      <w:r w:rsidRPr="000766C5">
        <w:rPr>
          <w:rFonts w:ascii="Palatino Linotype" w:hAnsi="Palatino Linotype" w:cs="Times New Roman"/>
          <w:noProof/>
          <w:szCs w:val="24"/>
        </w:rPr>
        <w:tab/>
        <w:t xml:space="preserve">M. Fakruddin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“Nucleic acid amplification: Alternative methods of polymerase chain reaction,” </w:t>
      </w:r>
      <w:r w:rsidRPr="000766C5">
        <w:rPr>
          <w:rFonts w:ascii="Palatino Linotype" w:hAnsi="Palatino Linotype" w:cs="Times New Roman"/>
          <w:i/>
          <w:iCs/>
          <w:noProof/>
          <w:szCs w:val="24"/>
        </w:rPr>
        <w:t>J. Pharm. Bioallied Sci.</w:t>
      </w:r>
      <w:r w:rsidRPr="000766C5">
        <w:rPr>
          <w:rFonts w:ascii="Palatino Linotype" w:hAnsi="Palatino Linotype" w:cs="Times New Roman"/>
          <w:noProof/>
          <w:szCs w:val="24"/>
        </w:rPr>
        <w:t>, vol. 5, no. 4, pp. 245–252, Oct. 2013.</w:t>
      </w:r>
    </w:p>
    <w:p w14:paraId="4E93D10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[145]</w:t>
      </w:r>
      <w:r w:rsidRPr="000766C5">
        <w:rPr>
          <w:rFonts w:ascii="Palatino Linotype" w:hAnsi="Palatino Linotype" w:cs="Times New Roman"/>
          <w:noProof/>
          <w:szCs w:val="24"/>
        </w:rPr>
        <w:tab/>
        <w:t>E. R. Dorothee Grieshaber, Robert MacKenzie, Janos Voros, “Electrochemical Biosensors - Sensor Principles and Architectures,” no. March, pp. 1400–1458, 2008.</w:t>
      </w:r>
    </w:p>
    <w:p w14:paraId="17C81B5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[146]</w:t>
      </w:r>
      <w:r w:rsidRPr="000766C5">
        <w:rPr>
          <w:rFonts w:ascii="Palatino Linotype" w:hAnsi="Palatino Linotype" w:cs="Times New Roman"/>
          <w:noProof/>
          <w:szCs w:val="24"/>
        </w:rPr>
        <w:tab/>
        <w:t xml:space="preserve">N. Elgrishi, K. Hammon, B. McCarthy, T. Eisenhart, and J. Dempsey, “A Practical Beginner’s Guide to Cyclic Voltammetry,” </w:t>
      </w:r>
      <w:r w:rsidRPr="000766C5">
        <w:rPr>
          <w:rFonts w:ascii="Palatino Linotype" w:hAnsi="Palatino Linotype" w:cs="Times New Roman"/>
          <w:i/>
          <w:iCs/>
          <w:noProof/>
          <w:szCs w:val="24"/>
        </w:rPr>
        <w:t>J. Chem. Educ.</w:t>
      </w:r>
      <w:r w:rsidRPr="000766C5">
        <w:rPr>
          <w:rFonts w:ascii="Palatino Linotype" w:hAnsi="Palatino Linotype" w:cs="Times New Roman"/>
          <w:noProof/>
          <w:szCs w:val="24"/>
        </w:rPr>
        <w:t>, pp. 1–10, 2017.</w:t>
      </w:r>
    </w:p>
    <w:p w14:paraId="72CDD23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[147]</w:t>
      </w:r>
      <w:r w:rsidRPr="000766C5">
        <w:rPr>
          <w:rFonts w:ascii="Palatino Linotype" w:hAnsi="Palatino Linotype" w:cs="Times New Roman"/>
          <w:noProof/>
          <w:szCs w:val="24"/>
        </w:rPr>
        <w:tab/>
        <w:t>Dropsens, “Screen-printed electrodes,” 2019. [Online]. Available: http://www.dropsens.com/en/screen_printed_electrodes_pag.html. [Accessed: 07-Oct-2019].</w:t>
      </w:r>
    </w:p>
    <w:p w14:paraId="5D065A4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[148]</w:t>
      </w:r>
      <w:r w:rsidRPr="000766C5">
        <w:rPr>
          <w:rFonts w:ascii="Palatino Linotype" w:hAnsi="Palatino Linotype" w:cs="Times New Roman"/>
          <w:noProof/>
          <w:szCs w:val="24"/>
        </w:rPr>
        <w:tab/>
        <w:t xml:space="preserve">B. G. Pollet and O. J. Curnick, “Introduction to Electrochemistry,” </w:t>
      </w:r>
      <w:r w:rsidRPr="000766C5">
        <w:rPr>
          <w:rFonts w:ascii="Palatino Linotype" w:hAnsi="Palatino Linotype" w:cs="Times New Roman"/>
          <w:i/>
          <w:iCs/>
          <w:noProof/>
          <w:szCs w:val="24"/>
        </w:rPr>
        <w:t>Power Ultrasound Electrochem. From Versatile Lab. Tool to Eng. Solut.</w:t>
      </w:r>
      <w:r w:rsidRPr="000766C5">
        <w:rPr>
          <w:rFonts w:ascii="Palatino Linotype" w:hAnsi="Palatino Linotype" w:cs="Times New Roman"/>
          <w:noProof/>
          <w:szCs w:val="24"/>
        </w:rPr>
        <w:t>, vol. 1, no. 3, pp. 1–20, 2012.</w:t>
      </w:r>
    </w:p>
    <w:p w14:paraId="57C1342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[149]</w:t>
      </w:r>
      <w:r w:rsidRPr="000766C5">
        <w:rPr>
          <w:rFonts w:ascii="Palatino Linotype" w:hAnsi="Palatino Linotype" w:cs="Times New Roman"/>
          <w:noProof/>
          <w:szCs w:val="24"/>
        </w:rPr>
        <w:tab/>
        <w:t xml:space="preserve">K. K. Kasem and S. Jones, “Platinum as a reference electrode in electrochemical measurements,” </w:t>
      </w:r>
      <w:r w:rsidRPr="000766C5">
        <w:rPr>
          <w:rFonts w:ascii="Palatino Linotype" w:hAnsi="Palatino Linotype" w:cs="Times New Roman"/>
          <w:i/>
          <w:iCs/>
          <w:noProof/>
          <w:szCs w:val="24"/>
        </w:rPr>
        <w:t>Platin. Met. Rev.</w:t>
      </w:r>
      <w:r w:rsidRPr="000766C5">
        <w:rPr>
          <w:rFonts w:ascii="Palatino Linotype" w:hAnsi="Palatino Linotype" w:cs="Times New Roman"/>
          <w:noProof/>
          <w:szCs w:val="24"/>
        </w:rPr>
        <w:t>, vol. 52, no. 2, pp. 100–106, 2008.</w:t>
      </w:r>
    </w:p>
    <w:p w14:paraId="29FB5D8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[150]</w:t>
      </w:r>
      <w:r w:rsidRPr="000766C5">
        <w:rPr>
          <w:rFonts w:ascii="Palatino Linotype" w:hAnsi="Palatino Linotype" w:cs="Times New Roman"/>
          <w:noProof/>
          <w:szCs w:val="24"/>
        </w:rPr>
        <w:tab/>
        <w:t>L. Crossley, B. Attoye, V. Vezza, E. Blair, D. K. Corrigan, and S. Hannah, “Establishing a Field-Effect Transistor Sensor for the Detection of Mutations in the Tumour Protein 53 Gene ( TP53 )— An Electrochemical Optimisation Approach,” 2019.</w:t>
      </w:r>
    </w:p>
    <w:p w14:paraId="2B40640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[151]</w:t>
      </w:r>
      <w:r w:rsidRPr="000766C5">
        <w:rPr>
          <w:rFonts w:ascii="Palatino Linotype" w:hAnsi="Palatino Linotype" w:cs="Times New Roman"/>
          <w:noProof/>
          <w:szCs w:val="24"/>
        </w:rPr>
        <w:tab/>
        <w:t xml:space="preserve">C. Russell, A. C. Ward, V. Vezza, P. Hoskisson, and D. Alcorn, “Biosensors and Bioelectronics Development of a needle shaped microelectrode for electrochemical detection of the sepsis biomarker interleukin-6 ( IL-6 ) in real time,” </w:t>
      </w:r>
      <w:r w:rsidRPr="000766C5">
        <w:rPr>
          <w:rFonts w:ascii="Palatino Linotype" w:hAnsi="Palatino Linotype" w:cs="Times New Roman"/>
          <w:i/>
          <w:iCs/>
          <w:noProof/>
          <w:szCs w:val="24"/>
        </w:rPr>
        <w:t>Biosens. Bioelectron.</w:t>
      </w:r>
      <w:r w:rsidRPr="000766C5">
        <w:rPr>
          <w:rFonts w:ascii="Palatino Linotype" w:hAnsi="Palatino Linotype" w:cs="Times New Roman"/>
          <w:noProof/>
          <w:szCs w:val="24"/>
        </w:rPr>
        <w:t>, vol. 126, no. September 2018, pp. 806–814, 2019.</w:t>
      </w:r>
    </w:p>
    <w:p w14:paraId="6049514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[152]</w:t>
      </w:r>
      <w:r w:rsidRPr="000766C5">
        <w:rPr>
          <w:rFonts w:ascii="Palatino Linotype" w:hAnsi="Palatino Linotype" w:cs="Times New Roman"/>
          <w:noProof/>
          <w:szCs w:val="24"/>
        </w:rPr>
        <w:tab/>
        <w:t>A. Butterworth and A. C. Ward, “Analytical Methods Electrochemical detection of oxacillin resistance with SimpleStat</w:t>
      </w:r>
      <w:r w:rsidRPr="000766C5">
        <w:rPr>
          <w:rFonts w:ascii="Times New Roman" w:hAnsi="Times New Roman" w:cs="Times New Roman"/>
          <w:noProof/>
          <w:szCs w:val="24"/>
        </w:rPr>
        <w:t> </w:t>
      </w:r>
      <w:r w:rsidRPr="000766C5">
        <w:rPr>
          <w:rFonts w:ascii="Palatino Linotype" w:hAnsi="Palatino Linotype" w:cs="Times New Roman"/>
          <w:noProof/>
          <w:szCs w:val="24"/>
        </w:rPr>
        <w:t xml:space="preserve">: a low cost integrated potentiostat and sensor platform †,” </w:t>
      </w:r>
      <w:r w:rsidRPr="000766C5">
        <w:rPr>
          <w:rFonts w:ascii="Palatino Linotype" w:hAnsi="Palatino Linotype" w:cs="Times New Roman"/>
          <w:i/>
          <w:iCs/>
          <w:noProof/>
          <w:szCs w:val="24"/>
        </w:rPr>
        <w:t>Anal. Methods</w:t>
      </w:r>
      <w:r w:rsidRPr="000766C5">
        <w:rPr>
          <w:rFonts w:ascii="Palatino Linotype" w:hAnsi="Palatino Linotype" w:cs="Times New Roman"/>
          <w:noProof/>
          <w:szCs w:val="24"/>
        </w:rPr>
        <w:t>, vol. 11, pp. 1958–1965, 2019.</w:t>
      </w:r>
    </w:p>
    <w:p w14:paraId="77C0059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[153]</w:t>
      </w:r>
      <w:r w:rsidRPr="000766C5">
        <w:rPr>
          <w:rFonts w:ascii="Palatino Linotype" w:hAnsi="Palatino Linotype" w:cs="Times New Roman"/>
          <w:noProof/>
          <w:szCs w:val="24"/>
        </w:rPr>
        <w:tab/>
        <w:t xml:space="preserve">A. Khanmohammadi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“Electrochemical biosensors for the detection of lung cancer biomarkers: A review,” </w:t>
      </w:r>
      <w:r w:rsidRPr="000766C5">
        <w:rPr>
          <w:rFonts w:ascii="Palatino Linotype" w:hAnsi="Palatino Linotype" w:cs="Times New Roman"/>
          <w:i/>
          <w:iCs/>
          <w:noProof/>
          <w:szCs w:val="24"/>
        </w:rPr>
        <w:t>Talanta</w:t>
      </w:r>
      <w:r w:rsidRPr="000766C5">
        <w:rPr>
          <w:rFonts w:ascii="Palatino Linotype" w:hAnsi="Palatino Linotype" w:cs="Times New Roman"/>
          <w:noProof/>
          <w:szCs w:val="24"/>
        </w:rPr>
        <w:t>, vol. 206, no. July 2019, p. 120251, 2020.</w:t>
      </w:r>
    </w:p>
    <w:p w14:paraId="1CA3EBF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[154]</w:t>
      </w:r>
      <w:r w:rsidRPr="000766C5">
        <w:rPr>
          <w:rFonts w:ascii="Palatino Linotype" w:hAnsi="Palatino Linotype" w:cs="Times New Roman"/>
          <w:noProof/>
          <w:szCs w:val="24"/>
        </w:rPr>
        <w:tab/>
        <w:t xml:space="preserve">B. Attoye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“Developing a Low-Cost, Simple-to-Use Electrochemical Sensor for the Detection of Circulating Tumour DNA in Human Fluids,” </w:t>
      </w:r>
      <w:r w:rsidRPr="000766C5">
        <w:rPr>
          <w:rFonts w:ascii="Palatino Linotype" w:hAnsi="Palatino Linotype" w:cs="Times New Roman"/>
          <w:i/>
          <w:iCs/>
          <w:noProof/>
          <w:szCs w:val="24"/>
        </w:rPr>
        <w:t>Biosensors</w:t>
      </w:r>
      <w:r w:rsidRPr="000766C5">
        <w:rPr>
          <w:rFonts w:ascii="Palatino Linotype" w:hAnsi="Palatino Linotype" w:cs="Times New Roman"/>
          <w:noProof/>
          <w:szCs w:val="24"/>
        </w:rPr>
        <w:t>, vol. 10, no. 11, 2020.</w:t>
      </w:r>
    </w:p>
    <w:p w14:paraId="57A048D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[155]</w:t>
      </w:r>
      <w:r w:rsidRPr="000766C5">
        <w:rPr>
          <w:rFonts w:ascii="Palatino Linotype" w:hAnsi="Palatino Linotype" w:cs="Times New Roman"/>
          <w:noProof/>
          <w:szCs w:val="24"/>
        </w:rPr>
        <w:tab/>
        <w:t xml:space="preserve">Y. Yan, S. Ding, D. Zhao, R. Yuan, Y. Zhang, and W. Cheng, “Direct ultrasensitive electrochemical biosensing of pathogenic DNA using homogeneous target-initiated transcription amplification,”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6, no. January, pp. 1–9, 2016.</w:t>
      </w:r>
    </w:p>
    <w:p w14:paraId="3B17E98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[156]</w:t>
      </w:r>
      <w:r w:rsidRPr="000766C5">
        <w:rPr>
          <w:rFonts w:ascii="Palatino Linotype" w:hAnsi="Palatino Linotype" w:cs="Times New Roman"/>
          <w:noProof/>
          <w:szCs w:val="24"/>
        </w:rPr>
        <w:tab/>
        <w:t xml:space="preserve">M. V. Voinova, “On Mass Loading and Dissipation Measured with Acoustic Wave Sensors: A Review,” </w:t>
      </w:r>
      <w:r w:rsidRPr="000766C5">
        <w:rPr>
          <w:rFonts w:ascii="Palatino Linotype" w:hAnsi="Palatino Linotype" w:cs="Times New Roman"/>
          <w:i/>
          <w:iCs/>
          <w:noProof/>
          <w:szCs w:val="24"/>
        </w:rPr>
        <w:t>J. Sensors</w:t>
      </w:r>
      <w:r w:rsidRPr="000766C5">
        <w:rPr>
          <w:rFonts w:ascii="Palatino Linotype" w:hAnsi="Palatino Linotype" w:cs="Times New Roman"/>
          <w:noProof/>
          <w:szCs w:val="24"/>
        </w:rPr>
        <w:t>, vol. 2009, Jun. 2009.</w:t>
      </w:r>
    </w:p>
    <w:p w14:paraId="1F65BB9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[157]</w:t>
      </w:r>
      <w:r w:rsidRPr="000766C5">
        <w:rPr>
          <w:rFonts w:ascii="Palatino Linotype" w:hAnsi="Palatino Linotype" w:cs="Times New Roman"/>
          <w:noProof/>
          <w:szCs w:val="24"/>
        </w:rPr>
        <w:tab/>
        <w:t xml:space="preserve">J. Quinchia, D. Echeverri, A. F. Cruz-Pacheco, M. E. Maldonado, and J. A. Orozco, “Electrochemical biosensors for determination of colorectal tumor biomarkers,” </w:t>
      </w:r>
      <w:r w:rsidRPr="000766C5">
        <w:rPr>
          <w:rFonts w:ascii="Palatino Linotype" w:hAnsi="Palatino Linotype" w:cs="Times New Roman"/>
          <w:i/>
          <w:iCs/>
          <w:noProof/>
          <w:szCs w:val="24"/>
        </w:rPr>
        <w:t>Micromachines</w:t>
      </w:r>
      <w:r w:rsidRPr="000766C5">
        <w:rPr>
          <w:rFonts w:ascii="Palatino Linotype" w:hAnsi="Palatino Linotype" w:cs="Times New Roman"/>
          <w:noProof/>
          <w:szCs w:val="24"/>
        </w:rPr>
        <w:t>, vol. 11, no. 4, pp. 1–46, 2020.</w:t>
      </w:r>
    </w:p>
    <w:p w14:paraId="1CD9DBB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[158]</w:t>
      </w:r>
      <w:r w:rsidRPr="000766C5">
        <w:rPr>
          <w:rFonts w:ascii="Palatino Linotype" w:hAnsi="Palatino Linotype" w:cs="Times New Roman"/>
          <w:noProof/>
          <w:szCs w:val="24"/>
        </w:rPr>
        <w:tab/>
        <w:t xml:space="preserve">Z. Wang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 Sequence‐Selective Electrochemical DNA Biosensor Based on HRP‐Labeled Probe for Colorectal Cancer DNA Detection,” </w:t>
      </w:r>
      <w:r w:rsidRPr="000766C5">
        <w:rPr>
          <w:rFonts w:ascii="Palatino Linotype" w:hAnsi="Palatino Linotype" w:cs="Times New Roman"/>
          <w:i/>
          <w:iCs/>
          <w:noProof/>
          <w:szCs w:val="24"/>
        </w:rPr>
        <w:t>Anal. Lett.</w:t>
      </w:r>
      <w:r w:rsidRPr="000766C5">
        <w:rPr>
          <w:rFonts w:ascii="Palatino Linotype" w:hAnsi="Palatino Linotype" w:cs="Times New Roman"/>
          <w:noProof/>
          <w:szCs w:val="24"/>
        </w:rPr>
        <w:t>, vol. 41, no. 1, pp. 24–35, Jan. 2008.</w:t>
      </w:r>
    </w:p>
    <w:p w14:paraId="6CCE786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[159]</w:t>
      </w:r>
      <w:r w:rsidRPr="000766C5">
        <w:rPr>
          <w:rFonts w:ascii="Palatino Linotype" w:hAnsi="Palatino Linotype" w:cs="Times New Roman"/>
          <w:noProof/>
          <w:szCs w:val="24"/>
        </w:rPr>
        <w:tab/>
        <w:t xml:space="preserve">H. Schwarzenbach, D. S. B. Hoon, and K. Pantel, “Cell-free nucleic acids as biomarkers in cancer patients,” </w:t>
      </w:r>
      <w:r w:rsidRPr="000766C5">
        <w:rPr>
          <w:rFonts w:ascii="Palatino Linotype" w:hAnsi="Palatino Linotype" w:cs="Times New Roman"/>
          <w:i/>
          <w:iCs/>
          <w:noProof/>
          <w:szCs w:val="24"/>
        </w:rPr>
        <w:t>Nat. Rev. Cancer</w:t>
      </w:r>
      <w:r w:rsidRPr="000766C5">
        <w:rPr>
          <w:rFonts w:ascii="Palatino Linotype" w:hAnsi="Palatino Linotype" w:cs="Times New Roman"/>
          <w:noProof/>
          <w:szCs w:val="24"/>
        </w:rPr>
        <w:t>, vol. 11, p. 426, May 2011.</w:t>
      </w:r>
    </w:p>
    <w:p w14:paraId="47EE1CD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[160]</w:t>
      </w:r>
      <w:r w:rsidRPr="000766C5">
        <w:rPr>
          <w:rFonts w:ascii="Palatino Linotype" w:hAnsi="Palatino Linotype" w:cs="Times New Roman"/>
          <w:noProof/>
          <w:szCs w:val="24"/>
        </w:rPr>
        <w:tab/>
        <w:t xml:space="preserve">OpenStax CNX, “OpenStax Microbiology,” </w:t>
      </w:r>
      <w:r w:rsidRPr="000766C5">
        <w:rPr>
          <w:rFonts w:ascii="Palatino Linotype" w:hAnsi="Palatino Linotype" w:cs="Times New Roman"/>
          <w:i/>
          <w:iCs/>
          <w:noProof/>
          <w:szCs w:val="24"/>
        </w:rPr>
        <w:t>Nucleic acid probing</w:t>
      </w:r>
      <w:r w:rsidRPr="000766C5">
        <w:rPr>
          <w:rFonts w:ascii="Palatino Linotype" w:hAnsi="Palatino Linotype" w:cs="Times New Roman"/>
          <w:noProof/>
          <w:szCs w:val="24"/>
        </w:rPr>
        <w:t>. [Online]. Available: https://courses.lumenlearning.com/microbiology/chapter/visualizing-and-characterizing-dna-rna-and-protein/.</w:t>
      </w:r>
    </w:p>
    <w:p w14:paraId="14D4ABF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[161]</w:t>
      </w:r>
      <w:r w:rsidRPr="000766C5">
        <w:rPr>
          <w:rFonts w:ascii="Palatino Linotype" w:hAnsi="Palatino Linotype" w:cs="Times New Roman"/>
          <w:noProof/>
          <w:szCs w:val="24"/>
        </w:rPr>
        <w:tab/>
        <w:t xml:space="preserve">M. Jackson, L. Marks, G. H. W. May, and J. B. Wilson, “The genetic basis of disease,” </w:t>
      </w:r>
      <w:r w:rsidRPr="000766C5">
        <w:rPr>
          <w:rFonts w:ascii="Palatino Linotype" w:hAnsi="Palatino Linotype" w:cs="Times New Roman"/>
          <w:i/>
          <w:iCs/>
          <w:noProof/>
          <w:szCs w:val="24"/>
        </w:rPr>
        <w:t>Essays Biochem.</w:t>
      </w:r>
      <w:r w:rsidRPr="000766C5">
        <w:rPr>
          <w:rFonts w:ascii="Palatino Linotype" w:hAnsi="Palatino Linotype" w:cs="Times New Roman"/>
          <w:noProof/>
          <w:szCs w:val="24"/>
        </w:rPr>
        <w:t>, vol. 62, no. 5, pp. 643–723, Dec. 2018.</w:t>
      </w:r>
    </w:p>
    <w:p w14:paraId="3DD6BA8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[162]</w:t>
      </w:r>
      <w:r w:rsidRPr="000766C5">
        <w:rPr>
          <w:rFonts w:ascii="Palatino Linotype" w:hAnsi="Palatino Linotype" w:cs="Times New Roman"/>
          <w:noProof/>
          <w:szCs w:val="24"/>
        </w:rPr>
        <w:tab/>
        <w:t>N. Yang, S. R. Waldvogel, and X. Jiang, “Electrochemistry of Carbon Dioxide on Carbon Electrodes,” 2016.</w:t>
      </w:r>
    </w:p>
    <w:p w14:paraId="71BE16D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[163]</w:t>
      </w:r>
      <w:r w:rsidRPr="000766C5">
        <w:rPr>
          <w:rFonts w:ascii="Palatino Linotype" w:hAnsi="Palatino Linotype" w:cs="Times New Roman"/>
          <w:noProof/>
          <w:szCs w:val="24"/>
        </w:rPr>
        <w:tab/>
        <w:t xml:space="preserve">J. Lee, D. W. M. Arrigan, and D. S. Silvester, “Sensing and Bio-Sensing Research Mechanical polishing as an improved surface treatment for platinum screen-printed electrodes,” </w:t>
      </w:r>
      <w:r w:rsidRPr="000766C5">
        <w:rPr>
          <w:rFonts w:ascii="Palatino Linotype" w:hAnsi="Palatino Linotype" w:cs="Times New Roman"/>
          <w:i/>
          <w:iCs/>
          <w:noProof/>
          <w:szCs w:val="24"/>
        </w:rPr>
        <w:t>Sens. Bio-Sensing Res.</w:t>
      </w:r>
      <w:r w:rsidRPr="000766C5">
        <w:rPr>
          <w:rFonts w:ascii="Palatino Linotype" w:hAnsi="Palatino Linotype" w:cs="Times New Roman"/>
          <w:noProof/>
          <w:szCs w:val="24"/>
        </w:rPr>
        <w:t>, vol. 9, pp. 38–44, 2016.</w:t>
      </w:r>
    </w:p>
    <w:p w14:paraId="2480365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[164]</w:t>
      </w:r>
      <w:r w:rsidRPr="000766C5">
        <w:rPr>
          <w:rFonts w:ascii="Palatino Linotype" w:hAnsi="Palatino Linotype" w:cs="Times New Roman"/>
          <w:noProof/>
          <w:szCs w:val="24"/>
        </w:rPr>
        <w:tab/>
        <w:t xml:space="preserve">N. Shoaie, M. Forouzandeh, and K. Omidfar, “Highly sensitive electrochemical biosensor based on polyaniline and gold nanoparticles for DNA detection,” </w:t>
      </w:r>
      <w:r w:rsidRPr="000766C5">
        <w:rPr>
          <w:rFonts w:ascii="Palatino Linotype" w:hAnsi="Palatino Linotype" w:cs="Times New Roman"/>
          <w:i/>
          <w:iCs/>
          <w:noProof/>
          <w:szCs w:val="24"/>
        </w:rPr>
        <w:t>IEEE Sens. J.</w:t>
      </w:r>
      <w:r w:rsidRPr="000766C5">
        <w:rPr>
          <w:rFonts w:ascii="Palatino Linotype" w:hAnsi="Palatino Linotype" w:cs="Times New Roman"/>
          <w:noProof/>
          <w:szCs w:val="24"/>
        </w:rPr>
        <w:t>, vol. 18, no. 5, pp. 1835–1843, 2017.</w:t>
      </w:r>
    </w:p>
    <w:p w14:paraId="65B16C7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[165]</w:t>
      </w:r>
      <w:r w:rsidRPr="000766C5">
        <w:rPr>
          <w:rFonts w:ascii="Palatino Linotype" w:hAnsi="Palatino Linotype" w:cs="Times New Roman"/>
          <w:noProof/>
          <w:szCs w:val="24"/>
        </w:rPr>
        <w:tab/>
        <w:t xml:space="preserve">C. Cai, Z. Guo, Y. Cao, W. Zhang, and Y. Chen, “A dual biomarker detection platform for quantitating circulating tumor dna (Ctdna),” </w:t>
      </w:r>
      <w:r w:rsidRPr="000766C5">
        <w:rPr>
          <w:rFonts w:ascii="Palatino Linotype" w:hAnsi="Palatino Linotype" w:cs="Times New Roman"/>
          <w:i/>
          <w:iCs/>
          <w:noProof/>
          <w:szCs w:val="24"/>
        </w:rPr>
        <w:t>Nanotheranostics</w:t>
      </w:r>
      <w:r w:rsidRPr="000766C5">
        <w:rPr>
          <w:rFonts w:ascii="Palatino Linotype" w:hAnsi="Palatino Linotype" w:cs="Times New Roman"/>
          <w:noProof/>
          <w:szCs w:val="24"/>
        </w:rPr>
        <w:t>, vol. 2, no. 1, pp. 12–20, 2018.</w:t>
      </w:r>
    </w:p>
    <w:p w14:paraId="629AE84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[166]</w:t>
      </w:r>
      <w:r w:rsidRPr="000766C5">
        <w:rPr>
          <w:rFonts w:ascii="Palatino Linotype" w:hAnsi="Palatino Linotype" w:cs="Times New Roman"/>
          <w:noProof/>
          <w:szCs w:val="24"/>
        </w:rPr>
        <w:tab/>
        <w:t xml:space="preserve">H. Ilkhani, M. Arvand, M. R. Ganjali, G. Marrazza, and M. Mascini, “Nanostructured Screen Printed Graphite Electrode for the Development of a Novel Electrochemical Genosensor,” </w:t>
      </w:r>
      <w:r w:rsidRPr="000766C5">
        <w:rPr>
          <w:rFonts w:ascii="Palatino Linotype" w:hAnsi="Palatino Linotype" w:cs="Times New Roman"/>
          <w:i/>
          <w:iCs/>
          <w:noProof/>
          <w:szCs w:val="24"/>
        </w:rPr>
        <w:t>Electroanalysis</w:t>
      </w:r>
      <w:r w:rsidRPr="000766C5">
        <w:rPr>
          <w:rFonts w:ascii="Palatino Linotype" w:hAnsi="Palatino Linotype" w:cs="Times New Roman"/>
          <w:noProof/>
          <w:szCs w:val="24"/>
        </w:rPr>
        <w:t>, vol. 25, no. 2, pp. 507–514, 2013.</w:t>
      </w:r>
    </w:p>
    <w:p w14:paraId="6BCE87F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[167]</w:t>
      </w:r>
      <w:r w:rsidRPr="000766C5">
        <w:rPr>
          <w:rFonts w:ascii="Palatino Linotype" w:hAnsi="Palatino Linotype" w:cs="Times New Roman"/>
          <w:noProof/>
          <w:szCs w:val="24"/>
        </w:rPr>
        <w:tab/>
        <w:t xml:space="preserve">J. Wang, A. Shi, X. Fang, X. Han, and Y. Zhang, “Ultrasensitive electrochemical supersandwich DNA biosensor using a glassy carbon electrode modified with gold particle-decorated sheets of graphene oxide,” </w:t>
      </w:r>
      <w:r w:rsidRPr="000766C5">
        <w:rPr>
          <w:rFonts w:ascii="Palatino Linotype" w:hAnsi="Palatino Linotype" w:cs="Times New Roman"/>
          <w:i/>
          <w:iCs/>
          <w:noProof/>
          <w:szCs w:val="24"/>
        </w:rPr>
        <w:t>Microchim. Acta</w:t>
      </w:r>
      <w:r w:rsidRPr="000766C5">
        <w:rPr>
          <w:rFonts w:ascii="Palatino Linotype" w:hAnsi="Palatino Linotype" w:cs="Times New Roman"/>
          <w:noProof/>
          <w:szCs w:val="24"/>
        </w:rPr>
        <w:t>, vol. 181, no. 9–10, pp. 935–940, 2014.</w:t>
      </w:r>
    </w:p>
    <w:p w14:paraId="6D441A0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[168]</w:t>
      </w:r>
      <w:r w:rsidRPr="000766C5">
        <w:rPr>
          <w:rFonts w:ascii="Palatino Linotype" w:hAnsi="Palatino Linotype" w:cs="Times New Roman"/>
          <w:noProof/>
          <w:szCs w:val="24"/>
        </w:rPr>
        <w:tab/>
        <w:t xml:space="preserve">L. Zhang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“Hybridization performance of DNA/mercaptohexanol mixed monolayers on electrodeposited nanoAu and rough Au surfaces,” </w:t>
      </w:r>
      <w:r w:rsidRPr="000766C5">
        <w:rPr>
          <w:rFonts w:ascii="Palatino Linotype" w:hAnsi="Palatino Linotype" w:cs="Times New Roman"/>
          <w:i/>
          <w:iCs/>
          <w:noProof/>
          <w:szCs w:val="24"/>
        </w:rPr>
        <w:t>J. Electroanal. Chem.</w:t>
      </w:r>
      <w:r w:rsidRPr="000766C5">
        <w:rPr>
          <w:rFonts w:ascii="Palatino Linotype" w:hAnsi="Palatino Linotype" w:cs="Times New Roman"/>
          <w:noProof/>
          <w:szCs w:val="24"/>
        </w:rPr>
        <w:t>, vol. 757, pp. 203–209, 2015.</w:t>
      </w:r>
    </w:p>
    <w:p w14:paraId="68A84B7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[169]</w:t>
      </w:r>
      <w:r w:rsidRPr="000766C5">
        <w:rPr>
          <w:rFonts w:ascii="Palatino Linotype" w:hAnsi="Palatino Linotype" w:cs="Times New Roman"/>
          <w:noProof/>
          <w:szCs w:val="24"/>
        </w:rPr>
        <w:tab/>
        <w:t xml:space="preserve">M. Mazloum-Ardakani, N. Rajabzadeh, A. Benvidi, and M. M. Heidari, “Sex determination based on amelogenin DNA by modified electrode with gold nanoparticle,” </w:t>
      </w:r>
      <w:r w:rsidRPr="000766C5">
        <w:rPr>
          <w:rFonts w:ascii="Palatino Linotype" w:hAnsi="Palatino Linotype" w:cs="Times New Roman"/>
          <w:i/>
          <w:iCs/>
          <w:noProof/>
          <w:szCs w:val="24"/>
        </w:rPr>
        <w:t>Anal. Biochem.</w:t>
      </w:r>
      <w:r w:rsidRPr="000766C5">
        <w:rPr>
          <w:rFonts w:ascii="Palatino Linotype" w:hAnsi="Palatino Linotype" w:cs="Times New Roman"/>
          <w:noProof/>
          <w:szCs w:val="24"/>
        </w:rPr>
        <w:t>, vol. 443, no. 2, pp. 132–138, 2013.</w:t>
      </w:r>
    </w:p>
    <w:p w14:paraId="1B6355D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[170]</w:t>
      </w:r>
      <w:r w:rsidRPr="000766C5">
        <w:rPr>
          <w:rFonts w:ascii="Palatino Linotype" w:hAnsi="Palatino Linotype" w:cs="Times New Roman"/>
          <w:noProof/>
          <w:szCs w:val="24"/>
        </w:rPr>
        <w:tab/>
        <w:t xml:space="preserve">M. Lan, C. Chen, Q. Zhou, Y. Teng, H. Zhao, and X. Niu, “Voltammetric detection of microcystis genus specific-sequence with disposable screen-printed electrode modified with gold nanoparticles,” </w:t>
      </w:r>
      <w:r w:rsidRPr="000766C5">
        <w:rPr>
          <w:rFonts w:ascii="Palatino Linotype" w:hAnsi="Palatino Linotype" w:cs="Times New Roman"/>
          <w:i/>
          <w:iCs/>
          <w:noProof/>
          <w:szCs w:val="24"/>
        </w:rPr>
        <w:t>Adv. Mater. Lett.</w:t>
      </w:r>
      <w:r w:rsidRPr="000766C5">
        <w:rPr>
          <w:rFonts w:ascii="Palatino Linotype" w:hAnsi="Palatino Linotype" w:cs="Times New Roman"/>
          <w:noProof/>
          <w:szCs w:val="24"/>
        </w:rPr>
        <w:t>, vol. 1, no. 3, pp. 217–224, 2010.</w:t>
      </w:r>
    </w:p>
    <w:p w14:paraId="4CE0010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[171]</w:t>
      </w:r>
      <w:r w:rsidRPr="000766C5">
        <w:rPr>
          <w:rFonts w:ascii="Palatino Linotype" w:hAnsi="Palatino Linotype" w:cs="Times New Roman"/>
          <w:noProof/>
          <w:szCs w:val="24"/>
        </w:rPr>
        <w:tab/>
        <w:t xml:space="preserve">J. J. Gooding and S. Ciampi, “The molecular level modification of surfaces: From self-assembled monolayers to complex molecular assemblies,” </w:t>
      </w:r>
      <w:r w:rsidRPr="000766C5">
        <w:rPr>
          <w:rFonts w:ascii="Palatino Linotype" w:hAnsi="Palatino Linotype" w:cs="Times New Roman"/>
          <w:i/>
          <w:iCs/>
          <w:noProof/>
          <w:szCs w:val="24"/>
        </w:rPr>
        <w:t>Chem. Soc. Rev.</w:t>
      </w:r>
      <w:r w:rsidRPr="000766C5">
        <w:rPr>
          <w:rFonts w:ascii="Palatino Linotype" w:hAnsi="Palatino Linotype" w:cs="Times New Roman"/>
          <w:noProof/>
          <w:szCs w:val="24"/>
        </w:rPr>
        <w:t>, vol. 40, no. 5, pp. 2704–2718, 2011.</w:t>
      </w:r>
    </w:p>
    <w:p w14:paraId="4893412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[172]</w:t>
      </w:r>
      <w:r w:rsidRPr="000766C5">
        <w:rPr>
          <w:rFonts w:ascii="Palatino Linotype" w:hAnsi="Palatino Linotype" w:cs="Times New Roman"/>
          <w:noProof/>
          <w:szCs w:val="24"/>
        </w:rPr>
        <w:tab/>
        <w:t>L. Ribovski, V. Zucolotto, and B. C. Janegitz, “A label-free electrochemical DNA sensor to identify breast cancer susceptibility,” vol. 133, pp. 37–42, 2017.</w:t>
      </w:r>
    </w:p>
    <w:p w14:paraId="543855E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[173]</w:t>
      </w:r>
      <w:r w:rsidRPr="000766C5">
        <w:rPr>
          <w:rFonts w:ascii="Palatino Linotype" w:hAnsi="Palatino Linotype" w:cs="Times New Roman"/>
          <w:noProof/>
          <w:szCs w:val="24"/>
        </w:rPr>
        <w:tab/>
        <w:t xml:space="preserve">M. Atif, I. Afzaal, H. Naseer, M. Abrar, and R. Bongiovanni, “Review—Surface Modification of Carbon Nanotubes: A Tool to Control Electrochemical Performance,” </w:t>
      </w:r>
      <w:r w:rsidRPr="000766C5">
        <w:rPr>
          <w:rFonts w:ascii="Palatino Linotype" w:hAnsi="Palatino Linotype" w:cs="Times New Roman"/>
          <w:i/>
          <w:iCs/>
          <w:noProof/>
          <w:szCs w:val="24"/>
        </w:rPr>
        <w:t>ECS J. Solid State Sci. Technol.</w:t>
      </w:r>
      <w:r w:rsidRPr="000766C5">
        <w:rPr>
          <w:rFonts w:ascii="Palatino Linotype" w:hAnsi="Palatino Linotype" w:cs="Times New Roman"/>
          <w:noProof/>
          <w:szCs w:val="24"/>
        </w:rPr>
        <w:t>, vol. 9, no. 4, p. 41009, 2020.</w:t>
      </w:r>
    </w:p>
    <w:p w14:paraId="10456B9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[174]</w:t>
      </w:r>
      <w:r w:rsidRPr="000766C5">
        <w:rPr>
          <w:rFonts w:ascii="Palatino Linotype" w:hAnsi="Palatino Linotype" w:cs="Times New Roman"/>
          <w:noProof/>
          <w:szCs w:val="24"/>
        </w:rPr>
        <w:tab/>
        <w:t xml:space="preserve">A. Muhammad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 screen printed carbon electrode modified with carbon nanotubes and gold nanoparticles as a sensitive electrochemical sensor for determination of thiamphenicol residue in milk,” </w:t>
      </w:r>
      <w:r w:rsidRPr="000766C5">
        <w:rPr>
          <w:rFonts w:ascii="Palatino Linotype" w:hAnsi="Palatino Linotype" w:cs="Times New Roman"/>
          <w:i/>
          <w:iCs/>
          <w:noProof/>
          <w:szCs w:val="24"/>
        </w:rPr>
        <w:t>RSC Adv.</w:t>
      </w:r>
      <w:r w:rsidRPr="000766C5">
        <w:rPr>
          <w:rFonts w:ascii="Palatino Linotype" w:hAnsi="Palatino Linotype" w:cs="Times New Roman"/>
          <w:noProof/>
          <w:szCs w:val="24"/>
        </w:rPr>
        <w:t>, vol. 8, no. 5, pp. 2714–2722, 2018.</w:t>
      </w:r>
    </w:p>
    <w:p w14:paraId="523D81C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[175]</w:t>
      </w:r>
      <w:r w:rsidRPr="000766C5">
        <w:rPr>
          <w:rFonts w:ascii="Palatino Linotype" w:hAnsi="Palatino Linotype" w:cs="Times New Roman"/>
          <w:noProof/>
          <w:szCs w:val="24"/>
        </w:rPr>
        <w:tab/>
        <w:t xml:space="preserve">N. Wang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“Efficient surface modification of carbon nanotubes for fabricating high performance CNT based hybrid nanostructures,” </w:t>
      </w:r>
      <w:r w:rsidRPr="000766C5">
        <w:rPr>
          <w:rFonts w:ascii="Palatino Linotype" w:hAnsi="Palatino Linotype" w:cs="Times New Roman"/>
          <w:i/>
          <w:iCs/>
          <w:noProof/>
          <w:szCs w:val="24"/>
        </w:rPr>
        <w:t>Carbon N. Y.</w:t>
      </w:r>
      <w:r w:rsidRPr="000766C5">
        <w:rPr>
          <w:rFonts w:ascii="Palatino Linotype" w:hAnsi="Palatino Linotype" w:cs="Times New Roman"/>
          <w:noProof/>
          <w:szCs w:val="24"/>
        </w:rPr>
        <w:t>, vol. 111, pp. 402–410, 2017.</w:t>
      </w:r>
    </w:p>
    <w:p w14:paraId="1CA8AE2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[176]</w:t>
      </w:r>
      <w:r w:rsidRPr="000766C5">
        <w:rPr>
          <w:rFonts w:ascii="Palatino Linotype" w:hAnsi="Palatino Linotype" w:cs="Times New Roman"/>
          <w:noProof/>
          <w:szCs w:val="24"/>
        </w:rPr>
        <w:tab/>
        <w:t xml:space="preserve">X. Huang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“Screen-Printed Carbon Electrodes Modified with Polymeric Nanoparticle-Carbon Nanotube Composites for Enzymatic Biosensing,” </w:t>
      </w:r>
      <w:r w:rsidRPr="000766C5">
        <w:rPr>
          <w:rFonts w:ascii="Palatino Linotype" w:hAnsi="Palatino Linotype" w:cs="Times New Roman"/>
          <w:i/>
          <w:iCs/>
          <w:noProof/>
          <w:szCs w:val="24"/>
        </w:rPr>
        <w:t>ACS Appl. Nano Mater.</w:t>
      </w:r>
      <w:r w:rsidRPr="000766C5">
        <w:rPr>
          <w:rFonts w:ascii="Palatino Linotype" w:hAnsi="Palatino Linotype" w:cs="Times New Roman"/>
          <w:noProof/>
          <w:szCs w:val="24"/>
        </w:rPr>
        <w:t>, vol. 3, no. 9, pp. 9158–9166, Sep. 2020.</w:t>
      </w:r>
    </w:p>
    <w:p w14:paraId="0E2DAF2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[177]</w:t>
      </w:r>
      <w:r w:rsidRPr="000766C5">
        <w:rPr>
          <w:rFonts w:ascii="Palatino Linotype" w:hAnsi="Palatino Linotype" w:cs="Times New Roman"/>
          <w:noProof/>
          <w:szCs w:val="24"/>
        </w:rPr>
        <w:tab/>
        <w:t xml:space="preserve">J. Wang, Z. Xu, M. Zhang, J. Liu, H. Zou, and L. Wang, “Improvement of electrochemical performance of screen-printed carbon electrodes by UV/ozone modification,” </w:t>
      </w:r>
      <w:r w:rsidRPr="000766C5">
        <w:rPr>
          <w:rFonts w:ascii="Palatino Linotype" w:hAnsi="Palatino Linotype" w:cs="Times New Roman"/>
          <w:i/>
          <w:iCs/>
          <w:noProof/>
          <w:szCs w:val="24"/>
        </w:rPr>
        <w:t>Talanta</w:t>
      </w:r>
      <w:r w:rsidRPr="000766C5">
        <w:rPr>
          <w:rFonts w:ascii="Palatino Linotype" w:hAnsi="Palatino Linotype" w:cs="Times New Roman"/>
          <w:noProof/>
          <w:szCs w:val="24"/>
        </w:rPr>
        <w:t>, vol. 192, no. 2, pp. 40–45, 2019.</w:t>
      </w:r>
    </w:p>
    <w:p w14:paraId="09A4A88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[178]</w:t>
      </w:r>
      <w:r w:rsidRPr="000766C5">
        <w:rPr>
          <w:rFonts w:ascii="Palatino Linotype" w:hAnsi="Palatino Linotype" w:cs="Times New Roman"/>
          <w:noProof/>
          <w:szCs w:val="24"/>
        </w:rPr>
        <w:tab/>
        <w:t xml:space="preserve">D. K. Corrigan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“Development of a PCR-free electrochemical point of care test for clinical detection of methicillin resistant Staphylococcus aureus (MRSA),” </w:t>
      </w:r>
      <w:r w:rsidRPr="000766C5">
        <w:rPr>
          <w:rFonts w:ascii="Palatino Linotype" w:hAnsi="Palatino Linotype" w:cs="Times New Roman"/>
          <w:i/>
          <w:iCs/>
          <w:noProof/>
          <w:szCs w:val="24"/>
        </w:rPr>
        <w:t>Analyst</w:t>
      </w:r>
      <w:r w:rsidRPr="000766C5">
        <w:rPr>
          <w:rFonts w:ascii="Palatino Linotype" w:hAnsi="Palatino Linotype" w:cs="Times New Roman"/>
          <w:noProof/>
          <w:szCs w:val="24"/>
        </w:rPr>
        <w:t>, 2013.</w:t>
      </w:r>
    </w:p>
    <w:p w14:paraId="0CE33D6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[179]</w:t>
      </w:r>
      <w:r w:rsidRPr="000766C5">
        <w:rPr>
          <w:rFonts w:ascii="Palatino Linotype" w:hAnsi="Palatino Linotype" w:cs="Times New Roman"/>
          <w:noProof/>
          <w:szCs w:val="24"/>
        </w:rPr>
        <w:tab/>
        <w:t>M. Grossi and B. Riccò, “Electrical impedance spectroscopy ( EIS ) for biological analysis and food characterization</w:t>
      </w:r>
      <w:r w:rsidRPr="000766C5">
        <w:rPr>
          <w:rFonts w:ascii="Times New Roman" w:hAnsi="Times New Roman" w:cs="Times New Roman"/>
          <w:noProof/>
          <w:szCs w:val="24"/>
        </w:rPr>
        <w:t> </w:t>
      </w:r>
      <w:r w:rsidRPr="000766C5">
        <w:rPr>
          <w:rFonts w:ascii="Palatino Linotype" w:hAnsi="Palatino Linotype" w:cs="Times New Roman"/>
          <w:noProof/>
          <w:szCs w:val="24"/>
        </w:rPr>
        <w:t>: A review Electrical impedance spectroscopy ( EIS ) for biological analysis and food characterization</w:t>
      </w:r>
      <w:r w:rsidRPr="000766C5">
        <w:rPr>
          <w:rFonts w:ascii="Times New Roman" w:hAnsi="Times New Roman" w:cs="Times New Roman"/>
          <w:noProof/>
          <w:szCs w:val="24"/>
        </w:rPr>
        <w:t> </w:t>
      </w:r>
      <w:r w:rsidRPr="000766C5">
        <w:rPr>
          <w:rFonts w:ascii="Palatino Linotype" w:hAnsi="Palatino Linotype" w:cs="Times New Roman"/>
          <w:noProof/>
          <w:szCs w:val="24"/>
        </w:rPr>
        <w:t>: a review,” no. August, 2017.</w:t>
      </w:r>
    </w:p>
    <w:p w14:paraId="04B889B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[180]</w:t>
      </w:r>
      <w:r w:rsidRPr="000766C5">
        <w:rPr>
          <w:rFonts w:ascii="Palatino Linotype" w:hAnsi="Palatino Linotype" w:cs="Times New Roman"/>
          <w:noProof/>
          <w:szCs w:val="24"/>
        </w:rPr>
        <w:tab/>
        <w:t xml:space="preserve">C. L. Manzanares-Palenzuela, E. G. R. Fernandes, M. J. Lobo-Castañón, B. López-Ruiz, and V. Zucolotto, “Impedance sensing of DNA hybridization onto nanostructured phthalocyanine-modified electrodes,” </w:t>
      </w:r>
      <w:r w:rsidRPr="000766C5">
        <w:rPr>
          <w:rFonts w:ascii="Palatino Linotype" w:hAnsi="Palatino Linotype" w:cs="Times New Roman"/>
          <w:i/>
          <w:iCs/>
          <w:noProof/>
          <w:szCs w:val="24"/>
        </w:rPr>
        <w:t>Electrochim. Acta</w:t>
      </w:r>
      <w:r w:rsidRPr="000766C5">
        <w:rPr>
          <w:rFonts w:ascii="Palatino Linotype" w:hAnsi="Palatino Linotype" w:cs="Times New Roman"/>
          <w:noProof/>
          <w:szCs w:val="24"/>
        </w:rPr>
        <w:t>, vol. 221, pp. 86–95, 2016.</w:t>
      </w:r>
    </w:p>
    <w:p w14:paraId="3688FD4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[181]</w:t>
      </w:r>
      <w:r w:rsidRPr="000766C5">
        <w:rPr>
          <w:rFonts w:ascii="Palatino Linotype" w:hAnsi="Palatino Linotype" w:cs="Times New Roman"/>
          <w:noProof/>
          <w:szCs w:val="24"/>
        </w:rPr>
        <w:tab/>
        <w:t xml:space="preserve">M. Mooste, E. Kibena-Põldsepp, M. Marandi, L. Matisen, V. Sammelselg, and K. Tammeveski, “Electrochemical properties of gold and glassy carbon electrodes electrografted with an anthraquinone diazonium compound using the rotating disc electrode method,” </w:t>
      </w:r>
      <w:r w:rsidRPr="000766C5">
        <w:rPr>
          <w:rFonts w:ascii="Palatino Linotype" w:hAnsi="Palatino Linotype" w:cs="Times New Roman"/>
          <w:i/>
          <w:iCs/>
          <w:noProof/>
          <w:szCs w:val="24"/>
        </w:rPr>
        <w:t>RSC Adv.</w:t>
      </w:r>
      <w:r w:rsidRPr="000766C5">
        <w:rPr>
          <w:rFonts w:ascii="Palatino Linotype" w:hAnsi="Palatino Linotype" w:cs="Times New Roman"/>
          <w:noProof/>
          <w:szCs w:val="24"/>
        </w:rPr>
        <w:t>, vol. 6, no. 47, pp. 40982–40990, 2016.</w:t>
      </w:r>
    </w:p>
    <w:p w14:paraId="4068D8D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[182]</w:t>
      </w:r>
      <w:r w:rsidRPr="000766C5">
        <w:rPr>
          <w:rFonts w:ascii="Palatino Linotype" w:hAnsi="Palatino Linotype" w:cs="Times New Roman"/>
          <w:noProof/>
          <w:szCs w:val="24"/>
        </w:rPr>
        <w:tab/>
        <w:t xml:space="preserve">B. Attoye, M. J. Baker, F. Thomson, C. Pou, and D. K. Corrigan, “Optimisation of an Electrochemical DNA Sensor for Measuring KRAS G12D and G13D Point Mutations in Different Tumour Types,” </w:t>
      </w:r>
      <w:r w:rsidRPr="000766C5">
        <w:rPr>
          <w:rFonts w:ascii="Palatino Linotype" w:hAnsi="Palatino Linotype" w:cs="Times New Roman"/>
          <w:i/>
          <w:iCs/>
          <w:noProof/>
          <w:szCs w:val="24"/>
        </w:rPr>
        <w:t>Biosensors</w:t>
      </w:r>
      <w:r w:rsidRPr="000766C5">
        <w:rPr>
          <w:rFonts w:ascii="Palatino Linotype" w:hAnsi="Palatino Linotype" w:cs="Times New Roman"/>
          <w:noProof/>
          <w:szCs w:val="24"/>
        </w:rPr>
        <w:t>, vol. 11, no. 2, p. 42, 2021.</w:t>
      </w:r>
    </w:p>
    <w:p w14:paraId="11549B3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[183]</w:t>
      </w:r>
      <w:r w:rsidRPr="000766C5">
        <w:rPr>
          <w:rFonts w:ascii="Palatino Linotype" w:hAnsi="Palatino Linotype" w:cs="Times New Roman"/>
          <w:noProof/>
          <w:szCs w:val="24"/>
        </w:rPr>
        <w:tab/>
        <w:t xml:space="preserve">E. O. Blair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“Biologically modified microelectrode sensors provide enhanced sensitivity for detection of nucleic acid sequences from Mycobacterium tuberculosis,” </w:t>
      </w:r>
      <w:r w:rsidRPr="000766C5">
        <w:rPr>
          <w:rFonts w:ascii="Palatino Linotype" w:hAnsi="Palatino Linotype" w:cs="Times New Roman"/>
          <w:i/>
          <w:iCs/>
          <w:noProof/>
          <w:szCs w:val="24"/>
        </w:rPr>
        <w:t>Sensors and Actuators Reports</w:t>
      </w:r>
      <w:r w:rsidRPr="000766C5">
        <w:rPr>
          <w:rFonts w:ascii="Palatino Linotype" w:hAnsi="Palatino Linotype" w:cs="Times New Roman"/>
          <w:noProof/>
          <w:szCs w:val="24"/>
        </w:rPr>
        <w:t>, vol. 2, no. 1, p. 100008, 2020.</w:t>
      </w:r>
    </w:p>
    <w:p w14:paraId="75D322E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[184]</w:t>
      </w:r>
      <w:r w:rsidRPr="000766C5">
        <w:rPr>
          <w:rFonts w:ascii="Palatino Linotype" w:hAnsi="Palatino Linotype" w:cs="Times New Roman"/>
          <w:noProof/>
          <w:szCs w:val="24"/>
        </w:rPr>
        <w:tab/>
        <w:t xml:space="preserve">R.L. McCreery, “Advanced carbon electrode materials for molecular electrochemistry,” </w:t>
      </w:r>
      <w:r w:rsidRPr="000766C5">
        <w:rPr>
          <w:rFonts w:ascii="Palatino Linotype" w:hAnsi="Palatino Linotype" w:cs="Times New Roman"/>
          <w:i/>
          <w:iCs/>
          <w:noProof/>
          <w:szCs w:val="24"/>
        </w:rPr>
        <w:t>Chem. Rev.</w:t>
      </w:r>
      <w:r w:rsidRPr="000766C5">
        <w:rPr>
          <w:rFonts w:ascii="Palatino Linotype" w:hAnsi="Palatino Linotype" w:cs="Times New Roman"/>
          <w:noProof/>
          <w:szCs w:val="24"/>
        </w:rPr>
        <w:t>, vol. 108, no. 7, pp. 2646–2687, 2008.</w:t>
      </w:r>
    </w:p>
    <w:p w14:paraId="3FF00D2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[185]</w:t>
      </w:r>
      <w:r w:rsidRPr="000766C5">
        <w:rPr>
          <w:rFonts w:ascii="Palatino Linotype" w:hAnsi="Palatino Linotype" w:cs="Times New Roman"/>
          <w:noProof/>
          <w:szCs w:val="24"/>
        </w:rPr>
        <w:tab/>
        <w:t xml:space="preserve">J. Moldenhauer, M. Meier, and D. W. Paul, “Rapid and Direct Determination of Diffusion Coefficients Using Microelectrode Arrays,” </w:t>
      </w:r>
      <w:r w:rsidRPr="000766C5">
        <w:rPr>
          <w:rFonts w:ascii="Palatino Linotype" w:hAnsi="Palatino Linotype" w:cs="Times New Roman"/>
          <w:i/>
          <w:iCs/>
          <w:noProof/>
          <w:szCs w:val="24"/>
        </w:rPr>
        <w:t>J. Electrochem. Soc.</w:t>
      </w:r>
      <w:r w:rsidRPr="000766C5">
        <w:rPr>
          <w:rFonts w:ascii="Palatino Linotype" w:hAnsi="Palatino Linotype" w:cs="Times New Roman"/>
          <w:noProof/>
          <w:szCs w:val="24"/>
        </w:rPr>
        <w:t>, vol. 163, no. 8, pp. H672–H678, 2016.</w:t>
      </w:r>
    </w:p>
    <w:p w14:paraId="773490D0"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[186]</w:t>
      </w:r>
      <w:r w:rsidRPr="000766C5">
        <w:rPr>
          <w:rFonts w:ascii="Palatino Linotype" w:hAnsi="Palatino Linotype" w:cs="Times New Roman"/>
          <w:noProof/>
          <w:szCs w:val="24"/>
        </w:rPr>
        <w:tab/>
        <w:t xml:space="preserve">P. Tomčík, “Microelectrode Arrays with Overlapped Diffusion Layers as Electroanalytical Detectors: Theory and Basic Applications,” </w:t>
      </w:r>
      <w:r w:rsidRPr="000766C5">
        <w:rPr>
          <w:rFonts w:ascii="Palatino Linotype" w:hAnsi="Palatino Linotype" w:cs="Times New Roman"/>
          <w:i/>
          <w:iCs/>
          <w:noProof/>
          <w:szCs w:val="24"/>
        </w:rPr>
        <w:t xml:space="preserve">Sensors </w:t>
      </w:r>
      <w:r w:rsidRPr="000766C5">
        <w:rPr>
          <w:rFonts w:ascii="Palatino Linotype" w:hAnsi="Palatino Linotype" w:cs="Times New Roman"/>
          <w:noProof/>
          <w:szCs w:val="24"/>
        </w:rPr>
        <w:t>, vol. 13, no. 10. 2013.</w:t>
      </w:r>
    </w:p>
    <w:p w14:paraId="36A475F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[187]</w:t>
      </w:r>
      <w:r w:rsidRPr="000766C5">
        <w:rPr>
          <w:rFonts w:ascii="Palatino Linotype" w:hAnsi="Palatino Linotype" w:cs="Times New Roman"/>
          <w:noProof/>
          <w:szCs w:val="24"/>
        </w:rPr>
        <w:tab/>
        <w:t xml:space="preserve">S. Eissa, L. L’Hocine, M. Siaj, and M. Zourob, “A graphene-based label-free voltammetric immunosensor for sensitive detection of the egg allergen ovalbumin,” </w:t>
      </w:r>
      <w:r w:rsidRPr="000766C5">
        <w:rPr>
          <w:rFonts w:ascii="Palatino Linotype" w:hAnsi="Palatino Linotype" w:cs="Times New Roman"/>
          <w:i/>
          <w:iCs/>
          <w:noProof/>
          <w:szCs w:val="24"/>
        </w:rPr>
        <w:t>Analyst</w:t>
      </w:r>
      <w:r w:rsidRPr="000766C5">
        <w:rPr>
          <w:rFonts w:ascii="Palatino Linotype" w:hAnsi="Palatino Linotype" w:cs="Times New Roman"/>
          <w:noProof/>
          <w:szCs w:val="24"/>
        </w:rPr>
        <w:t>, vol. 138, no. 15, pp. 4378–4384, 2013.</w:t>
      </w:r>
    </w:p>
    <w:p w14:paraId="5E4F89F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[188]</w:t>
      </w:r>
      <w:r w:rsidRPr="000766C5">
        <w:rPr>
          <w:rFonts w:ascii="Palatino Linotype" w:hAnsi="Palatino Linotype" w:cs="Times New Roman"/>
          <w:noProof/>
          <w:szCs w:val="24"/>
        </w:rPr>
        <w:tab/>
        <w:t xml:space="preserve">D. Hetemi, V. Noël, and J. Pinson, “Grafting of diazonium salts on surfaces: Application to biosensors,” </w:t>
      </w:r>
      <w:r w:rsidRPr="000766C5">
        <w:rPr>
          <w:rFonts w:ascii="Palatino Linotype" w:hAnsi="Palatino Linotype" w:cs="Times New Roman"/>
          <w:i/>
          <w:iCs/>
          <w:noProof/>
          <w:szCs w:val="24"/>
        </w:rPr>
        <w:t>Biosensors</w:t>
      </w:r>
      <w:r w:rsidRPr="000766C5">
        <w:rPr>
          <w:rFonts w:ascii="Palatino Linotype" w:hAnsi="Palatino Linotype" w:cs="Times New Roman"/>
          <w:noProof/>
          <w:szCs w:val="24"/>
        </w:rPr>
        <w:t>, vol. 10, no. 1, 2020.</w:t>
      </w:r>
    </w:p>
    <w:p w14:paraId="2C6D53E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[189]</w:t>
      </w:r>
      <w:r w:rsidRPr="000766C5">
        <w:rPr>
          <w:rFonts w:ascii="Palatino Linotype" w:hAnsi="Palatino Linotype" w:cs="Times New Roman"/>
          <w:noProof/>
          <w:szCs w:val="24"/>
        </w:rPr>
        <w:tab/>
        <w:t xml:space="preserve">N. Li, A. M. Chow, H. V. S. Ganesh, M. Ratnam, I. R. Brown, and K. Kerman, “Diazonium-modified screen-printed electrodes for immunosensing growth hormone in blood samples,” </w:t>
      </w:r>
      <w:r w:rsidRPr="000766C5">
        <w:rPr>
          <w:rFonts w:ascii="Palatino Linotype" w:hAnsi="Palatino Linotype" w:cs="Times New Roman"/>
          <w:i/>
          <w:iCs/>
          <w:noProof/>
          <w:szCs w:val="24"/>
        </w:rPr>
        <w:t>Biosensors</w:t>
      </w:r>
      <w:r w:rsidRPr="000766C5">
        <w:rPr>
          <w:rFonts w:ascii="Palatino Linotype" w:hAnsi="Palatino Linotype" w:cs="Times New Roman"/>
          <w:noProof/>
          <w:szCs w:val="24"/>
        </w:rPr>
        <w:t>, vol. 9, no. 3, 2019.</w:t>
      </w:r>
    </w:p>
    <w:p w14:paraId="79397A9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[190]</w:t>
      </w:r>
      <w:r w:rsidRPr="000766C5">
        <w:rPr>
          <w:rFonts w:ascii="Palatino Linotype" w:hAnsi="Palatino Linotype" w:cs="Times New Roman"/>
          <w:noProof/>
          <w:szCs w:val="24"/>
        </w:rPr>
        <w:tab/>
        <w:t xml:space="preserve">E. A. Obaje, G. Cummins, H. Schulze, S. Mahmood, M. P. Y. Desmulliez, and T. T. Bachmann, “Carbon screen-printed electrodes on ceramic substrates for label-free molecular detection of antibiotic resistance,” </w:t>
      </w:r>
      <w:r w:rsidRPr="000766C5">
        <w:rPr>
          <w:rFonts w:ascii="Palatino Linotype" w:hAnsi="Palatino Linotype" w:cs="Times New Roman"/>
          <w:i/>
          <w:iCs/>
          <w:noProof/>
          <w:szCs w:val="24"/>
        </w:rPr>
        <w:t>J. Interdiscip. Nanomedicine</w:t>
      </w:r>
      <w:r w:rsidRPr="000766C5">
        <w:rPr>
          <w:rFonts w:ascii="Palatino Linotype" w:hAnsi="Palatino Linotype" w:cs="Times New Roman"/>
          <w:noProof/>
          <w:szCs w:val="24"/>
        </w:rPr>
        <w:t>, vol. 1, no. 3, pp. 93–109, 2016.</w:t>
      </w:r>
    </w:p>
    <w:p w14:paraId="2D210EB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[191]</w:t>
      </w:r>
      <w:r w:rsidRPr="000766C5">
        <w:rPr>
          <w:rFonts w:ascii="Palatino Linotype" w:hAnsi="Palatino Linotype" w:cs="Times New Roman"/>
          <w:noProof/>
          <w:szCs w:val="24"/>
        </w:rPr>
        <w:tab/>
        <w:t xml:space="preserve">C. Yang, M. E. Denno, P. Pyakurel, and B. J. Venton, “Recent trends in carbon nanomaterial-based electrochemical sensors for biomolecules: A review,” </w:t>
      </w:r>
      <w:r w:rsidRPr="000766C5">
        <w:rPr>
          <w:rFonts w:ascii="Palatino Linotype" w:hAnsi="Palatino Linotype" w:cs="Times New Roman"/>
          <w:i/>
          <w:iCs/>
          <w:noProof/>
          <w:szCs w:val="24"/>
        </w:rPr>
        <w:t>Anal. Chim. Acta</w:t>
      </w:r>
      <w:r w:rsidRPr="000766C5">
        <w:rPr>
          <w:rFonts w:ascii="Palatino Linotype" w:hAnsi="Palatino Linotype" w:cs="Times New Roman"/>
          <w:noProof/>
          <w:szCs w:val="24"/>
        </w:rPr>
        <w:t>, vol. 887, p. 17—37, Aug. 2015.</w:t>
      </w:r>
    </w:p>
    <w:p w14:paraId="683E086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[192]</w:t>
      </w:r>
      <w:r w:rsidRPr="000766C5">
        <w:rPr>
          <w:rFonts w:ascii="Palatino Linotype" w:hAnsi="Palatino Linotype" w:cs="Times New Roman"/>
          <w:noProof/>
          <w:szCs w:val="24"/>
        </w:rPr>
        <w:tab/>
        <w:t xml:space="preserve">I. M. Lobato and C. K. O’Sullivan, “Recombinase polymerase amplification: Basics, applications and recent advances,” </w:t>
      </w:r>
      <w:r w:rsidRPr="000766C5">
        <w:rPr>
          <w:rFonts w:ascii="Palatino Linotype" w:hAnsi="Palatino Linotype" w:cs="Times New Roman"/>
          <w:i/>
          <w:iCs/>
          <w:noProof/>
          <w:szCs w:val="24"/>
        </w:rPr>
        <w:t>TrAC Trends Anal. Chem.</w:t>
      </w:r>
      <w:r w:rsidRPr="000766C5">
        <w:rPr>
          <w:rFonts w:ascii="Palatino Linotype" w:hAnsi="Palatino Linotype" w:cs="Times New Roman"/>
          <w:noProof/>
          <w:szCs w:val="24"/>
        </w:rPr>
        <w:t>, vol. 98, pp. 19–35, 2018.</w:t>
      </w:r>
    </w:p>
    <w:p w14:paraId="2ED5184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[193]</w:t>
      </w:r>
      <w:r w:rsidRPr="000766C5">
        <w:rPr>
          <w:rFonts w:ascii="Palatino Linotype" w:hAnsi="Palatino Linotype" w:cs="Times New Roman"/>
          <w:noProof/>
          <w:szCs w:val="24"/>
        </w:rPr>
        <w:tab/>
        <w:t xml:space="preserve">L. Babujee, R. A. Witherell, K. Mikami, D. Aiuchi, A. O. Charkowski, and A. M. Rakotondrafara, “Optimization of an isothermal recombinase polymerase amplification method for real-time detection of Potato virus Y O and N types in potato,” </w:t>
      </w:r>
      <w:r w:rsidRPr="000766C5">
        <w:rPr>
          <w:rFonts w:ascii="Palatino Linotype" w:hAnsi="Palatino Linotype" w:cs="Times New Roman"/>
          <w:i/>
          <w:iCs/>
          <w:noProof/>
          <w:szCs w:val="24"/>
        </w:rPr>
        <w:t>J. Virol. Methods</w:t>
      </w:r>
      <w:r w:rsidRPr="000766C5">
        <w:rPr>
          <w:rFonts w:ascii="Palatino Linotype" w:hAnsi="Palatino Linotype" w:cs="Times New Roman"/>
          <w:noProof/>
          <w:szCs w:val="24"/>
        </w:rPr>
        <w:t>, vol. 267, pp. 16–21, 2019.</w:t>
      </w:r>
    </w:p>
    <w:p w14:paraId="40124DB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[194]</w:t>
      </w:r>
      <w:r w:rsidRPr="000766C5">
        <w:rPr>
          <w:rFonts w:ascii="Palatino Linotype" w:hAnsi="Palatino Linotype" w:cs="Times New Roman"/>
          <w:noProof/>
          <w:szCs w:val="24"/>
        </w:rPr>
        <w:tab/>
        <w:t xml:space="preserve">M. M. Nelson, C. L. Waldron, and J. R. Bracht, “Rapid molecular detection of macrolide resistance,” </w:t>
      </w:r>
      <w:r w:rsidRPr="000766C5">
        <w:rPr>
          <w:rFonts w:ascii="Palatino Linotype" w:hAnsi="Palatino Linotype" w:cs="Times New Roman"/>
          <w:i/>
          <w:iCs/>
          <w:noProof/>
          <w:szCs w:val="24"/>
        </w:rPr>
        <w:t>BMC Infect. Dis.</w:t>
      </w:r>
      <w:r w:rsidRPr="000766C5">
        <w:rPr>
          <w:rFonts w:ascii="Palatino Linotype" w:hAnsi="Palatino Linotype" w:cs="Times New Roman"/>
          <w:noProof/>
          <w:szCs w:val="24"/>
        </w:rPr>
        <w:t>, vol. 19, no. 1, p. 144, 2019.</w:t>
      </w:r>
    </w:p>
    <w:p w14:paraId="193C361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[195]</w:t>
      </w:r>
      <w:r w:rsidRPr="000766C5">
        <w:rPr>
          <w:rFonts w:ascii="Palatino Linotype" w:hAnsi="Palatino Linotype" w:cs="Times New Roman"/>
          <w:noProof/>
          <w:szCs w:val="24"/>
        </w:rPr>
        <w:tab/>
        <w:t>Thermofisher Scientific, “Phusion Blood Direct PCR Kit,” 2019. [Online]. Available: https://www.thermofisher.com/order/catalog/product/F547S#/F547S.</w:t>
      </w:r>
    </w:p>
    <w:p w14:paraId="35F46E5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[196]</w:t>
      </w:r>
      <w:r w:rsidRPr="000766C5">
        <w:rPr>
          <w:rFonts w:ascii="Palatino Linotype" w:hAnsi="Palatino Linotype" w:cs="Times New Roman"/>
          <w:noProof/>
          <w:szCs w:val="24"/>
        </w:rPr>
        <w:tab/>
        <w:t>Amplyus, “bluegel-electrophoresis,” 2017. [Online]. Available: https://www.minipcr.com/. [Accessed: 07-Oct-2019].</w:t>
      </w:r>
    </w:p>
    <w:p w14:paraId="7D3AEDB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[197]</w:t>
      </w:r>
      <w:r w:rsidRPr="000766C5">
        <w:rPr>
          <w:rFonts w:ascii="Palatino Linotype" w:hAnsi="Palatino Linotype" w:cs="Times New Roman"/>
          <w:noProof/>
          <w:szCs w:val="24"/>
        </w:rPr>
        <w:tab/>
        <w:t xml:space="preserve">T. Ando, “A nuclease specific for heat-denatured DNA isolated from a product of Aspergillus oryzae,” </w:t>
      </w:r>
      <w:r w:rsidRPr="000766C5">
        <w:rPr>
          <w:rFonts w:ascii="Palatino Linotype" w:hAnsi="Palatino Linotype" w:cs="Times New Roman"/>
          <w:i/>
          <w:iCs/>
          <w:noProof/>
          <w:szCs w:val="24"/>
        </w:rPr>
        <w:t>Biochim. Biophys. Acta - Nucleic Acids Protein Synth.</w:t>
      </w:r>
      <w:r w:rsidRPr="000766C5">
        <w:rPr>
          <w:rFonts w:ascii="Palatino Linotype" w:hAnsi="Palatino Linotype" w:cs="Times New Roman"/>
          <w:noProof/>
          <w:szCs w:val="24"/>
        </w:rPr>
        <w:t>, vol. 114, no. 1, pp. 158–168, 1966.</w:t>
      </w:r>
    </w:p>
    <w:p w14:paraId="58BDFF4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[198]</w:t>
      </w:r>
      <w:r w:rsidRPr="000766C5">
        <w:rPr>
          <w:rFonts w:ascii="Palatino Linotype" w:hAnsi="Palatino Linotype" w:cs="Times New Roman"/>
          <w:noProof/>
          <w:szCs w:val="24"/>
        </w:rPr>
        <w:tab/>
        <w:t xml:space="preserve">S. Li, H. Liu, L. Liu, L. Tian, and N. He, “A novel automated assay with dual-color hybridization for single-nucleotide polymorphisms genotyping on gold magnetic nanoparticle array,” </w:t>
      </w:r>
      <w:r w:rsidRPr="000766C5">
        <w:rPr>
          <w:rFonts w:ascii="Palatino Linotype" w:hAnsi="Palatino Linotype" w:cs="Times New Roman"/>
          <w:i/>
          <w:iCs/>
          <w:noProof/>
          <w:szCs w:val="24"/>
        </w:rPr>
        <w:t>Anal. Biochem.</w:t>
      </w:r>
      <w:r w:rsidRPr="000766C5">
        <w:rPr>
          <w:rFonts w:ascii="Palatino Linotype" w:hAnsi="Palatino Linotype" w:cs="Times New Roman"/>
          <w:noProof/>
          <w:szCs w:val="24"/>
        </w:rPr>
        <w:t>, vol. 405, no. 1, pp. 141–143, 2010.</w:t>
      </w:r>
    </w:p>
    <w:p w14:paraId="0BF6845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[199]</w:t>
      </w:r>
      <w:r w:rsidRPr="000766C5">
        <w:rPr>
          <w:rFonts w:ascii="Palatino Linotype" w:hAnsi="Palatino Linotype" w:cs="Times New Roman"/>
          <w:noProof/>
          <w:szCs w:val="24"/>
        </w:rPr>
        <w:tab/>
        <w:t xml:space="preserve">J. Esteban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“PCR-hybridization after sonication improves diagnosis of implant-related infection,” </w:t>
      </w:r>
      <w:r w:rsidRPr="000766C5">
        <w:rPr>
          <w:rFonts w:ascii="Palatino Linotype" w:hAnsi="Palatino Linotype" w:cs="Times New Roman"/>
          <w:i/>
          <w:iCs/>
          <w:noProof/>
          <w:szCs w:val="24"/>
        </w:rPr>
        <w:t>Acta Orthop.</w:t>
      </w:r>
      <w:r w:rsidRPr="000766C5">
        <w:rPr>
          <w:rFonts w:ascii="Palatino Linotype" w:hAnsi="Palatino Linotype" w:cs="Times New Roman"/>
          <w:noProof/>
          <w:szCs w:val="24"/>
        </w:rPr>
        <w:t>, vol. 83, no. 3, pp. 299–304, Jun. 2012.</w:t>
      </w:r>
    </w:p>
    <w:p w14:paraId="0B3F864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[200]</w:t>
      </w:r>
      <w:r w:rsidRPr="000766C5">
        <w:rPr>
          <w:rFonts w:ascii="Palatino Linotype" w:hAnsi="Palatino Linotype" w:cs="Times New Roman"/>
          <w:noProof/>
          <w:szCs w:val="24"/>
        </w:rPr>
        <w:tab/>
        <w:t xml:space="preserve">A. R. Brautigam, D. D. Richman, and M. N. Oxman, “Rapid typing of herpes simplex virus isolates by deoxyribonucleic acid:deoxyribonucleic acid hybridization,” </w:t>
      </w:r>
      <w:r w:rsidRPr="000766C5">
        <w:rPr>
          <w:rFonts w:ascii="Palatino Linotype" w:hAnsi="Palatino Linotype" w:cs="Times New Roman"/>
          <w:i/>
          <w:iCs/>
          <w:noProof/>
          <w:szCs w:val="24"/>
        </w:rPr>
        <w:t>J. Clin. Microbiol.</w:t>
      </w:r>
      <w:r w:rsidRPr="000766C5">
        <w:rPr>
          <w:rFonts w:ascii="Palatino Linotype" w:hAnsi="Palatino Linotype" w:cs="Times New Roman"/>
          <w:noProof/>
          <w:szCs w:val="24"/>
        </w:rPr>
        <w:t>, vol. 12, no. 2, pp. 226–234, Aug. 1980.</w:t>
      </w:r>
    </w:p>
    <w:p w14:paraId="1F0FEE2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[201]</w:t>
      </w:r>
      <w:r w:rsidRPr="000766C5">
        <w:rPr>
          <w:rFonts w:ascii="Palatino Linotype" w:hAnsi="Palatino Linotype" w:cs="Times New Roman"/>
          <w:noProof/>
          <w:szCs w:val="24"/>
        </w:rPr>
        <w:tab/>
        <w:t xml:space="preserve">Z.-W. Yu and P. J. Quinn, “Dimethyl sulphoxide: A review of its applications in cell biology,” </w:t>
      </w:r>
      <w:r w:rsidRPr="000766C5">
        <w:rPr>
          <w:rFonts w:ascii="Palatino Linotype" w:hAnsi="Palatino Linotype" w:cs="Times New Roman"/>
          <w:i/>
          <w:iCs/>
          <w:noProof/>
          <w:szCs w:val="24"/>
        </w:rPr>
        <w:t>Biosci. Rep.</w:t>
      </w:r>
      <w:r w:rsidRPr="000766C5">
        <w:rPr>
          <w:rFonts w:ascii="Palatino Linotype" w:hAnsi="Palatino Linotype" w:cs="Times New Roman"/>
          <w:noProof/>
          <w:szCs w:val="24"/>
        </w:rPr>
        <w:t>, vol. 14, no. 6, pp. 259–281, Dec. 1994.</w:t>
      </w:r>
    </w:p>
    <w:p w14:paraId="412FE7C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[202]</w:t>
      </w:r>
      <w:r w:rsidRPr="000766C5">
        <w:rPr>
          <w:rFonts w:ascii="Palatino Linotype" w:hAnsi="Palatino Linotype" w:cs="Times New Roman"/>
          <w:noProof/>
          <w:szCs w:val="24"/>
        </w:rPr>
        <w:tab/>
        <w:t xml:space="preserve">X. Wang, H. J. Lim, and A. Son, “Characterization of denaturation and renaturation of DNA for DNA hybridization,” </w:t>
      </w:r>
      <w:r w:rsidRPr="000766C5">
        <w:rPr>
          <w:rFonts w:ascii="Palatino Linotype" w:hAnsi="Palatino Linotype" w:cs="Times New Roman"/>
          <w:i/>
          <w:iCs/>
          <w:noProof/>
          <w:szCs w:val="24"/>
        </w:rPr>
        <w:t>Environ. Health Toxicol.</w:t>
      </w:r>
      <w:r w:rsidRPr="000766C5">
        <w:rPr>
          <w:rFonts w:ascii="Palatino Linotype" w:hAnsi="Palatino Linotype" w:cs="Times New Roman"/>
          <w:noProof/>
          <w:szCs w:val="24"/>
        </w:rPr>
        <w:t>, vol. 29, pp. e2014007–e2014007, Sep. 2014.</w:t>
      </w:r>
    </w:p>
    <w:p w14:paraId="65DC353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[203]</w:t>
      </w:r>
      <w:r w:rsidRPr="000766C5">
        <w:rPr>
          <w:rFonts w:ascii="Palatino Linotype" w:hAnsi="Palatino Linotype" w:cs="Times New Roman"/>
          <w:noProof/>
          <w:szCs w:val="24"/>
        </w:rPr>
        <w:tab/>
        <w:t xml:space="preserve">V. Mirceski, D. Guziejewski, L. Stojanov, and R. Gulaboski, “Differential Square-Wave Voltammetry,” </w:t>
      </w:r>
      <w:r w:rsidRPr="000766C5">
        <w:rPr>
          <w:rFonts w:ascii="Palatino Linotype" w:hAnsi="Palatino Linotype" w:cs="Times New Roman"/>
          <w:i/>
          <w:iCs/>
          <w:noProof/>
          <w:szCs w:val="24"/>
        </w:rPr>
        <w:t>Anal. Chem.</w:t>
      </w:r>
      <w:r w:rsidRPr="000766C5">
        <w:rPr>
          <w:rFonts w:ascii="Palatino Linotype" w:hAnsi="Palatino Linotype" w:cs="Times New Roman"/>
          <w:noProof/>
          <w:szCs w:val="24"/>
        </w:rPr>
        <w:t>, vol. 91, no. 23, pp. 14904–14910, Dec. 2019.</w:t>
      </w:r>
    </w:p>
    <w:p w14:paraId="4BF2F42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[204]</w:t>
      </w:r>
      <w:r w:rsidRPr="000766C5">
        <w:rPr>
          <w:rFonts w:ascii="Palatino Linotype" w:hAnsi="Palatino Linotype" w:cs="Times New Roman"/>
          <w:noProof/>
          <w:szCs w:val="24"/>
        </w:rPr>
        <w:tab/>
        <w:t>P. Ap-, I. B. M. Instruments, and V. Voltammetry, “Square Wave Voltammetry,” vol. 57, no. 1, 1985.</w:t>
      </w:r>
    </w:p>
    <w:p w14:paraId="428D15D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[205]</w:t>
      </w:r>
      <w:r w:rsidRPr="000766C5">
        <w:rPr>
          <w:rFonts w:ascii="Palatino Linotype" w:hAnsi="Palatino Linotype" w:cs="Times New Roman"/>
          <w:noProof/>
          <w:szCs w:val="24"/>
        </w:rPr>
        <w:tab/>
        <w:t xml:space="preserve">J. Hammond, N. Formisano, P. Estrela, S. Carrara, and J. Tkac, “Electrochemical biosensors and nanobiosensors,” </w:t>
      </w:r>
      <w:r w:rsidRPr="000766C5">
        <w:rPr>
          <w:rFonts w:ascii="Palatino Linotype" w:hAnsi="Palatino Linotype" w:cs="Times New Roman"/>
          <w:i/>
          <w:iCs/>
          <w:noProof/>
          <w:szCs w:val="24"/>
        </w:rPr>
        <w:t>Essays Biochem.</w:t>
      </w:r>
      <w:r w:rsidRPr="000766C5">
        <w:rPr>
          <w:rFonts w:ascii="Palatino Linotype" w:hAnsi="Palatino Linotype" w:cs="Times New Roman"/>
          <w:noProof/>
          <w:szCs w:val="24"/>
        </w:rPr>
        <w:t>, vol. 60, pp. 69–80, Jun. 2016.</w:t>
      </w:r>
    </w:p>
    <w:p w14:paraId="398CCB1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[206]</w:t>
      </w:r>
      <w:r w:rsidRPr="000766C5">
        <w:rPr>
          <w:rFonts w:ascii="Palatino Linotype" w:hAnsi="Palatino Linotype" w:cs="Times New Roman"/>
          <w:noProof/>
          <w:szCs w:val="24"/>
        </w:rPr>
        <w:tab/>
        <w:t xml:space="preserve">L. M. Fischer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“Gold cleaning methods for electrochemical detection applications,” </w:t>
      </w:r>
      <w:r w:rsidRPr="000766C5">
        <w:rPr>
          <w:rFonts w:ascii="Palatino Linotype" w:hAnsi="Palatino Linotype" w:cs="Times New Roman"/>
          <w:i/>
          <w:iCs/>
          <w:noProof/>
          <w:szCs w:val="24"/>
        </w:rPr>
        <w:t>Microelectron. Eng.</w:t>
      </w:r>
      <w:r w:rsidRPr="000766C5">
        <w:rPr>
          <w:rFonts w:ascii="Palatino Linotype" w:hAnsi="Palatino Linotype" w:cs="Times New Roman"/>
          <w:noProof/>
          <w:szCs w:val="24"/>
        </w:rPr>
        <w:t>, vol. 86, no. 4–6, pp. 1282–1285, 2009.</w:t>
      </w:r>
    </w:p>
    <w:p w14:paraId="69587C0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[207]</w:t>
      </w:r>
      <w:r w:rsidRPr="000766C5">
        <w:rPr>
          <w:rFonts w:ascii="Palatino Linotype" w:hAnsi="Palatino Linotype" w:cs="Times New Roman"/>
          <w:noProof/>
          <w:szCs w:val="24"/>
        </w:rPr>
        <w:tab/>
        <w:t xml:space="preserve">A. J. Walton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“Development of a PCR-free electrochemical point of care test for clinical detection of methicillin resistant,” pp. 6997–7005, 2013.</w:t>
      </w:r>
    </w:p>
    <w:p w14:paraId="029B4C1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[208]</w:t>
      </w:r>
      <w:r w:rsidRPr="000766C5">
        <w:rPr>
          <w:rFonts w:ascii="Palatino Linotype" w:hAnsi="Palatino Linotype" w:cs="Times New Roman"/>
          <w:noProof/>
          <w:szCs w:val="24"/>
        </w:rPr>
        <w:tab/>
        <w:t xml:space="preserve">E. H. Baugh, H. Ke, A. J. Levine, R. A. Bonneau, and C. S. Chan, “Why are there hotspot mutations in the TP53 gene in human cancers?,” </w:t>
      </w:r>
      <w:r w:rsidRPr="000766C5">
        <w:rPr>
          <w:rFonts w:ascii="Palatino Linotype" w:hAnsi="Palatino Linotype" w:cs="Times New Roman"/>
          <w:i/>
          <w:iCs/>
          <w:noProof/>
          <w:szCs w:val="24"/>
        </w:rPr>
        <w:t>Cell Death Differ.</w:t>
      </w:r>
      <w:r w:rsidRPr="000766C5">
        <w:rPr>
          <w:rFonts w:ascii="Palatino Linotype" w:hAnsi="Palatino Linotype" w:cs="Times New Roman"/>
          <w:noProof/>
          <w:szCs w:val="24"/>
        </w:rPr>
        <w:t>, vol. 25, no. 1, pp. 154–160, 2018.</w:t>
      </w:r>
    </w:p>
    <w:p w14:paraId="1AC2307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[209]</w:t>
      </w:r>
      <w:r w:rsidRPr="000766C5">
        <w:rPr>
          <w:rFonts w:ascii="Palatino Linotype" w:hAnsi="Palatino Linotype" w:cs="Times New Roman"/>
          <w:noProof/>
          <w:szCs w:val="24"/>
        </w:rPr>
        <w:tab/>
        <w:t xml:space="preserve">N. Rivlin, R. Brosh, M. Oren, and V. Rotter, “Mutations in the p53 Tumor Suppressor Gene: Important Milestones at the Various Steps of Tumorigenesis,” </w:t>
      </w:r>
      <w:r w:rsidRPr="000766C5">
        <w:rPr>
          <w:rFonts w:ascii="Palatino Linotype" w:hAnsi="Palatino Linotype" w:cs="Times New Roman"/>
          <w:i/>
          <w:iCs/>
          <w:noProof/>
          <w:szCs w:val="24"/>
        </w:rPr>
        <w:t>Genes Cancer</w:t>
      </w:r>
      <w:r w:rsidRPr="000766C5">
        <w:rPr>
          <w:rFonts w:ascii="Palatino Linotype" w:hAnsi="Palatino Linotype" w:cs="Times New Roman"/>
          <w:noProof/>
          <w:szCs w:val="24"/>
        </w:rPr>
        <w:t>, vol. 2, no. 4, pp. 466–474, Apr. 2011.</w:t>
      </w:r>
    </w:p>
    <w:p w14:paraId="26CA54F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[210]</w:t>
      </w:r>
      <w:r w:rsidRPr="000766C5">
        <w:rPr>
          <w:rFonts w:ascii="Palatino Linotype" w:hAnsi="Palatino Linotype" w:cs="Times New Roman"/>
          <w:noProof/>
          <w:szCs w:val="24"/>
        </w:rPr>
        <w:tab/>
        <w:t xml:space="preserve">F. Mantovani, L. Collavin, and G. Del Sal, “Mutant p53 as a guardian of the cancer cell,” </w:t>
      </w:r>
      <w:r w:rsidRPr="000766C5">
        <w:rPr>
          <w:rFonts w:ascii="Palatino Linotype" w:hAnsi="Palatino Linotype" w:cs="Times New Roman"/>
          <w:i/>
          <w:iCs/>
          <w:noProof/>
          <w:szCs w:val="24"/>
        </w:rPr>
        <w:t>Cell Death Differ.</w:t>
      </w:r>
      <w:r w:rsidRPr="000766C5">
        <w:rPr>
          <w:rFonts w:ascii="Palatino Linotype" w:hAnsi="Palatino Linotype" w:cs="Times New Roman"/>
          <w:noProof/>
          <w:szCs w:val="24"/>
        </w:rPr>
        <w:t>, vol. 26, no. 2, pp. 199–212, 2019.</w:t>
      </w:r>
    </w:p>
    <w:p w14:paraId="3B29A13B"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[211]</w:t>
      </w:r>
      <w:r w:rsidRPr="000766C5">
        <w:rPr>
          <w:rFonts w:ascii="Palatino Linotype" w:hAnsi="Palatino Linotype" w:cs="Times New Roman"/>
          <w:noProof/>
          <w:szCs w:val="24"/>
        </w:rPr>
        <w:tab/>
        <w:t xml:space="preserve">Y. Zhang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“The p53 Pathway in Glioblastoma,” </w:t>
      </w:r>
      <w:r w:rsidRPr="000766C5">
        <w:rPr>
          <w:rFonts w:ascii="Palatino Linotype" w:hAnsi="Palatino Linotype" w:cs="Times New Roman"/>
          <w:i/>
          <w:iCs/>
          <w:noProof/>
          <w:szCs w:val="24"/>
        </w:rPr>
        <w:t>Cancers (Basel).</w:t>
      </w:r>
      <w:r w:rsidRPr="000766C5">
        <w:rPr>
          <w:rFonts w:ascii="Palatino Linotype" w:hAnsi="Palatino Linotype" w:cs="Times New Roman"/>
          <w:noProof/>
          <w:szCs w:val="24"/>
        </w:rPr>
        <w:t>, vol. 10, no. 9, p. 297, Sep. 2018.</w:t>
      </w:r>
    </w:p>
    <w:p w14:paraId="471B1BB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[212]</w:t>
      </w:r>
      <w:r w:rsidRPr="000766C5">
        <w:rPr>
          <w:rFonts w:ascii="Palatino Linotype" w:hAnsi="Palatino Linotype" w:cs="Times New Roman"/>
          <w:noProof/>
          <w:szCs w:val="24"/>
        </w:rPr>
        <w:tab/>
        <w:t xml:space="preserve">X. Li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“Impact of TP53 mutations in breast cancer: Clinicopathological features and prognosisImpact of TP53 mutations in breast CA,” </w:t>
      </w:r>
      <w:r w:rsidRPr="000766C5">
        <w:rPr>
          <w:rFonts w:ascii="Palatino Linotype" w:hAnsi="Palatino Linotype" w:cs="Times New Roman"/>
          <w:i/>
          <w:iCs/>
          <w:noProof/>
          <w:szCs w:val="24"/>
        </w:rPr>
        <w:t>Thorac. cancer</w:t>
      </w:r>
      <w:r w:rsidRPr="000766C5">
        <w:rPr>
          <w:rFonts w:ascii="Palatino Linotype" w:hAnsi="Palatino Linotype" w:cs="Times New Roman"/>
          <w:noProof/>
          <w:szCs w:val="24"/>
        </w:rPr>
        <w:t>, vol. 11, no. 7, pp. 1861–1868, Jul. 2020.</w:t>
      </w:r>
    </w:p>
    <w:p w14:paraId="7602252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[213]</w:t>
      </w:r>
      <w:r w:rsidRPr="000766C5">
        <w:rPr>
          <w:rFonts w:ascii="Palatino Linotype" w:hAnsi="Palatino Linotype" w:cs="Times New Roman"/>
          <w:noProof/>
          <w:szCs w:val="24"/>
        </w:rPr>
        <w:tab/>
        <w:t xml:space="preserve">H. Li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“Targeting the Oncogenic p53 Mutants in Colorectal Cancer and Other Solid Tumors,” </w:t>
      </w:r>
      <w:r w:rsidRPr="000766C5">
        <w:rPr>
          <w:rFonts w:ascii="Palatino Linotype" w:hAnsi="Palatino Linotype" w:cs="Times New Roman"/>
          <w:i/>
          <w:iCs/>
          <w:noProof/>
          <w:szCs w:val="24"/>
        </w:rPr>
        <w:t>Int. J. Mol. Sci.</w:t>
      </w:r>
      <w:r w:rsidRPr="000766C5">
        <w:rPr>
          <w:rFonts w:ascii="Palatino Linotype" w:hAnsi="Palatino Linotype" w:cs="Times New Roman"/>
          <w:noProof/>
          <w:szCs w:val="24"/>
        </w:rPr>
        <w:t>, vol. 20, no. 23, p. 5999, Nov. 2019.</w:t>
      </w:r>
    </w:p>
    <w:p w14:paraId="4B58FAF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[214]</w:t>
      </w:r>
      <w:r w:rsidRPr="000766C5">
        <w:rPr>
          <w:rFonts w:ascii="Palatino Linotype" w:hAnsi="Palatino Linotype" w:cs="Times New Roman"/>
          <w:noProof/>
          <w:szCs w:val="24"/>
        </w:rPr>
        <w:tab/>
        <w:t xml:space="preserve">M. Molica, C. Mazzone, P. Niscola, and P. de Fabritiis, “TP53 Mutations in Acute Myeloid Leukemia: Still a Daunting Challenge?,” </w:t>
      </w:r>
      <w:r w:rsidRPr="000766C5">
        <w:rPr>
          <w:rFonts w:ascii="Palatino Linotype" w:hAnsi="Palatino Linotype" w:cs="Times New Roman"/>
          <w:i/>
          <w:iCs/>
          <w:noProof/>
          <w:szCs w:val="24"/>
        </w:rPr>
        <w:t>Front. Oncol.</w:t>
      </w:r>
      <w:r w:rsidRPr="000766C5">
        <w:rPr>
          <w:rFonts w:ascii="Palatino Linotype" w:hAnsi="Palatino Linotype" w:cs="Times New Roman"/>
          <w:noProof/>
          <w:szCs w:val="24"/>
        </w:rPr>
        <w:t>, vol. 10, no. February, pp. 1–16, 2021.</w:t>
      </w:r>
    </w:p>
    <w:p w14:paraId="2FA020C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[215]</w:t>
      </w:r>
      <w:r w:rsidRPr="000766C5">
        <w:rPr>
          <w:rFonts w:ascii="Palatino Linotype" w:hAnsi="Palatino Linotype" w:cs="Times New Roman"/>
          <w:noProof/>
          <w:szCs w:val="24"/>
        </w:rPr>
        <w:tab/>
        <w:t xml:space="preserve">G. Zhou, Z. Liu, and J. N. Myers, “TP53 Mutations in Head and Neck Squamous Cell Carcinoma and Their Impact on Disease Progression and Treatment Response,” </w:t>
      </w:r>
      <w:r w:rsidRPr="000766C5">
        <w:rPr>
          <w:rFonts w:ascii="Palatino Linotype" w:hAnsi="Palatino Linotype" w:cs="Times New Roman"/>
          <w:i/>
          <w:iCs/>
          <w:noProof/>
          <w:szCs w:val="24"/>
        </w:rPr>
        <w:t>J. Cell. Biochem.</w:t>
      </w:r>
      <w:r w:rsidRPr="000766C5">
        <w:rPr>
          <w:rFonts w:ascii="Palatino Linotype" w:hAnsi="Palatino Linotype" w:cs="Times New Roman"/>
          <w:noProof/>
          <w:szCs w:val="24"/>
        </w:rPr>
        <w:t>, vol. 117, no. 12, pp. 2682–2692, Dec. 2016.</w:t>
      </w:r>
    </w:p>
    <w:p w14:paraId="2D157C3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[216]</w:t>
      </w:r>
      <w:r w:rsidRPr="000766C5">
        <w:rPr>
          <w:rFonts w:ascii="Palatino Linotype" w:hAnsi="Palatino Linotype" w:cs="Times New Roman"/>
          <w:noProof/>
          <w:szCs w:val="24"/>
        </w:rPr>
        <w:tab/>
        <w:t>Bioline, “ISOLATE II Plasmid Mini Kit,” 2017. [Online]. Available: https://www.bioline.com/isolate-ii-plasmid-mini-kit.html.</w:t>
      </w:r>
    </w:p>
    <w:p w14:paraId="2C4ACCE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[217]</w:t>
      </w:r>
      <w:r w:rsidRPr="000766C5">
        <w:rPr>
          <w:rFonts w:ascii="Palatino Linotype" w:hAnsi="Palatino Linotype" w:cs="Times New Roman"/>
          <w:noProof/>
          <w:szCs w:val="24"/>
        </w:rPr>
        <w:tab/>
        <w:t>D. K. Corrigan, H. Schulze, I. Ciani, G. Henihan, A. R. Mount, and T. T. Bachmann, “Improving performance of a rapid electrochemical MRSA assay</w:t>
      </w:r>
      <w:r w:rsidRPr="000766C5">
        <w:rPr>
          <w:rFonts w:ascii="Times New Roman" w:hAnsi="Times New Roman" w:cs="Times New Roman"/>
          <w:noProof/>
          <w:szCs w:val="24"/>
        </w:rPr>
        <w:t> </w:t>
      </w:r>
      <w:r w:rsidRPr="000766C5">
        <w:rPr>
          <w:rFonts w:ascii="Palatino Linotype" w:hAnsi="Palatino Linotype" w:cs="Times New Roman"/>
          <w:noProof/>
          <w:szCs w:val="24"/>
        </w:rPr>
        <w:t xml:space="preserve">: Optimisation of assay conditions to achieve enhanced discrimination of clinically important DNA sequences under ambient conditions,” </w:t>
      </w:r>
      <w:r w:rsidRPr="000766C5">
        <w:rPr>
          <w:rFonts w:ascii="Palatino Linotype" w:hAnsi="Palatino Linotype" w:cs="Times New Roman"/>
          <w:i/>
          <w:iCs/>
          <w:noProof/>
          <w:szCs w:val="24"/>
        </w:rPr>
        <w:t>J. Electroanal. Chem.</w:t>
      </w:r>
      <w:r w:rsidRPr="000766C5">
        <w:rPr>
          <w:rFonts w:ascii="Palatino Linotype" w:hAnsi="Palatino Linotype" w:cs="Times New Roman"/>
          <w:noProof/>
          <w:szCs w:val="24"/>
        </w:rPr>
        <w:t>, vol. 786, pp. 58–62, 2017.</w:t>
      </w:r>
    </w:p>
    <w:p w14:paraId="4CA396F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[218]</w:t>
      </w:r>
      <w:r w:rsidRPr="000766C5">
        <w:rPr>
          <w:rFonts w:ascii="Palatino Linotype" w:hAnsi="Palatino Linotype" w:cs="Times New Roman"/>
          <w:noProof/>
          <w:szCs w:val="24"/>
        </w:rPr>
        <w:tab/>
        <w:t xml:space="preserve">M. Bogdan, D. Brugger, W. Rosenstiel, and B. Speiser, “Estimation of diffusion coefficients from voltammetric signals by support vector and gaussian process regression,” </w:t>
      </w:r>
      <w:r w:rsidRPr="000766C5">
        <w:rPr>
          <w:rFonts w:ascii="Palatino Linotype" w:hAnsi="Palatino Linotype" w:cs="Times New Roman"/>
          <w:i/>
          <w:iCs/>
          <w:noProof/>
          <w:szCs w:val="24"/>
        </w:rPr>
        <w:t>J. Cheminform.</w:t>
      </w:r>
      <w:r w:rsidRPr="000766C5">
        <w:rPr>
          <w:rFonts w:ascii="Palatino Linotype" w:hAnsi="Palatino Linotype" w:cs="Times New Roman"/>
          <w:noProof/>
          <w:szCs w:val="24"/>
        </w:rPr>
        <w:t>, vol. 6, p. 30, May 2014.</w:t>
      </w:r>
    </w:p>
    <w:p w14:paraId="3AE3E59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[219]</w:t>
      </w:r>
      <w:r w:rsidRPr="000766C5">
        <w:rPr>
          <w:rFonts w:ascii="Palatino Linotype" w:hAnsi="Palatino Linotype" w:cs="Times New Roman"/>
          <w:noProof/>
          <w:szCs w:val="24"/>
        </w:rPr>
        <w:tab/>
        <w:t xml:space="preserve">S. J. Konopka and B. McDuffie, “Diffusion Coefficients of Ferri- and Ferrocyanide Ions in Aqueous Media, Using Twin-Electrode Thin-Layer Electrochemistry,” </w:t>
      </w:r>
      <w:r w:rsidRPr="000766C5">
        <w:rPr>
          <w:rFonts w:ascii="Palatino Linotype" w:hAnsi="Palatino Linotype" w:cs="Times New Roman"/>
          <w:i/>
          <w:iCs/>
          <w:noProof/>
          <w:szCs w:val="24"/>
        </w:rPr>
        <w:t>Anal. Chem.</w:t>
      </w:r>
      <w:r w:rsidRPr="000766C5">
        <w:rPr>
          <w:rFonts w:ascii="Palatino Linotype" w:hAnsi="Palatino Linotype" w:cs="Times New Roman"/>
          <w:noProof/>
          <w:szCs w:val="24"/>
        </w:rPr>
        <w:t>, vol. 42, no. 14, pp. 1741–1746, 1970.</w:t>
      </w:r>
    </w:p>
    <w:p w14:paraId="53EB937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[220]</w:t>
      </w:r>
      <w:r w:rsidRPr="000766C5">
        <w:rPr>
          <w:rFonts w:ascii="Palatino Linotype" w:hAnsi="Palatino Linotype" w:cs="Times New Roman"/>
          <w:noProof/>
          <w:szCs w:val="24"/>
        </w:rPr>
        <w:tab/>
        <w:t xml:space="preserve">J.-P. Gillet, S. Varma, and M. M. Gottesman, “The clinical relevance of cancer cell lines,” </w:t>
      </w:r>
      <w:r w:rsidRPr="000766C5">
        <w:rPr>
          <w:rFonts w:ascii="Palatino Linotype" w:hAnsi="Palatino Linotype" w:cs="Times New Roman"/>
          <w:i/>
          <w:iCs/>
          <w:noProof/>
          <w:szCs w:val="24"/>
        </w:rPr>
        <w:t>J. Natl. Cancer Inst.</w:t>
      </w:r>
      <w:r w:rsidRPr="000766C5">
        <w:rPr>
          <w:rFonts w:ascii="Palatino Linotype" w:hAnsi="Palatino Linotype" w:cs="Times New Roman"/>
          <w:noProof/>
          <w:szCs w:val="24"/>
        </w:rPr>
        <w:t>, vol. 105, no. 7, pp. 452–458, Apr. 2013.</w:t>
      </w:r>
    </w:p>
    <w:p w14:paraId="0F86271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[221]</w:t>
      </w:r>
      <w:r w:rsidRPr="000766C5">
        <w:rPr>
          <w:rFonts w:ascii="Palatino Linotype" w:hAnsi="Palatino Linotype" w:cs="Times New Roman"/>
          <w:noProof/>
          <w:szCs w:val="24"/>
        </w:rPr>
        <w:tab/>
        <w:t xml:space="preserve">A. A. Bojang and H. S. Wu, “Characterization of electrode performance in enzymatic biofuel cells using cyclic voltammetry and electrochemical impedance spectroscopy,” </w:t>
      </w:r>
      <w:r w:rsidRPr="000766C5">
        <w:rPr>
          <w:rFonts w:ascii="Palatino Linotype" w:hAnsi="Palatino Linotype" w:cs="Times New Roman"/>
          <w:i/>
          <w:iCs/>
          <w:noProof/>
          <w:szCs w:val="24"/>
        </w:rPr>
        <w:t>Catalysts</w:t>
      </w:r>
      <w:r w:rsidRPr="000766C5">
        <w:rPr>
          <w:rFonts w:ascii="Palatino Linotype" w:hAnsi="Palatino Linotype" w:cs="Times New Roman"/>
          <w:noProof/>
          <w:szCs w:val="24"/>
        </w:rPr>
        <w:t>, vol. 10, no. 7, 2020.</w:t>
      </w:r>
    </w:p>
    <w:p w14:paraId="28972AF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[222]</w:t>
      </w:r>
      <w:r w:rsidRPr="000766C5">
        <w:rPr>
          <w:rFonts w:ascii="Palatino Linotype" w:hAnsi="Palatino Linotype" w:cs="Times New Roman"/>
          <w:noProof/>
          <w:szCs w:val="24"/>
        </w:rPr>
        <w:tab/>
        <w:t xml:space="preserve">E. P. Randviir, “A cross examination of electron transfer rate constants for carbon screen-printed electrodes using Electrochemical Impedance Spectroscopy and cyclic voltammetry,” </w:t>
      </w:r>
      <w:r w:rsidRPr="000766C5">
        <w:rPr>
          <w:rFonts w:ascii="Palatino Linotype" w:hAnsi="Palatino Linotype" w:cs="Times New Roman"/>
          <w:i/>
          <w:iCs/>
          <w:noProof/>
          <w:szCs w:val="24"/>
        </w:rPr>
        <w:t>Electrochim. Acta</w:t>
      </w:r>
      <w:r w:rsidRPr="000766C5">
        <w:rPr>
          <w:rFonts w:ascii="Palatino Linotype" w:hAnsi="Palatino Linotype" w:cs="Times New Roman"/>
          <w:noProof/>
          <w:szCs w:val="24"/>
        </w:rPr>
        <w:t>, vol. 286, pp. 179–186, 2018.</w:t>
      </w:r>
    </w:p>
    <w:p w14:paraId="4A57749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[223]</w:t>
      </w:r>
      <w:r w:rsidRPr="000766C5">
        <w:rPr>
          <w:rFonts w:ascii="Palatino Linotype" w:hAnsi="Palatino Linotype" w:cs="Times New Roman"/>
          <w:noProof/>
          <w:szCs w:val="24"/>
        </w:rPr>
        <w:tab/>
        <w:t xml:space="preserve">J. Lu, F. Jiang, A. Lu, and G. Zhang, “Linkers Having a Crucial Role in Antibody-Drug Conjugates,” </w:t>
      </w:r>
      <w:r w:rsidRPr="000766C5">
        <w:rPr>
          <w:rFonts w:ascii="Palatino Linotype" w:hAnsi="Palatino Linotype" w:cs="Times New Roman"/>
          <w:i/>
          <w:iCs/>
          <w:noProof/>
          <w:szCs w:val="24"/>
        </w:rPr>
        <w:t>Int. J. Mol. Sci.</w:t>
      </w:r>
      <w:r w:rsidRPr="000766C5">
        <w:rPr>
          <w:rFonts w:ascii="Palatino Linotype" w:hAnsi="Palatino Linotype" w:cs="Times New Roman"/>
          <w:noProof/>
          <w:szCs w:val="24"/>
        </w:rPr>
        <w:t>, vol. 17, no. 4, p. 561, Apr. 2016.</w:t>
      </w:r>
    </w:p>
    <w:p w14:paraId="18205CD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[224]</w:t>
      </w:r>
      <w:r w:rsidRPr="000766C5">
        <w:rPr>
          <w:rFonts w:ascii="Palatino Linotype" w:hAnsi="Palatino Linotype" w:cs="Times New Roman"/>
          <w:noProof/>
          <w:szCs w:val="24"/>
        </w:rPr>
        <w:tab/>
        <w:t xml:space="preserve">K. Pantel and C. Alix-Panabières, “Detection methods of circulating tumor cells,” </w:t>
      </w:r>
      <w:r w:rsidRPr="000766C5">
        <w:rPr>
          <w:rFonts w:ascii="Palatino Linotype" w:hAnsi="Palatino Linotype" w:cs="Times New Roman"/>
          <w:i/>
          <w:iCs/>
          <w:noProof/>
          <w:szCs w:val="24"/>
        </w:rPr>
        <w:t>J. Thorac. Dis.</w:t>
      </w:r>
      <w:r w:rsidRPr="000766C5">
        <w:rPr>
          <w:rFonts w:ascii="Palatino Linotype" w:hAnsi="Palatino Linotype" w:cs="Times New Roman"/>
          <w:noProof/>
          <w:szCs w:val="24"/>
        </w:rPr>
        <w:t>, vol. 4, no. 5, pp. 446–447, Oct. 2012.</w:t>
      </w:r>
    </w:p>
    <w:p w14:paraId="2C96360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[225]</w:t>
      </w:r>
      <w:r w:rsidRPr="000766C5">
        <w:rPr>
          <w:rFonts w:ascii="Palatino Linotype" w:hAnsi="Palatino Linotype" w:cs="Times New Roman"/>
          <w:noProof/>
          <w:szCs w:val="24"/>
        </w:rPr>
        <w:tab/>
        <w:t xml:space="preserve">T. Pantsar, “The current understanding of KRAS protein structure and dynamics,” </w:t>
      </w:r>
      <w:r w:rsidRPr="000766C5">
        <w:rPr>
          <w:rFonts w:ascii="Palatino Linotype" w:hAnsi="Palatino Linotype" w:cs="Times New Roman"/>
          <w:i/>
          <w:iCs/>
          <w:noProof/>
          <w:szCs w:val="24"/>
        </w:rPr>
        <w:t>Comput. Struct. Biotechnol. J.</w:t>
      </w:r>
      <w:r w:rsidRPr="000766C5">
        <w:rPr>
          <w:rFonts w:ascii="Palatino Linotype" w:hAnsi="Palatino Linotype" w:cs="Times New Roman"/>
          <w:noProof/>
          <w:szCs w:val="24"/>
        </w:rPr>
        <w:t>, vol. 18, pp. 189–198, 2020.</w:t>
      </w:r>
    </w:p>
    <w:p w14:paraId="19A2FAB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[226]</w:t>
      </w:r>
      <w:r w:rsidRPr="000766C5">
        <w:rPr>
          <w:rFonts w:ascii="Palatino Linotype" w:hAnsi="Palatino Linotype" w:cs="Times New Roman"/>
          <w:noProof/>
          <w:szCs w:val="24"/>
        </w:rPr>
        <w:tab/>
        <w:t xml:space="preserve">D. K. Simanshu, D. V Nissley, and F. McCormick, “RAS Proteins and Their Regulators in Human Disease,” </w:t>
      </w:r>
      <w:r w:rsidRPr="000766C5">
        <w:rPr>
          <w:rFonts w:ascii="Palatino Linotype" w:hAnsi="Palatino Linotype" w:cs="Times New Roman"/>
          <w:i/>
          <w:iCs/>
          <w:noProof/>
          <w:szCs w:val="24"/>
        </w:rPr>
        <w:t>Cell</w:t>
      </w:r>
      <w:r w:rsidRPr="000766C5">
        <w:rPr>
          <w:rFonts w:ascii="Palatino Linotype" w:hAnsi="Palatino Linotype" w:cs="Times New Roman"/>
          <w:noProof/>
          <w:szCs w:val="24"/>
        </w:rPr>
        <w:t>, vol. 170, no. 1, pp. 17–33, Jun. 2017.</w:t>
      </w:r>
    </w:p>
    <w:p w14:paraId="1C7A02D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[227]</w:t>
      </w:r>
      <w:r w:rsidRPr="000766C5">
        <w:rPr>
          <w:rFonts w:ascii="Palatino Linotype" w:hAnsi="Palatino Linotype" w:cs="Times New Roman"/>
          <w:noProof/>
          <w:szCs w:val="24"/>
        </w:rPr>
        <w:tab/>
        <w:t>I. Consortium, “HHS Public Access,” vol. 7, no. 8, pp. 818–831, 2018.</w:t>
      </w:r>
    </w:p>
    <w:p w14:paraId="0FCBFEA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[228]</w:t>
      </w:r>
      <w:r w:rsidRPr="000766C5">
        <w:rPr>
          <w:rFonts w:ascii="Palatino Linotype" w:hAnsi="Palatino Linotype" w:cs="Times New Roman"/>
          <w:noProof/>
          <w:szCs w:val="24"/>
        </w:rPr>
        <w:tab/>
        <w:t xml:space="preserve">B. Kulemann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“Pancreatic cancer: Circulating Tumor Cells and Primary Tumors show Heterogeneous KRAS Mutations,”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7, no. 1, p. 4510, 2017.</w:t>
      </w:r>
    </w:p>
    <w:p w14:paraId="1FF5DD09"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[229]</w:t>
      </w:r>
      <w:r w:rsidRPr="000766C5">
        <w:rPr>
          <w:rFonts w:ascii="Palatino Linotype" w:hAnsi="Palatino Linotype" w:cs="Times New Roman"/>
          <w:noProof/>
          <w:szCs w:val="24"/>
        </w:rPr>
        <w:tab/>
        <w:t xml:space="preserve">R. E. Shackelford, N. A. Whitling, P. McNab, S. Japa, and D. Coppola, “KRAS Testing: A Tool for the Implementation of Personalized Medicine,” </w:t>
      </w:r>
      <w:r w:rsidRPr="000766C5">
        <w:rPr>
          <w:rFonts w:ascii="Palatino Linotype" w:hAnsi="Palatino Linotype" w:cs="Times New Roman"/>
          <w:i/>
          <w:iCs/>
          <w:noProof/>
          <w:szCs w:val="24"/>
        </w:rPr>
        <w:t>Genes Cancer</w:t>
      </w:r>
      <w:r w:rsidRPr="000766C5">
        <w:rPr>
          <w:rFonts w:ascii="Palatino Linotype" w:hAnsi="Palatino Linotype" w:cs="Times New Roman"/>
          <w:noProof/>
          <w:szCs w:val="24"/>
        </w:rPr>
        <w:t>, vol. 3, no. 7–8, pp. 459–466, Jul. 2012.</w:t>
      </w:r>
    </w:p>
    <w:p w14:paraId="362D5FDD"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[230]</w:t>
      </w:r>
      <w:r w:rsidRPr="000766C5">
        <w:rPr>
          <w:rFonts w:ascii="Palatino Linotype" w:hAnsi="Palatino Linotype" w:cs="Times New Roman"/>
          <w:noProof/>
          <w:szCs w:val="24"/>
        </w:rPr>
        <w:tab/>
        <w:t xml:space="preserve">NCBI, “Homo sapiens KRAS proto-oncogene, GTPase (KRAS), RefSeqGene (LRG_344) on chromosome 12,” </w:t>
      </w:r>
      <w:r w:rsidRPr="000766C5">
        <w:rPr>
          <w:rFonts w:ascii="Palatino Linotype" w:hAnsi="Palatino Linotype" w:cs="Times New Roman"/>
          <w:i/>
          <w:iCs/>
          <w:noProof/>
          <w:szCs w:val="24"/>
        </w:rPr>
        <w:t>National Center for Biotechnology Information, U.S. National Library of Medicine</w:t>
      </w:r>
      <w:r w:rsidRPr="000766C5">
        <w:rPr>
          <w:rFonts w:ascii="Palatino Linotype" w:hAnsi="Palatino Linotype" w:cs="Times New Roman"/>
          <w:noProof/>
          <w:szCs w:val="24"/>
        </w:rPr>
        <w:t>, 2019. [Online]. Available: https://www.ncbi.nlm.nih.gov/nuccore/NG_007524.2?report=fasta&amp;to=53215.</w:t>
      </w:r>
    </w:p>
    <w:p w14:paraId="05C3609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[231]</w:t>
      </w:r>
      <w:r w:rsidRPr="000766C5">
        <w:rPr>
          <w:rFonts w:ascii="Palatino Linotype" w:hAnsi="Palatino Linotype" w:cs="Times New Roman"/>
          <w:noProof/>
          <w:szCs w:val="24"/>
        </w:rPr>
        <w:tab/>
        <w:t xml:space="preserve">C. Ocaña, A. Hayat, R. K. Mishra, A. Vasilescu, M. del Valle, and J. L. Marty, “Label free aptasensor for Lysozyme detection: A comparison of the analytical performance of two aptamers,” </w:t>
      </w:r>
      <w:r w:rsidRPr="000766C5">
        <w:rPr>
          <w:rFonts w:ascii="Palatino Linotype" w:hAnsi="Palatino Linotype" w:cs="Times New Roman"/>
          <w:i/>
          <w:iCs/>
          <w:noProof/>
          <w:szCs w:val="24"/>
        </w:rPr>
        <w:t>Bioelectrochemistry</w:t>
      </w:r>
      <w:r w:rsidRPr="000766C5">
        <w:rPr>
          <w:rFonts w:ascii="Palatino Linotype" w:hAnsi="Palatino Linotype" w:cs="Times New Roman"/>
          <w:noProof/>
          <w:szCs w:val="24"/>
        </w:rPr>
        <w:t>, vol. 105, pp. 72–77, 2015.</w:t>
      </w:r>
    </w:p>
    <w:p w14:paraId="335DBA1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[232]</w:t>
      </w:r>
      <w:r w:rsidRPr="000766C5">
        <w:rPr>
          <w:rFonts w:ascii="Palatino Linotype" w:hAnsi="Palatino Linotype" w:cs="Times New Roman"/>
          <w:noProof/>
          <w:szCs w:val="24"/>
        </w:rPr>
        <w:tab/>
        <w:t xml:space="preserve">S. Chalupczok, P. Kurzweil, H. Hartmann, and C. Schell, “The Redox Chemistry of Ruthenium Dioxide: A Cyclic Voltammetry Study—Review and Revision,” </w:t>
      </w:r>
      <w:r w:rsidRPr="000766C5">
        <w:rPr>
          <w:rFonts w:ascii="Palatino Linotype" w:hAnsi="Palatino Linotype" w:cs="Times New Roman"/>
          <w:i/>
          <w:iCs/>
          <w:noProof/>
          <w:szCs w:val="24"/>
        </w:rPr>
        <w:t>Int. J. Electrochem.</w:t>
      </w:r>
      <w:r w:rsidRPr="000766C5">
        <w:rPr>
          <w:rFonts w:ascii="Palatino Linotype" w:hAnsi="Palatino Linotype" w:cs="Times New Roman"/>
          <w:noProof/>
          <w:szCs w:val="24"/>
        </w:rPr>
        <w:t>, vol. 2018, p. 1273768, 2018.</w:t>
      </w:r>
    </w:p>
    <w:p w14:paraId="2DB86BB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[233]</w:t>
      </w:r>
      <w:r w:rsidRPr="000766C5">
        <w:rPr>
          <w:rFonts w:ascii="Palatino Linotype" w:hAnsi="Palatino Linotype" w:cs="Times New Roman"/>
          <w:noProof/>
          <w:szCs w:val="24"/>
        </w:rPr>
        <w:tab/>
        <w:t>X. Wang, L. Wang, Y. Su, Z. Yue, and T. Xing, “Plasma cell- ­ free DNA quantification is highly correlated to tumor burden in children with neuroblastoma,” no. May, pp. 3022–3030, 2018.</w:t>
      </w:r>
    </w:p>
    <w:p w14:paraId="1708BB7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[234]</w:t>
      </w:r>
      <w:r w:rsidRPr="000766C5">
        <w:rPr>
          <w:rFonts w:ascii="Palatino Linotype" w:hAnsi="Palatino Linotype" w:cs="Times New Roman"/>
          <w:noProof/>
          <w:szCs w:val="24"/>
        </w:rPr>
        <w:tab/>
        <w:t xml:space="preserve">C. Demuth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“Measuring KRAS Mutations in Circulating Tumor DNA by Droplet Digital PCR and Next-Generation Sequencing,” </w:t>
      </w:r>
      <w:r w:rsidRPr="000766C5">
        <w:rPr>
          <w:rFonts w:ascii="Palatino Linotype" w:hAnsi="Palatino Linotype" w:cs="Times New Roman"/>
          <w:i/>
          <w:iCs/>
          <w:noProof/>
          <w:szCs w:val="24"/>
        </w:rPr>
        <w:t>Transl. Oncol.</w:t>
      </w:r>
      <w:r w:rsidRPr="000766C5">
        <w:rPr>
          <w:rFonts w:ascii="Palatino Linotype" w:hAnsi="Palatino Linotype" w:cs="Times New Roman"/>
          <w:noProof/>
          <w:szCs w:val="24"/>
        </w:rPr>
        <w:t>, vol. 11, no. 5, pp. 1220–1224, 2018.</w:t>
      </w:r>
    </w:p>
    <w:p w14:paraId="450BE33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[235]</w:t>
      </w:r>
      <w:r w:rsidRPr="000766C5">
        <w:rPr>
          <w:rFonts w:ascii="Palatino Linotype" w:hAnsi="Palatino Linotype" w:cs="Times New Roman"/>
          <w:noProof/>
          <w:szCs w:val="24"/>
        </w:rPr>
        <w:tab/>
        <w:t xml:space="preserve">H. M. Namløs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“Noninvasive Detection of ctDNA Reveals Intratumor Heterogeneity and Is Associated with Tumor Burden in Gastrointestinal Stromal Tumor,” pp. 2473–2481, 2018.</w:t>
      </w:r>
    </w:p>
    <w:p w14:paraId="7417ECB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[236]</w:t>
      </w:r>
      <w:r w:rsidRPr="000766C5">
        <w:rPr>
          <w:rFonts w:ascii="Palatino Linotype" w:hAnsi="Palatino Linotype" w:cs="Times New Roman"/>
          <w:noProof/>
          <w:szCs w:val="24"/>
        </w:rPr>
        <w:tab/>
        <w:t xml:space="preserve">G. Germano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“Parallel Evaluation of Circulating Tumor DNA and Circulating Tumor Cells in Metastatic Colorectal Cancer,” </w:t>
      </w:r>
      <w:r w:rsidRPr="000766C5">
        <w:rPr>
          <w:rFonts w:ascii="Palatino Linotype" w:hAnsi="Palatino Linotype" w:cs="Times New Roman"/>
          <w:i/>
          <w:iCs/>
          <w:noProof/>
          <w:szCs w:val="24"/>
        </w:rPr>
        <w:t>Clin. Colorectal Cancer</w:t>
      </w:r>
      <w:r w:rsidRPr="000766C5">
        <w:rPr>
          <w:rFonts w:ascii="Palatino Linotype" w:hAnsi="Palatino Linotype" w:cs="Times New Roman"/>
          <w:noProof/>
          <w:szCs w:val="24"/>
        </w:rPr>
        <w:t>, vol. 17, no. 1, pp. 80–83, 2018.</w:t>
      </w:r>
    </w:p>
    <w:p w14:paraId="54E257B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[237]</w:t>
      </w:r>
      <w:r w:rsidRPr="000766C5">
        <w:rPr>
          <w:rFonts w:ascii="Palatino Linotype" w:hAnsi="Palatino Linotype" w:cs="Times New Roman"/>
          <w:noProof/>
          <w:szCs w:val="24"/>
        </w:rPr>
        <w:tab/>
        <w:t xml:space="preserve">F. Sclafani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“OPEN KRAS and BRAF mutations in circulating tumour DNA from locally advanced rectal cancer,” </w:t>
      </w:r>
      <w:r w:rsidRPr="000766C5">
        <w:rPr>
          <w:rFonts w:ascii="Palatino Linotype" w:hAnsi="Palatino Linotype" w:cs="Times New Roman"/>
          <w:i/>
          <w:iCs/>
          <w:noProof/>
          <w:szCs w:val="24"/>
        </w:rPr>
        <w:t>Sci. Rep.</w:t>
      </w:r>
      <w:r w:rsidRPr="000766C5">
        <w:rPr>
          <w:rFonts w:ascii="Palatino Linotype" w:hAnsi="Palatino Linotype" w:cs="Times New Roman"/>
          <w:noProof/>
          <w:szCs w:val="24"/>
        </w:rPr>
        <w:t>, vol. 8, no. 1445, pp. 1–9, 2018.</w:t>
      </w:r>
    </w:p>
    <w:p w14:paraId="0A4B085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[238]</w:t>
      </w:r>
      <w:r w:rsidRPr="000766C5">
        <w:rPr>
          <w:rFonts w:ascii="Palatino Linotype" w:hAnsi="Palatino Linotype" w:cs="Times New Roman"/>
          <w:noProof/>
          <w:szCs w:val="24"/>
        </w:rPr>
        <w:tab/>
        <w:t xml:space="preserve">C. Ou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“Lab on a Chip An ultrasensitive test for profiling circulating tumor DNA using integrated comprehensive droplet digital detection †,” pp. 993–1005, 2019.</w:t>
      </w:r>
    </w:p>
    <w:p w14:paraId="7B8B4EFC"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[239]</w:t>
      </w:r>
      <w:r w:rsidRPr="000766C5">
        <w:rPr>
          <w:rFonts w:ascii="Palatino Linotype" w:hAnsi="Palatino Linotype" w:cs="Times New Roman"/>
          <w:noProof/>
          <w:szCs w:val="24"/>
        </w:rPr>
        <w:tab/>
        <w:t xml:space="preserve">K. M. Koo and M. Trau, “Direct Enhanced Detection of Multiple Circulating Tumor DNA Variants in Unprocessed Plasma by Magnetic-Assisted Bioelectrocatalytic Cycling,” </w:t>
      </w:r>
      <w:r w:rsidRPr="000766C5">
        <w:rPr>
          <w:rFonts w:ascii="Palatino Linotype" w:hAnsi="Palatino Linotype" w:cs="Times New Roman"/>
          <w:i/>
          <w:iCs/>
          <w:noProof/>
          <w:szCs w:val="24"/>
        </w:rPr>
        <w:t>ACS Sensors</w:t>
      </w:r>
      <w:r w:rsidRPr="000766C5">
        <w:rPr>
          <w:rFonts w:ascii="Palatino Linotype" w:hAnsi="Palatino Linotype" w:cs="Times New Roman"/>
          <w:noProof/>
          <w:szCs w:val="24"/>
        </w:rPr>
        <w:t>, vol. 5, no. 10, pp. 3217–3225, Oct. 2020.</w:t>
      </w:r>
    </w:p>
    <w:p w14:paraId="2A621CE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[240]</w:t>
      </w:r>
      <w:r w:rsidRPr="000766C5">
        <w:rPr>
          <w:rFonts w:ascii="Palatino Linotype" w:hAnsi="Palatino Linotype" w:cs="Times New Roman"/>
          <w:noProof/>
          <w:szCs w:val="24"/>
        </w:rPr>
        <w:tab/>
        <w:t xml:space="preserve">P. Yáñez-Sedeño, S. Campuzano, and J. M. Pingarrón, “Integrated affinity biosensing platforms on screen-printed electrodes electrografted with diazonium salts,” </w:t>
      </w:r>
      <w:r w:rsidRPr="000766C5">
        <w:rPr>
          <w:rFonts w:ascii="Palatino Linotype" w:hAnsi="Palatino Linotype" w:cs="Times New Roman"/>
          <w:i/>
          <w:iCs/>
          <w:noProof/>
          <w:szCs w:val="24"/>
        </w:rPr>
        <w:t>Sensors (Switzerland)</w:t>
      </w:r>
      <w:r w:rsidRPr="000766C5">
        <w:rPr>
          <w:rFonts w:ascii="Palatino Linotype" w:hAnsi="Palatino Linotype" w:cs="Times New Roman"/>
          <w:noProof/>
          <w:szCs w:val="24"/>
        </w:rPr>
        <w:t>, vol. 18, no. 2, 2018.</w:t>
      </w:r>
    </w:p>
    <w:p w14:paraId="10FB671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[241]</w:t>
      </w:r>
      <w:r w:rsidRPr="000766C5">
        <w:rPr>
          <w:rFonts w:ascii="Palatino Linotype" w:hAnsi="Palatino Linotype" w:cs="Times New Roman"/>
          <w:noProof/>
          <w:szCs w:val="24"/>
        </w:rPr>
        <w:tab/>
        <w:t xml:space="preserve">S. Renaud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“KRAS exon 2 codon 13 mutation is associated with a better prognosis than codon 12 mutation following lung metastasectomy in colorectal cancer,” </w:t>
      </w:r>
      <w:r w:rsidRPr="000766C5">
        <w:rPr>
          <w:rFonts w:ascii="Palatino Linotype" w:hAnsi="Palatino Linotype" w:cs="Times New Roman"/>
          <w:i/>
          <w:iCs/>
          <w:noProof/>
          <w:szCs w:val="24"/>
        </w:rPr>
        <w:t>Oncotarget</w:t>
      </w:r>
      <w:r w:rsidRPr="000766C5">
        <w:rPr>
          <w:rFonts w:ascii="Palatino Linotype" w:hAnsi="Palatino Linotype" w:cs="Times New Roman"/>
          <w:noProof/>
          <w:szCs w:val="24"/>
        </w:rPr>
        <w:t>, vol. 8, no. 2, pp. 2514–2524, 2017.</w:t>
      </w:r>
    </w:p>
    <w:p w14:paraId="17ADC3E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[242]</w:t>
      </w:r>
      <w:r w:rsidRPr="000766C5">
        <w:rPr>
          <w:rFonts w:ascii="Palatino Linotype" w:hAnsi="Palatino Linotype" w:cs="Times New Roman"/>
          <w:noProof/>
          <w:szCs w:val="24"/>
        </w:rPr>
        <w:tab/>
        <w:t xml:space="preserve">N. Loew, M. Fitriana, K. Hiraka, K. Sode, and W. Tsugawa, “Characterization of electron mediator preference of aerococcus viridans-derived lactate oxidase for use in disposable enzyme sensor strips,” </w:t>
      </w:r>
      <w:r w:rsidRPr="000766C5">
        <w:rPr>
          <w:rFonts w:ascii="Palatino Linotype" w:hAnsi="Palatino Linotype" w:cs="Times New Roman"/>
          <w:i/>
          <w:iCs/>
          <w:noProof/>
          <w:szCs w:val="24"/>
        </w:rPr>
        <w:t>Sensors Mater.</w:t>
      </w:r>
      <w:r w:rsidRPr="000766C5">
        <w:rPr>
          <w:rFonts w:ascii="Palatino Linotype" w:hAnsi="Palatino Linotype" w:cs="Times New Roman"/>
          <w:noProof/>
          <w:szCs w:val="24"/>
        </w:rPr>
        <w:t>, vol. 29, no. 12, pp. 1703–1711, 2017.</w:t>
      </w:r>
    </w:p>
    <w:p w14:paraId="00414EC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[243]</w:t>
      </w:r>
      <w:r w:rsidRPr="000766C5">
        <w:rPr>
          <w:rFonts w:ascii="Palatino Linotype" w:hAnsi="Palatino Linotype" w:cs="Times New Roman"/>
          <w:noProof/>
          <w:szCs w:val="24"/>
        </w:rPr>
        <w:tab/>
        <w:t xml:space="preserve">W. Y. Su, S. M. Wang, and S. H. Cheng, “Electrochemically pretreated screen-printed carbon electrodes for the simultaneous determination of aminophenol isomers,” </w:t>
      </w:r>
      <w:r w:rsidRPr="000766C5">
        <w:rPr>
          <w:rFonts w:ascii="Palatino Linotype" w:hAnsi="Palatino Linotype" w:cs="Times New Roman"/>
          <w:i/>
          <w:iCs/>
          <w:noProof/>
          <w:szCs w:val="24"/>
        </w:rPr>
        <w:t>J. Electroanal. Chem.</w:t>
      </w:r>
      <w:r w:rsidRPr="000766C5">
        <w:rPr>
          <w:rFonts w:ascii="Palatino Linotype" w:hAnsi="Palatino Linotype" w:cs="Times New Roman"/>
          <w:noProof/>
          <w:szCs w:val="24"/>
        </w:rPr>
        <w:t>, vol. 651, no. 2, pp. 166–172, 2011.</w:t>
      </w:r>
    </w:p>
    <w:p w14:paraId="64773A2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[244]</w:t>
      </w:r>
      <w:r w:rsidRPr="000766C5">
        <w:rPr>
          <w:rFonts w:ascii="Palatino Linotype" w:hAnsi="Palatino Linotype" w:cs="Times New Roman"/>
          <w:noProof/>
          <w:szCs w:val="24"/>
        </w:rPr>
        <w:tab/>
        <w:t xml:space="preserve">C. X. Du, L. Han, S. L. Dong, L. H. Li, and Y. Wei, “A novel procedure for fabricating flexible screen-printed electrodes with improved electrochemical performance,” </w:t>
      </w:r>
      <w:r w:rsidRPr="000766C5">
        <w:rPr>
          <w:rFonts w:ascii="Palatino Linotype" w:hAnsi="Palatino Linotype" w:cs="Times New Roman"/>
          <w:i/>
          <w:iCs/>
          <w:noProof/>
          <w:szCs w:val="24"/>
        </w:rPr>
        <w:t>IOP Conf. Ser. Mater. Sci. Eng.</w:t>
      </w:r>
      <w:r w:rsidRPr="000766C5">
        <w:rPr>
          <w:rFonts w:ascii="Palatino Linotype" w:hAnsi="Palatino Linotype" w:cs="Times New Roman"/>
          <w:noProof/>
          <w:szCs w:val="24"/>
        </w:rPr>
        <w:t>, vol. 137, no. 1, pp. 1–8, 2016.</w:t>
      </w:r>
    </w:p>
    <w:p w14:paraId="4CFE9D32"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[245]</w:t>
      </w:r>
      <w:r w:rsidRPr="000766C5">
        <w:rPr>
          <w:rFonts w:ascii="Palatino Linotype" w:hAnsi="Palatino Linotype" w:cs="Times New Roman"/>
          <w:noProof/>
          <w:szCs w:val="24"/>
        </w:rPr>
        <w:tab/>
        <w:t xml:space="preserve">J. Li, J. Macdonald, and F. von Stetten, “Review: a comprehensive summary of a decade development of the recombinase polymerase amplification,” </w:t>
      </w:r>
      <w:r w:rsidRPr="000766C5">
        <w:rPr>
          <w:rFonts w:ascii="Palatino Linotype" w:hAnsi="Palatino Linotype" w:cs="Times New Roman"/>
          <w:i/>
          <w:iCs/>
          <w:noProof/>
          <w:szCs w:val="24"/>
        </w:rPr>
        <w:t>Analyst</w:t>
      </w:r>
      <w:r w:rsidRPr="000766C5">
        <w:rPr>
          <w:rFonts w:ascii="Palatino Linotype" w:hAnsi="Palatino Linotype" w:cs="Times New Roman"/>
          <w:noProof/>
          <w:szCs w:val="24"/>
        </w:rPr>
        <w:t>, vol. 144, no. 1, pp. 31–67, 2019.</w:t>
      </w:r>
    </w:p>
    <w:p w14:paraId="5EE163C6"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[246]</w:t>
      </w:r>
      <w:r w:rsidRPr="000766C5">
        <w:rPr>
          <w:rFonts w:ascii="Palatino Linotype" w:hAnsi="Palatino Linotype" w:cs="Times New Roman"/>
          <w:noProof/>
          <w:szCs w:val="24"/>
        </w:rPr>
        <w:tab/>
        <w:t xml:space="preserve">X. Xiao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 square wave voltammetric method for the detection of microorganism populations using a MWNT-modified glassy carbon electrode,” </w:t>
      </w:r>
      <w:r w:rsidRPr="000766C5">
        <w:rPr>
          <w:rFonts w:ascii="Palatino Linotype" w:hAnsi="Palatino Linotype" w:cs="Times New Roman"/>
          <w:i/>
          <w:iCs/>
          <w:noProof/>
          <w:szCs w:val="24"/>
        </w:rPr>
        <w:t>Electrochim. Acta</w:t>
      </w:r>
      <w:r w:rsidRPr="000766C5">
        <w:rPr>
          <w:rFonts w:ascii="Palatino Linotype" w:hAnsi="Palatino Linotype" w:cs="Times New Roman"/>
          <w:noProof/>
          <w:szCs w:val="24"/>
        </w:rPr>
        <w:t>, vol. 74, pp. 105–110, Jul. 2012.</w:t>
      </w:r>
    </w:p>
    <w:p w14:paraId="07BD9041"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[247]</w:t>
      </w:r>
      <w:r w:rsidRPr="000766C5">
        <w:rPr>
          <w:rFonts w:ascii="Palatino Linotype" w:hAnsi="Palatino Linotype" w:cs="Times New Roman"/>
          <w:noProof/>
          <w:szCs w:val="24"/>
        </w:rPr>
        <w:tab/>
        <w:t xml:space="preserve">J.-H. Ryu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“All-Carbon Electrode Consisting of Carbon Nanotubes on Graphite Foil for Flexible Electrochemical Applications,” </w:t>
      </w:r>
      <w:r w:rsidRPr="000766C5">
        <w:rPr>
          <w:rFonts w:ascii="Palatino Linotype" w:hAnsi="Palatino Linotype" w:cs="Times New Roman"/>
          <w:i/>
          <w:iCs/>
          <w:noProof/>
          <w:szCs w:val="24"/>
        </w:rPr>
        <w:t xml:space="preserve">Materials </w:t>
      </w:r>
      <w:r w:rsidRPr="000766C5">
        <w:rPr>
          <w:rFonts w:ascii="Palatino Linotype" w:hAnsi="Palatino Linotype" w:cs="Times New Roman"/>
          <w:noProof/>
          <w:szCs w:val="24"/>
        </w:rPr>
        <w:t>, vol. 7, no. 3. 2014.</w:t>
      </w:r>
    </w:p>
    <w:p w14:paraId="0E53C19E"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[248]</w:t>
      </w:r>
      <w:r w:rsidRPr="000766C5">
        <w:rPr>
          <w:rFonts w:ascii="Palatino Linotype" w:hAnsi="Palatino Linotype" w:cs="Times New Roman"/>
          <w:noProof/>
          <w:szCs w:val="24"/>
        </w:rPr>
        <w:tab/>
        <w:t xml:space="preserve">E. Paleček, J. Tkáč, M. Bartošík, T. Bertók, V. Ostatná, and J. Paleček, “Electrochemistry of nonconjugated proteins and glycoproteins. Toward sensors for biomedicine and glycomics,” </w:t>
      </w:r>
      <w:r w:rsidRPr="000766C5">
        <w:rPr>
          <w:rFonts w:ascii="Palatino Linotype" w:hAnsi="Palatino Linotype" w:cs="Times New Roman"/>
          <w:i/>
          <w:iCs/>
          <w:noProof/>
          <w:szCs w:val="24"/>
        </w:rPr>
        <w:t>Chem. Rev.</w:t>
      </w:r>
      <w:r w:rsidRPr="000766C5">
        <w:rPr>
          <w:rFonts w:ascii="Palatino Linotype" w:hAnsi="Palatino Linotype" w:cs="Times New Roman"/>
          <w:noProof/>
          <w:szCs w:val="24"/>
        </w:rPr>
        <w:t>, vol. 115, no. 5, pp. 2045–2108, Mar. 2015.</w:t>
      </w:r>
    </w:p>
    <w:p w14:paraId="3E37801F"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[249]</w:t>
      </w:r>
      <w:r w:rsidRPr="000766C5">
        <w:rPr>
          <w:rFonts w:ascii="Palatino Linotype" w:hAnsi="Palatino Linotype" w:cs="Times New Roman"/>
          <w:noProof/>
          <w:szCs w:val="24"/>
        </w:rPr>
        <w:tab/>
        <w:t xml:space="preserve">B. L. Hanssen, S. Siraj, and D. K. Y. Wong, “Recent strategies to minimise fouling in electrochemical detection systems,” </w:t>
      </w:r>
      <w:r w:rsidRPr="000766C5">
        <w:rPr>
          <w:rFonts w:ascii="Palatino Linotype" w:hAnsi="Palatino Linotype" w:cs="Times New Roman"/>
          <w:i/>
          <w:iCs/>
          <w:noProof/>
          <w:szCs w:val="24"/>
        </w:rPr>
        <w:t>Rev. Anal. Chem.</w:t>
      </w:r>
      <w:r w:rsidRPr="000766C5">
        <w:rPr>
          <w:rFonts w:ascii="Palatino Linotype" w:hAnsi="Palatino Linotype" w:cs="Times New Roman"/>
          <w:noProof/>
          <w:szCs w:val="24"/>
        </w:rPr>
        <w:t>, vol. 35, no. 1, pp. 1–28, 2016.</w:t>
      </w:r>
    </w:p>
    <w:p w14:paraId="723B082A"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[250]</w:t>
      </w:r>
      <w:r w:rsidRPr="000766C5">
        <w:rPr>
          <w:rFonts w:ascii="Palatino Linotype" w:hAnsi="Palatino Linotype" w:cs="Times New Roman"/>
          <w:noProof/>
          <w:szCs w:val="24"/>
        </w:rPr>
        <w:tab/>
        <w:t>J. Uhd, A. Okholm, J. Kjems, and K. Astakhova, “Amplification-free liquid biopsy by fluorescence approach University of Southern Denmark , Department of Physics , Chemistry &amp; Pharmacy Nucleic Acid Center , Genomic DNA test,” vol. 270, pp. 106–109, 2017.</w:t>
      </w:r>
    </w:p>
    <w:p w14:paraId="5DB52A7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[251]</w:t>
      </w:r>
      <w:r w:rsidRPr="000766C5">
        <w:rPr>
          <w:rFonts w:ascii="Palatino Linotype" w:hAnsi="Palatino Linotype" w:cs="Times New Roman"/>
          <w:noProof/>
          <w:szCs w:val="24"/>
        </w:rPr>
        <w:tab/>
        <w:t xml:space="preserve">G. Henihan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“Label- and amplification-free electrochemical detection of bacterial ribosomal RNA,” </w:t>
      </w:r>
      <w:r w:rsidRPr="000766C5">
        <w:rPr>
          <w:rFonts w:ascii="Palatino Linotype" w:hAnsi="Palatino Linotype" w:cs="Times New Roman"/>
          <w:i/>
          <w:iCs/>
          <w:noProof/>
          <w:szCs w:val="24"/>
        </w:rPr>
        <w:t>Biosens. Bioelectron.</w:t>
      </w:r>
      <w:r w:rsidRPr="000766C5">
        <w:rPr>
          <w:rFonts w:ascii="Palatino Linotype" w:hAnsi="Palatino Linotype" w:cs="Times New Roman"/>
          <w:noProof/>
          <w:szCs w:val="24"/>
        </w:rPr>
        <w:t>, 2016.</w:t>
      </w:r>
    </w:p>
    <w:p w14:paraId="0A2B1723"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[252]</w:t>
      </w:r>
      <w:r w:rsidRPr="000766C5">
        <w:rPr>
          <w:rFonts w:ascii="Palatino Linotype" w:hAnsi="Palatino Linotype" w:cs="Times New Roman"/>
          <w:noProof/>
          <w:szCs w:val="24"/>
        </w:rPr>
        <w:tab/>
        <w:t xml:space="preserve">J. Uhd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“Ultra-fast detection and quantification of nucleic acids by amplification-free fluorescence assay,” </w:t>
      </w:r>
      <w:r w:rsidRPr="000766C5">
        <w:rPr>
          <w:rFonts w:ascii="Palatino Linotype" w:hAnsi="Palatino Linotype" w:cs="Times New Roman"/>
          <w:i/>
          <w:iCs/>
          <w:noProof/>
          <w:szCs w:val="24"/>
        </w:rPr>
        <w:t>Analyst</w:t>
      </w:r>
      <w:r w:rsidRPr="000766C5">
        <w:rPr>
          <w:rFonts w:ascii="Palatino Linotype" w:hAnsi="Palatino Linotype" w:cs="Times New Roman"/>
          <w:noProof/>
          <w:szCs w:val="24"/>
        </w:rPr>
        <w:t>, vol. 145, no. 17, pp. 5836–5844, 2020.</w:t>
      </w:r>
    </w:p>
    <w:p w14:paraId="32234F84"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[253]</w:t>
      </w:r>
      <w:r w:rsidRPr="000766C5">
        <w:rPr>
          <w:rFonts w:ascii="Palatino Linotype" w:hAnsi="Palatino Linotype" w:cs="Times New Roman"/>
          <w:noProof/>
          <w:szCs w:val="24"/>
        </w:rPr>
        <w:tab/>
        <w:t xml:space="preserve">C. Steinbach </w:t>
      </w:r>
      <w:r w:rsidRPr="000766C5">
        <w:rPr>
          <w:rFonts w:ascii="Palatino Linotype" w:hAnsi="Palatino Linotype" w:cs="Times New Roman"/>
          <w:i/>
          <w:iCs/>
          <w:noProof/>
          <w:szCs w:val="24"/>
        </w:rPr>
        <w:t>et al.</w:t>
      </w:r>
      <w:r w:rsidRPr="000766C5">
        <w:rPr>
          <w:rFonts w:ascii="Palatino Linotype" w:hAnsi="Palatino Linotype" w:cs="Times New Roman"/>
          <w:noProof/>
          <w:szCs w:val="24"/>
        </w:rPr>
        <w:t xml:space="preserve">, “KRAS mutation screening by chip-based DNA hybridization – a further step towards personalized oncology,” </w:t>
      </w:r>
      <w:r w:rsidRPr="000766C5">
        <w:rPr>
          <w:rFonts w:ascii="Palatino Linotype" w:hAnsi="Palatino Linotype" w:cs="Times New Roman"/>
          <w:i/>
          <w:iCs/>
          <w:noProof/>
          <w:szCs w:val="24"/>
        </w:rPr>
        <w:t>Analyst</w:t>
      </w:r>
      <w:r w:rsidRPr="000766C5">
        <w:rPr>
          <w:rFonts w:ascii="Palatino Linotype" w:hAnsi="Palatino Linotype" w:cs="Times New Roman"/>
          <w:noProof/>
          <w:szCs w:val="24"/>
        </w:rPr>
        <w:t>, vol. 140, no. 8, pp. 2747–2754, 2015.</w:t>
      </w:r>
    </w:p>
    <w:p w14:paraId="0FAE3E77"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[254]</w:t>
      </w:r>
      <w:r w:rsidRPr="000766C5">
        <w:rPr>
          <w:rFonts w:ascii="Palatino Linotype" w:hAnsi="Palatino Linotype" w:cs="Times New Roman"/>
          <w:noProof/>
          <w:szCs w:val="24"/>
        </w:rPr>
        <w:tab/>
        <w:t xml:space="preserve">NHS, “Treatment,” </w:t>
      </w:r>
      <w:r w:rsidRPr="000766C5">
        <w:rPr>
          <w:rFonts w:ascii="Palatino Linotype" w:hAnsi="Palatino Linotype" w:cs="Times New Roman"/>
          <w:i/>
          <w:iCs/>
          <w:noProof/>
          <w:szCs w:val="24"/>
        </w:rPr>
        <w:t>11/05/2018</w:t>
      </w:r>
      <w:r w:rsidRPr="000766C5">
        <w:rPr>
          <w:rFonts w:ascii="Palatino Linotype" w:hAnsi="Palatino Linotype" w:cs="Times New Roman"/>
          <w:noProof/>
          <w:szCs w:val="24"/>
        </w:rPr>
        <w:t>, 2018. [Online]. Available: https://www.nhs.uk/conditions/cervical-cancer/treatment/. [Accessed: 14-Aug-2020].</w:t>
      </w:r>
    </w:p>
    <w:p w14:paraId="2A9F27F5"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cs="Times New Roman"/>
          <w:noProof/>
          <w:szCs w:val="24"/>
        </w:rPr>
      </w:pPr>
      <w:r w:rsidRPr="000766C5">
        <w:rPr>
          <w:rFonts w:ascii="Palatino Linotype" w:hAnsi="Palatino Linotype" w:cs="Times New Roman"/>
          <w:noProof/>
          <w:szCs w:val="24"/>
        </w:rPr>
        <w:t>[255]</w:t>
      </w:r>
      <w:r w:rsidRPr="000766C5">
        <w:rPr>
          <w:rFonts w:ascii="Palatino Linotype" w:hAnsi="Palatino Linotype" w:cs="Times New Roman"/>
          <w:noProof/>
          <w:szCs w:val="24"/>
        </w:rPr>
        <w:tab/>
        <w:t>S. Perakis and M. R. Speicher, “Emerging concepts in liquid biopsies,” pp. 1–12, 2017.</w:t>
      </w:r>
    </w:p>
    <w:p w14:paraId="36CCBBD8" w14:textId="77777777" w:rsidR="000766C5" w:rsidRPr="000766C5" w:rsidRDefault="000766C5" w:rsidP="000766C5">
      <w:pPr>
        <w:widowControl w:val="0"/>
        <w:autoSpaceDE w:val="0"/>
        <w:autoSpaceDN w:val="0"/>
        <w:adjustRightInd w:val="0"/>
        <w:spacing w:line="360" w:lineRule="auto"/>
        <w:ind w:left="640" w:hanging="640"/>
        <w:rPr>
          <w:rFonts w:ascii="Palatino Linotype" w:hAnsi="Palatino Linotype"/>
          <w:noProof/>
        </w:rPr>
      </w:pPr>
      <w:r w:rsidRPr="000766C5">
        <w:rPr>
          <w:rFonts w:ascii="Palatino Linotype" w:hAnsi="Palatino Linotype" w:cs="Times New Roman"/>
          <w:noProof/>
          <w:szCs w:val="24"/>
        </w:rPr>
        <w:t>[256]</w:t>
      </w:r>
      <w:r w:rsidRPr="000766C5">
        <w:rPr>
          <w:rFonts w:ascii="Palatino Linotype" w:hAnsi="Palatino Linotype" w:cs="Times New Roman"/>
          <w:noProof/>
          <w:szCs w:val="24"/>
        </w:rPr>
        <w:tab/>
        <w:t xml:space="preserve">C. H. Chung and J. H. Kim, “One-step isothermal detection of multiple KRAS mutations by forming SNP specific hairpins on a gold nanoshell,” </w:t>
      </w:r>
      <w:r w:rsidRPr="000766C5">
        <w:rPr>
          <w:rFonts w:ascii="Palatino Linotype" w:hAnsi="Palatino Linotype" w:cs="Times New Roman"/>
          <w:i/>
          <w:iCs/>
          <w:noProof/>
          <w:szCs w:val="24"/>
        </w:rPr>
        <w:t>Analyst</w:t>
      </w:r>
      <w:r w:rsidRPr="000766C5">
        <w:rPr>
          <w:rFonts w:ascii="Palatino Linotype" w:hAnsi="Palatino Linotype" w:cs="Times New Roman"/>
          <w:noProof/>
          <w:szCs w:val="24"/>
        </w:rPr>
        <w:t>, vol. 143, no. 15, pp. 3544–3548, 2018.</w:t>
      </w:r>
    </w:p>
    <w:p w14:paraId="5C4EABF9" w14:textId="77777777" w:rsidR="00A542D0" w:rsidRDefault="00143867" w:rsidP="008858EE">
      <w:r w:rsidRPr="005B1CCB">
        <w:fldChar w:fldCharType="end"/>
      </w:r>
    </w:p>
    <w:p w14:paraId="50F358B5" w14:textId="0F8F0306" w:rsidR="00A542D0" w:rsidRDefault="00A542D0" w:rsidP="008858EE"/>
    <w:p w14:paraId="7C73B9CB" w14:textId="7EAB9EEC" w:rsidR="008858EE" w:rsidRDefault="008858EE" w:rsidP="008858EE"/>
    <w:p w14:paraId="18FCBF72" w14:textId="33642D03" w:rsidR="008858EE" w:rsidRDefault="008858EE" w:rsidP="008858EE"/>
    <w:p w14:paraId="251FABB3" w14:textId="328B88DD" w:rsidR="008858EE" w:rsidRDefault="008858EE" w:rsidP="008858EE"/>
    <w:p w14:paraId="2E0E4F7E" w14:textId="55C08F49" w:rsidR="008858EE" w:rsidRDefault="008858EE" w:rsidP="008858EE"/>
    <w:p w14:paraId="5745C4C6" w14:textId="2FD0D279" w:rsidR="008858EE" w:rsidRDefault="008858EE" w:rsidP="008858EE"/>
    <w:p w14:paraId="79273456" w14:textId="792AD948" w:rsidR="008858EE" w:rsidRDefault="008858EE" w:rsidP="008858EE"/>
    <w:p w14:paraId="7BDEA307" w14:textId="78787233" w:rsidR="008858EE" w:rsidRDefault="008858EE" w:rsidP="008858EE"/>
    <w:p w14:paraId="3FC20FC7" w14:textId="350D69FC" w:rsidR="008858EE" w:rsidRDefault="008858EE" w:rsidP="008858EE"/>
    <w:p w14:paraId="5EA7A9BC" w14:textId="5DD74CD2" w:rsidR="008858EE" w:rsidRDefault="008858EE" w:rsidP="008858EE"/>
    <w:p w14:paraId="27AB0E20" w14:textId="780A70D3" w:rsidR="008858EE" w:rsidRDefault="008858EE" w:rsidP="008858EE"/>
    <w:p w14:paraId="43973947" w14:textId="58AA0D5F" w:rsidR="008858EE" w:rsidRDefault="008858EE" w:rsidP="008858EE"/>
    <w:p w14:paraId="0ECFD26D" w14:textId="20A170AC" w:rsidR="008858EE" w:rsidRDefault="008858EE" w:rsidP="008858EE"/>
    <w:p w14:paraId="6C6C4B4E" w14:textId="0CF263D0" w:rsidR="008858EE" w:rsidRDefault="008858EE" w:rsidP="008858EE"/>
    <w:p w14:paraId="49EBEBC4" w14:textId="25B114AD" w:rsidR="008858EE" w:rsidRDefault="008858EE" w:rsidP="008858EE"/>
    <w:p w14:paraId="1572EBBF" w14:textId="5EB88D4B" w:rsidR="008858EE" w:rsidRDefault="008858EE" w:rsidP="008858EE"/>
    <w:p w14:paraId="691164FD" w14:textId="0C62649B" w:rsidR="008858EE" w:rsidRDefault="008858EE" w:rsidP="008858EE"/>
    <w:p w14:paraId="35BA42AF" w14:textId="32744EF6" w:rsidR="008858EE" w:rsidRDefault="008858EE" w:rsidP="008858EE"/>
    <w:p w14:paraId="3305FB39" w14:textId="56C0B4F8" w:rsidR="008858EE" w:rsidRDefault="008858EE" w:rsidP="008858EE"/>
    <w:p w14:paraId="39EB8169" w14:textId="20508036" w:rsidR="008858EE" w:rsidRDefault="008858EE" w:rsidP="008858EE"/>
    <w:p w14:paraId="4B535B47" w14:textId="2EA41EDE" w:rsidR="008858EE" w:rsidRDefault="008858EE" w:rsidP="008858EE"/>
    <w:p w14:paraId="6940FCFF" w14:textId="339CA233" w:rsidR="008858EE" w:rsidRDefault="008858EE" w:rsidP="008858EE"/>
    <w:p w14:paraId="1B07511A" w14:textId="17EB01C6" w:rsidR="008858EE" w:rsidRDefault="008858EE" w:rsidP="008858EE"/>
    <w:p w14:paraId="2DAFC1A7" w14:textId="166317D4" w:rsidR="008858EE" w:rsidRDefault="008858EE" w:rsidP="008858EE"/>
    <w:p w14:paraId="7295DB6E" w14:textId="1E53EFFE" w:rsidR="008858EE" w:rsidRDefault="008858EE" w:rsidP="008858EE"/>
    <w:p w14:paraId="152AA690" w14:textId="77777777" w:rsidR="008858EE" w:rsidRPr="008858EE" w:rsidRDefault="008858EE" w:rsidP="008858EE"/>
    <w:p w14:paraId="031F8EB8" w14:textId="237E9794" w:rsidR="00E53787" w:rsidRPr="005B1CCB" w:rsidRDefault="000E2CDD" w:rsidP="001C5BDE">
      <w:pPr>
        <w:pStyle w:val="Heading1"/>
        <w:numPr>
          <w:ilvl w:val="0"/>
          <w:numId w:val="0"/>
        </w:numPr>
        <w:spacing w:line="360" w:lineRule="auto"/>
        <w:ind w:left="432"/>
      </w:pPr>
      <w:bookmarkStart w:id="238" w:name="_Toc84528163"/>
      <w:r w:rsidRPr="005B1CCB">
        <w:t>APPENDIX</w:t>
      </w:r>
      <w:bookmarkEnd w:id="238"/>
    </w:p>
    <w:p w14:paraId="6CB2DBB8" w14:textId="77777777" w:rsidR="006A093C" w:rsidRPr="005B1CCB" w:rsidRDefault="006A093C" w:rsidP="001C5BDE">
      <w:pPr>
        <w:spacing w:line="360" w:lineRule="auto"/>
        <w:rPr>
          <w:rFonts w:ascii="Palatino Linotype" w:hAnsi="Palatino Linotype"/>
          <w:b/>
        </w:rPr>
      </w:pPr>
      <w:r w:rsidRPr="005B1CCB">
        <w:rPr>
          <w:rFonts w:ascii="Palatino Linotype" w:hAnsi="Palatino Linotype"/>
          <w:b/>
        </w:rPr>
        <w:t>Section 1</w:t>
      </w:r>
    </w:p>
    <w:p w14:paraId="24A40880" w14:textId="77777777" w:rsidR="001C5BDE" w:rsidRPr="005B1CCB" w:rsidRDefault="006A093C" w:rsidP="001C5BDE">
      <w:pPr>
        <w:spacing w:line="360" w:lineRule="auto"/>
        <w:rPr>
          <w:rFonts w:ascii="Palatino Linotype" w:hAnsi="Palatino Linotype"/>
          <w:b/>
        </w:rPr>
      </w:pPr>
      <w:r w:rsidRPr="005B1CCB">
        <w:rPr>
          <w:rFonts w:ascii="Palatino Linotype" w:hAnsi="Palatino Linotype"/>
          <w:b/>
        </w:rPr>
        <w:t xml:space="preserve">Tp53 sequences </w:t>
      </w:r>
    </w:p>
    <w:tbl>
      <w:tblPr>
        <w:tblW w:w="10350" w:type="dxa"/>
        <w:jc w:val="center"/>
        <w:tblLayout w:type="fixed"/>
        <w:tblLook w:val="04A0" w:firstRow="1" w:lastRow="0" w:firstColumn="1" w:lastColumn="0" w:noHBand="0" w:noVBand="1"/>
      </w:tblPr>
      <w:tblGrid>
        <w:gridCol w:w="3114"/>
        <w:gridCol w:w="7236"/>
      </w:tblGrid>
      <w:tr w:rsidR="001C5BDE" w:rsidRPr="005B1CCB" w14:paraId="1F188C1F" w14:textId="77777777" w:rsidTr="0072582B">
        <w:trPr>
          <w:jc w:val="center"/>
        </w:trPr>
        <w:tc>
          <w:tcPr>
            <w:tcW w:w="3114" w:type="dxa"/>
            <w:tcBorders>
              <w:top w:val="single" w:sz="4" w:space="0" w:color="auto"/>
              <w:left w:val="single" w:sz="4" w:space="0" w:color="auto"/>
              <w:bottom w:val="single" w:sz="4" w:space="0" w:color="auto"/>
              <w:right w:val="single" w:sz="4" w:space="0" w:color="auto"/>
            </w:tcBorders>
            <w:hideMark/>
          </w:tcPr>
          <w:p w14:paraId="43E6DB36" w14:textId="77777777" w:rsidR="001C5BDE" w:rsidRPr="005B1CCB" w:rsidRDefault="001C5BDE" w:rsidP="003D5F5E">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T</w:t>
            </w:r>
            <w:r w:rsidR="003D5F5E" w:rsidRPr="005B1CCB">
              <w:rPr>
                <w:rFonts w:ascii="Palatino Linotype" w:eastAsia="Times New Roman" w:hAnsi="Palatino Linotype" w:cs="Times New Roman"/>
                <w:sz w:val="24"/>
                <w:szCs w:val="24"/>
              </w:rPr>
              <w:t>p</w:t>
            </w:r>
            <w:r w:rsidRPr="005B1CCB">
              <w:rPr>
                <w:rFonts w:ascii="Palatino Linotype" w:eastAsia="Times New Roman" w:hAnsi="Palatino Linotype" w:cs="Times New Roman"/>
                <w:sz w:val="24"/>
                <w:szCs w:val="24"/>
              </w:rPr>
              <w:t>53 wild-type Plasmid DNA (From E.coli)</w:t>
            </w:r>
          </w:p>
        </w:tc>
        <w:tc>
          <w:tcPr>
            <w:tcW w:w="7236" w:type="dxa"/>
            <w:tcBorders>
              <w:top w:val="single" w:sz="4" w:space="0" w:color="auto"/>
              <w:left w:val="single" w:sz="4" w:space="0" w:color="auto"/>
              <w:bottom w:val="single" w:sz="4" w:space="0" w:color="auto"/>
              <w:right w:val="single" w:sz="4" w:space="0" w:color="auto"/>
            </w:tcBorders>
            <w:hideMark/>
          </w:tcPr>
          <w:p w14:paraId="0A746FC0" w14:textId="77777777" w:rsidR="001C5BDE" w:rsidRPr="005B1CCB" w:rsidRDefault="001C5BDE" w:rsidP="0072582B">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&gt; T7 5'-TAATACGACTCACTATAGGG-3'</w:t>
            </w:r>
          </w:p>
          <w:p w14:paraId="2FEFD704" w14:textId="77777777" w:rsidR="001C5BDE" w:rsidRPr="005B1CCB" w:rsidRDefault="001C5BDE" w:rsidP="0072582B">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TCTaGAaATaATTTTGTTTaACTTTAAGAAGGAGATATACCATGGGCAGCAGCCATCATCATcATCATCACAGCAGCGGCCTGGTGCCGCGCGGCAGCCATATGGAGGAGCCGCAGTCAGATCCTAGCGTCGAGCCCCCTCTGAGTCAGGAAACATTTTCAGACCTATGGAAACTACTTCCTGAAAACAACGTTCTGTCCCCCTTGCCGTCCCAAGCAATGGATGATTTGATGCTGTCCCCGGACGATATTGAACAATGGTTCACCGAAGACCCAGGTCCAGATGAAGCTCCCAGAATGCCAGAGGCTGCTCCCCCCGTGGCCCCTGCACCAGCAGCTCCTACACCGGCGGCCCCTGCACCAGCCCCCTCCTGGCCCCTGTCATCTTCTGTCCCTTCCCAGAAAACCTACCAGGGCAGCTACGGTTTCCGTCTGGGCTTCTTGCATTCTGGGACAGCCAAGTCTGTGACTTGCACGTACTCCCCTGCCCTCAACAAGATGTTTTGCCAACTGGCCAAGACCTGCCCTGTGCAGCTGTGGGTTGATTCCACACCCCCGCCCGGCACCCGCGTCCGCGCCATGGCCATCTACAAGCAGTCACAGCACATGACGGAGGTTGTGAGGCGCTGCCCCCACCATGAGCGCTGCTCAGATAGCGATGGTCTGGCCCCTCCTCAGCATCTTATCCGAGTGGAAGGAAATTTGCGTGTGGAGTATTTGGATGACAGAAACACTTTTCGACATAGTGTGGTGGTGCCCTATGAGCCGCCTGAGGTTGGCTCTGACTGTACCACCATCCACTACAACTACATGTGTAACAGTTCCTGCATGGGCGGCATGAACCGGAGGCCCATCCTCACCATCATCACACTGGAAGACTCCAGTGGTAATCTACTGGGACGGAACAGCTTTGAgGTGCGTGTTTGTGCCTGTCCTGGGAGAGACCGGCGCACAGAGGAAGAGAATCTCCGCAAGAAAGGGGAGC</w:t>
            </w:r>
          </w:p>
        </w:tc>
      </w:tr>
      <w:tr w:rsidR="001C5BDE" w:rsidRPr="005B1CCB" w14:paraId="1B48413B" w14:textId="77777777" w:rsidTr="0072582B">
        <w:trPr>
          <w:jc w:val="center"/>
        </w:trPr>
        <w:tc>
          <w:tcPr>
            <w:tcW w:w="3114" w:type="dxa"/>
            <w:tcBorders>
              <w:top w:val="single" w:sz="4" w:space="0" w:color="auto"/>
              <w:left w:val="single" w:sz="4" w:space="0" w:color="auto"/>
              <w:bottom w:val="single" w:sz="4" w:space="0" w:color="auto"/>
              <w:right w:val="single" w:sz="4" w:space="0" w:color="auto"/>
            </w:tcBorders>
            <w:hideMark/>
          </w:tcPr>
          <w:p w14:paraId="0BC448AC" w14:textId="77777777" w:rsidR="001C5BDE" w:rsidRPr="005B1CCB" w:rsidRDefault="001C5BDE" w:rsidP="003D5F5E">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T</w:t>
            </w:r>
            <w:r w:rsidR="003D5F5E" w:rsidRPr="005B1CCB">
              <w:rPr>
                <w:rFonts w:ascii="Palatino Linotype" w:eastAsia="Times New Roman" w:hAnsi="Palatino Linotype" w:cs="Times New Roman"/>
                <w:sz w:val="24"/>
                <w:szCs w:val="24"/>
              </w:rPr>
              <w:t>p</w:t>
            </w:r>
            <w:r w:rsidRPr="005B1CCB">
              <w:rPr>
                <w:rFonts w:ascii="Palatino Linotype" w:eastAsia="Times New Roman" w:hAnsi="Palatino Linotype" w:cs="Times New Roman"/>
                <w:sz w:val="24"/>
                <w:szCs w:val="24"/>
              </w:rPr>
              <w:t>53 p.R273H Mutation in U-373 MG cell line</w:t>
            </w:r>
          </w:p>
        </w:tc>
        <w:tc>
          <w:tcPr>
            <w:tcW w:w="7236" w:type="dxa"/>
            <w:tcBorders>
              <w:top w:val="single" w:sz="4" w:space="0" w:color="auto"/>
              <w:left w:val="single" w:sz="4" w:space="0" w:color="auto"/>
              <w:bottom w:val="single" w:sz="4" w:space="0" w:color="auto"/>
              <w:right w:val="single" w:sz="4" w:space="0" w:color="auto"/>
            </w:tcBorders>
            <w:hideMark/>
          </w:tcPr>
          <w:p w14:paraId="0424A5EF" w14:textId="77777777" w:rsidR="001C5BDE" w:rsidRPr="005B1CCB" w:rsidRDefault="001C5BDE" w:rsidP="0072582B">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&gt; Bglob-intron-F 5'-ctggtcatcatcctgccttt-3'</w:t>
            </w:r>
          </w:p>
          <w:p w14:paraId="0CFE8530" w14:textId="77777777" w:rsidR="001C5BDE" w:rsidRPr="005B1CCB" w:rsidRDefault="001C5BDE" w:rsidP="0072582B">
            <w:pPr>
              <w:autoSpaceDE w:val="0"/>
              <w:autoSpaceDN w:val="0"/>
              <w:spacing w:line="360" w:lineRule="auto"/>
              <w:jc w:val="both"/>
              <w:rPr>
                <w:rFonts w:ascii="Palatino Linotype" w:eastAsia="Times New Roman" w:hAnsi="Palatino Linotype" w:cs="Times New Roman"/>
                <w:sz w:val="24"/>
                <w:szCs w:val="24"/>
              </w:rPr>
            </w:pPr>
            <w:r w:rsidRPr="005B1CCB">
              <w:rPr>
                <w:rFonts w:ascii="Palatino Linotype" w:eastAsia="Times New Roman" w:hAnsi="Palatino Linotype" w:cs="Times New Roman"/>
                <w:sz w:val="24"/>
                <w:szCs w:val="24"/>
              </w:rPr>
              <w:t>atatacACTGTTTGAGATGAGGATAAAATACTCTGAGTCCAAACCGGGCCCCTCTGCTAACCATGTTcATGCCTTCTTCTCTTTCCTACAGCTCCTGGGCAACGTGCTGGTTGTTGTGCTGTCTCATCATTTTGGCAAAGAATTCCTCGACGGATCCGAATTCCACGACGGTGACACGCTTCCCTGGATTGGCAGCCAGACTGCCTTCCGGGTCACTGCCATGGAGGAGCCGCAGTCAGATCCTAGCGTCGAGCCCCCTCTGAGTCAGGAAACATTTTCAGACCTATGGAAACTACTTCCTGAAAACAACGTTCTGTCCCCCTTGCCGTCCCAAGCAATGGATGATTTGATGCTGTCCCCGGACGATATTGAACAATGGTTCACTGAAGACCCAGGTCCAGATGAAGCTCCCAGAATGCCAGAGGCTGCTCCCCGCGTGGCCCCTGCACCAGCAGCTCCTACACCGGCGGCCCCTGCACCAGCCCCCTCCTGGCCCCTGTCATCTTCTGTCCCTTCCCAGAAAACCTACCAGGGCAGCTACGGTTTCCGTCTGGGCTTCTTGCATTCTGGGACAGCCAAGTCTGTGACTTGCACGTACTCCCCTGCCCTCAACAAGATGTTTTGCCAACTGGCCAAGACCTGCCCTGTGCAGCTGTGGGTTGATTCCACACCCCCGCCCGGCACCCGCGTCCGCGCCATGGCCATCTACAAGCAGTCACAGCACATGACGGAGGTTGTGAGGCGCTGCCCCCACCATGAGCGCTGCTCAGATAGCGATGGTCTGGCCCCTCCTCAGCATCTTATCCGAGTGGAAGGAAATTTGCGTGTGGAGTATTTGGATGACAGAAACACTTTTCGACATAGTGTGGTGGGCCCTATGAGCCGCCTGAGGTTGGCTCTGACTGTACCACCATCCACTACAACTACATGTG</w:t>
            </w:r>
          </w:p>
        </w:tc>
      </w:tr>
    </w:tbl>
    <w:p w14:paraId="3DFB3027" w14:textId="77777777" w:rsidR="00935C6E" w:rsidRPr="005B1CCB" w:rsidRDefault="00935C6E" w:rsidP="001C5BDE">
      <w:pPr>
        <w:rPr>
          <w:rFonts w:ascii="Palatino Linotype" w:hAnsi="Palatino Linotype"/>
          <w:b/>
          <w:sz w:val="24"/>
          <w:szCs w:val="24"/>
        </w:rPr>
      </w:pPr>
    </w:p>
    <w:p w14:paraId="68731917" w14:textId="77777777" w:rsidR="001C5BDE" w:rsidRPr="005B1CCB" w:rsidRDefault="00563E14" w:rsidP="006A093C">
      <w:pPr>
        <w:spacing w:line="240" w:lineRule="auto"/>
        <w:rPr>
          <w:rFonts w:ascii="Palatino Linotype" w:hAnsi="Palatino Linotype"/>
          <w:b/>
          <w:sz w:val="24"/>
          <w:szCs w:val="24"/>
        </w:rPr>
      </w:pPr>
      <w:r w:rsidRPr="005B1CCB">
        <w:rPr>
          <w:rFonts w:ascii="Palatino Linotype" w:hAnsi="Palatino Linotype"/>
          <w:b/>
          <w:sz w:val="24"/>
          <w:szCs w:val="24"/>
        </w:rPr>
        <w:t>Section 2</w:t>
      </w:r>
    </w:p>
    <w:p w14:paraId="229667CA" w14:textId="77777777" w:rsidR="00B11344" w:rsidRPr="005B1CCB" w:rsidRDefault="00563E14" w:rsidP="00B11344">
      <w:pPr>
        <w:rPr>
          <w:rFonts w:ascii="Palatino Linotype" w:hAnsi="Palatino Linotype"/>
        </w:rPr>
      </w:pPr>
      <w:r w:rsidRPr="005B1CCB">
        <w:rPr>
          <w:rFonts w:ascii="Palatino Linotype" w:hAnsi="Palatino Linotype"/>
        </w:rPr>
        <w:t xml:space="preserve">More </w:t>
      </w:r>
      <w:r w:rsidR="00B11344" w:rsidRPr="005B1CCB">
        <w:rPr>
          <w:rFonts w:ascii="Palatino Linotype" w:hAnsi="Palatino Linotype"/>
        </w:rPr>
        <w:t>CNT modified electrode</w:t>
      </w:r>
      <w:r w:rsidRPr="005B1CCB">
        <w:rPr>
          <w:rFonts w:ascii="Palatino Linotype" w:hAnsi="Palatino Linotype"/>
        </w:rPr>
        <w:t xml:space="preserve"> hybridisation results</w:t>
      </w:r>
    </w:p>
    <w:p w14:paraId="7F188174" w14:textId="77777777" w:rsidR="000E2CDD" w:rsidRPr="005B1CCB" w:rsidRDefault="00FC1DBE" w:rsidP="000E2CDD">
      <w:pPr>
        <w:rPr>
          <w:rFonts w:ascii="Palatino Linotype" w:hAnsi="Palatino Linotype"/>
          <w:sz w:val="24"/>
          <w:szCs w:val="24"/>
        </w:rPr>
      </w:pPr>
      <w:r w:rsidRPr="005B1CCB">
        <w:rPr>
          <w:noProof/>
          <w:lang w:eastAsia="en-GB"/>
        </w:rPr>
        <w:drawing>
          <wp:inline distT="0" distB="0" distL="0" distR="0" wp14:anchorId="26B4A190" wp14:editId="607C6C5E">
            <wp:extent cx="5963893" cy="423354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99348" cy="4258713"/>
                    </a:xfrm>
                    <a:prstGeom prst="rect">
                      <a:avLst/>
                    </a:prstGeom>
                  </pic:spPr>
                </pic:pic>
              </a:graphicData>
            </a:graphic>
          </wp:inline>
        </w:drawing>
      </w:r>
    </w:p>
    <w:p w14:paraId="6A2B2D82" w14:textId="77777777" w:rsidR="009B6F98" w:rsidRPr="000E2CDD" w:rsidRDefault="00FC1DBE" w:rsidP="0090487F">
      <w:r w:rsidRPr="005B1CCB">
        <w:rPr>
          <w:noProof/>
          <w:lang w:eastAsia="en-GB"/>
        </w:rPr>
        <w:drawing>
          <wp:inline distT="0" distB="0" distL="0" distR="0" wp14:anchorId="6E228529" wp14:editId="20FBDE99">
            <wp:extent cx="5925856" cy="3786315"/>
            <wp:effectExtent l="0" t="0" r="0" b="508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8706" cy="3800915"/>
                    </a:xfrm>
                    <a:prstGeom prst="rect">
                      <a:avLst/>
                    </a:prstGeom>
                  </pic:spPr>
                </pic:pic>
              </a:graphicData>
            </a:graphic>
          </wp:inline>
        </w:drawing>
      </w:r>
    </w:p>
    <w:sectPr w:rsidR="009B6F98" w:rsidRPr="000E2CDD" w:rsidSect="00F026CE">
      <w:headerReference w:type="default" r:id="rId100"/>
      <w:footerReference w:type="default" r:id="rId101"/>
      <w:pgSz w:w="11906" w:h="16838"/>
      <w:pgMar w:top="1440" w:right="1440" w:bottom="1440"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25BFC" w14:textId="77777777" w:rsidR="00DD4134" w:rsidRDefault="00DD4134">
      <w:pPr>
        <w:spacing w:after="0" w:line="240" w:lineRule="auto"/>
      </w:pPr>
      <w:r>
        <w:separator/>
      </w:r>
    </w:p>
  </w:endnote>
  <w:endnote w:type="continuationSeparator" w:id="0">
    <w:p w14:paraId="7F41409A" w14:textId="77777777" w:rsidR="00DD4134" w:rsidRDefault="00DD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Light">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666D2" w14:textId="02AB4493" w:rsidR="00612A45" w:rsidRDefault="00612A45">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Pr="000F41EB">
      <w:rPr>
        <w:b/>
        <w:bCs/>
        <w:noProof/>
      </w:rPr>
      <w:t>107</w:t>
    </w:r>
    <w:r>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4B7E6" w14:textId="14B1CF4F" w:rsidR="00612A45" w:rsidRDefault="00612A45">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Pr="000F41EB">
      <w:rPr>
        <w:b/>
        <w:bCs/>
        <w:noProof/>
      </w:rPr>
      <w:t>117</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F1FDD" w14:textId="77777777" w:rsidR="00DD4134" w:rsidRDefault="00DD4134">
      <w:pPr>
        <w:spacing w:after="0" w:line="240" w:lineRule="auto"/>
      </w:pPr>
      <w:r>
        <w:separator/>
      </w:r>
    </w:p>
  </w:footnote>
  <w:footnote w:type="continuationSeparator" w:id="0">
    <w:p w14:paraId="70D02409" w14:textId="77777777" w:rsidR="00DD4134" w:rsidRDefault="00DD4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5EA13" w14:textId="77777777" w:rsidR="00612A45" w:rsidRPr="001865B6" w:rsidRDefault="00612A45" w:rsidP="003157BF">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54905"/>
    <w:multiLevelType w:val="hybridMultilevel"/>
    <w:tmpl w:val="AADC26BC"/>
    <w:lvl w:ilvl="0" w:tplc="B572828C">
      <w:start w:val="5"/>
      <w:numFmt w:val="bullet"/>
      <w:lvlText w:val="-"/>
      <w:lvlJc w:val="left"/>
      <w:pPr>
        <w:ind w:left="1080" w:hanging="360"/>
      </w:pPr>
      <w:rPr>
        <w:rFonts w:ascii="Palatino Linotype" w:eastAsiaTheme="minorHAnsi" w:hAnsi="Palatino Linotype"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451804"/>
    <w:multiLevelType w:val="hybridMultilevel"/>
    <w:tmpl w:val="10FE6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2317A1"/>
    <w:multiLevelType w:val="hybridMultilevel"/>
    <w:tmpl w:val="BC7A0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850C5"/>
    <w:multiLevelType w:val="hybridMultilevel"/>
    <w:tmpl w:val="C44A01E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02A1E"/>
    <w:multiLevelType w:val="hybridMultilevel"/>
    <w:tmpl w:val="F89E68A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10D3F"/>
    <w:multiLevelType w:val="hybridMultilevel"/>
    <w:tmpl w:val="54DE4C04"/>
    <w:lvl w:ilvl="0" w:tplc="8814E78A">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55CC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7243CB"/>
    <w:multiLevelType w:val="hybridMultilevel"/>
    <w:tmpl w:val="2FAAF8EE"/>
    <w:lvl w:ilvl="0" w:tplc="0809000F">
      <w:start w:val="1"/>
      <w:numFmt w:val="decimal"/>
      <w:lvlText w:val="%1."/>
      <w:lvlJc w:val="left"/>
      <w:pPr>
        <w:ind w:left="644" w:hanging="360"/>
      </w:pPr>
      <w:rPr>
        <w:rFonts w:hint="default"/>
        <w:sz w:val="24"/>
      </w:rPr>
    </w:lvl>
    <w:lvl w:ilvl="1" w:tplc="5A5014DA">
      <w:start w:val="1"/>
      <w:numFmt w:val="bullet"/>
      <w:lvlText w:val="o"/>
      <w:lvlJc w:val="left"/>
      <w:pPr>
        <w:ind w:left="333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074044"/>
    <w:multiLevelType w:val="hybridMultilevel"/>
    <w:tmpl w:val="02B2DC16"/>
    <w:lvl w:ilvl="0" w:tplc="F942FDF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846E4D"/>
    <w:multiLevelType w:val="hybridMultilevel"/>
    <w:tmpl w:val="A21A2E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139E2"/>
    <w:multiLevelType w:val="hybridMultilevel"/>
    <w:tmpl w:val="C56A029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2977651"/>
    <w:multiLevelType w:val="hybridMultilevel"/>
    <w:tmpl w:val="B84270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D539B"/>
    <w:multiLevelType w:val="hybridMultilevel"/>
    <w:tmpl w:val="BA84EB8E"/>
    <w:lvl w:ilvl="0" w:tplc="14184154">
      <w:start w:val="4"/>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33C01D4C"/>
    <w:multiLevelType w:val="hybridMultilevel"/>
    <w:tmpl w:val="18D2B70E"/>
    <w:lvl w:ilvl="0" w:tplc="BAF8739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31F50"/>
    <w:multiLevelType w:val="hybridMultilevel"/>
    <w:tmpl w:val="0D9691DC"/>
    <w:lvl w:ilvl="0" w:tplc="190C224C">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5D3CBE"/>
    <w:multiLevelType w:val="hybridMultilevel"/>
    <w:tmpl w:val="E37E0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A337C2"/>
    <w:multiLevelType w:val="hybridMultilevel"/>
    <w:tmpl w:val="877E84EC"/>
    <w:lvl w:ilvl="0" w:tplc="BAF8739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5D78EC"/>
    <w:multiLevelType w:val="hybridMultilevel"/>
    <w:tmpl w:val="7074A648"/>
    <w:lvl w:ilvl="0" w:tplc="BE1CCE0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D015CE"/>
    <w:multiLevelType w:val="hybridMultilevel"/>
    <w:tmpl w:val="558AE19A"/>
    <w:lvl w:ilvl="0" w:tplc="190C224C">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4702B9"/>
    <w:multiLevelType w:val="hybridMultilevel"/>
    <w:tmpl w:val="08529DEA"/>
    <w:lvl w:ilvl="0" w:tplc="CE205CD6">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160D7F"/>
    <w:multiLevelType w:val="hybridMultilevel"/>
    <w:tmpl w:val="7D465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85631E"/>
    <w:multiLevelType w:val="hybridMultilevel"/>
    <w:tmpl w:val="79BCA3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004EE8"/>
    <w:multiLevelType w:val="hybridMultilevel"/>
    <w:tmpl w:val="C8BC5160"/>
    <w:lvl w:ilvl="0" w:tplc="8814E78A">
      <w:numFmt w:val="bullet"/>
      <w:lvlText w:val="•"/>
      <w:lvlJc w:val="left"/>
      <w:pPr>
        <w:ind w:left="1440" w:hanging="72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FA11BF6"/>
    <w:multiLevelType w:val="hybridMultilevel"/>
    <w:tmpl w:val="875402B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52AD70A5"/>
    <w:multiLevelType w:val="hybridMultilevel"/>
    <w:tmpl w:val="A4F62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490C54"/>
    <w:multiLevelType w:val="hybridMultilevel"/>
    <w:tmpl w:val="278EF690"/>
    <w:lvl w:ilvl="0" w:tplc="A6A69852">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2148E4"/>
    <w:multiLevelType w:val="multilevel"/>
    <w:tmpl w:val="91166C3A"/>
    <w:lvl w:ilvl="0">
      <w:start w:val="1"/>
      <w:numFmt w:val="decimal"/>
      <w:pStyle w:val="Heading1"/>
      <w:lvlText w:val="%1"/>
      <w:lvlJc w:val="left"/>
      <w:pPr>
        <w:ind w:left="432" w:hanging="432"/>
      </w:pPr>
      <w:rPr>
        <w:rFonts w:hint="default"/>
        <w:sz w:val="24"/>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622742C9"/>
    <w:multiLevelType w:val="hybridMultilevel"/>
    <w:tmpl w:val="6C9C0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B46F51"/>
    <w:multiLevelType w:val="hybridMultilevel"/>
    <w:tmpl w:val="68FC2A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A2B8B"/>
    <w:multiLevelType w:val="hybridMultilevel"/>
    <w:tmpl w:val="375E8194"/>
    <w:lvl w:ilvl="0" w:tplc="190C224C">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1E1D5C"/>
    <w:multiLevelType w:val="hybridMultilevel"/>
    <w:tmpl w:val="1C88CD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301D3A"/>
    <w:multiLevelType w:val="hybridMultilevel"/>
    <w:tmpl w:val="EC80A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946C8"/>
    <w:multiLevelType w:val="hybridMultilevel"/>
    <w:tmpl w:val="53C65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594BCE"/>
    <w:multiLevelType w:val="hybridMultilevel"/>
    <w:tmpl w:val="C402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32"/>
  </w:num>
  <w:num w:numId="4">
    <w:abstractNumId w:val="5"/>
  </w:num>
  <w:num w:numId="5">
    <w:abstractNumId w:val="28"/>
  </w:num>
  <w:num w:numId="6">
    <w:abstractNumId w:val="10"/>
  </w:num>
  <w:num w:numId="7">
    <w:abstractNumId w:val="3"/>
  </w:num>
  <w:num w:numId="8">
    <w:abstractNumId w:val="4"/>
  </w:num>
  <w:num w:numId="9">
    <w:abstractNumId w:val="25"/>
  </w:num>
  <w:num w:numId="10">
    <w:abstractNumId w:val="6"/>
  </w:num>
  <w:num w:numId="11">
    <w:abstractNumId w:val="17"/>
  </w:num>
  <w:num w:numId="12">
    <w:abstractNumId w:val="12"/>
  </w:num>
  <w:num w:numId="13">
    <w:abstractNumId w:val="9"/>
  </w:num>
  <w:num w:numId="14">
    <w:abstractNumId w:val="11"/>
  </w:num>
  <w:num w:numId="15">
    <w:abstractNumId w:val="13"/>
  </w:num>
  <w:num w:numId="16">
    <w:abstractNumId w:val="16"/>
  </w:num>
  <w:num w:numId="17">
    <w:abstractNumId w:val="8"/>
  </w:num>
  <w:num w:numId="18">
    <w:abstractNumId w:val="7"/>
  </w:num>
  <w:num w:numId="19">
    <w:abstractNumId w:val="23"/>
  </w:num>
  <w:num w:numId="20">
    <w:abstractNumId w:val="1"/>
  </w:num>
  <w:num w:numId="21">
    <w:abstractNumId w:val="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5"/>
  </w:num>
  <w:num w:numId="31">
    <w:abstractNumId w:val="20"/>
  </w:num>
  <w:num w:numId="32">
    <w:abstractNumId w:val="27"/>
  </w:num>
  <w:num w:numId="33">
    <w:abstractNumId w:val="21"/>
  </w:num>
  <w:num w:numId="34">
    <w:abstractNumId w:val="29"/>
  </w:num>
  <w:num w:numId="35">
    <w:abstractNumId w:val="18"/>
  </w:num>
  <w:num w:numId="36">
    <w:abstractNumId w:val="14"/>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139"/>
    <w:rsid w:val="00000488"/>
    <w:rsid w:val="00000E58"/>
    <w:rsid w:val="00001A40"/>
    <w:rsid w:val="0000380A"/>
    <w:rsid w:val="000048C5"/>
    <w:rsid w:val="00005022"/>
    <w:rsid w:val="0000543C"/>
    <w:rsid w:val="00005B59"/>
    <w:rsid w:val="00005DAF"/>
    <w:rsid w:val="00007262"/>
    <w:rsid w:val="00007C8C"/>
    <w:rsid w:val="00010481"/>
    <w:rsid w:val="00010AA4"/>
    <w:rsid w:val="000115E1"/>
    <w:rsid w:val="000123EB"/>
    <w:rsid w:val="0001268D"/>
    <w:rsid w:val="00012EDC"/>
    <w:rsid w:val="00013665"/>
    <w:rsid w:val="000145F9"/>
    <w:rsid w:val="000148C0"/>
    <w:rsid w:val="00014B3E"/>
    <w:rsid w:val="00014E06"/>
    <w:rsid w:val="000158AD"/>
    <w:rsid w:val="00016A70"/>
    <w:rsid w:val="00016D57"/>
    <w:rsid w:val="0001719B"/>
    <w:rsid w:val="0001783B"/>
    <w:rsid w:val="00020ABF"/>
    <w:rsid w:val="000216FC"/>
    <w:rsid w:val="00021805"/>
    <w:rsid w:val="000237C3"/>
    <w:rsid w:val="000240B8"/>
    <w:rsid w:val="000243F6"/>
    <w:rsid w:val="0002596A"/>
    <w:rsid w:val="00025A49"/>
    <w:rsid w:val="00025E31"/>
    <w:rsid w:val="00026B25"/>
    <w:rsid w:val="000272C6"/>
    <w:rsid w:val="00027C20"/>
    <w:rsid w:val="00027CEE"/>
    <w:rsid w:val="00030080"/>
    <w:rsid w:val="000306B6"/>
    <w:rsid w:val="000313DD"/>
    <w:rsid w:val="000318BE"/>
    <w:rsid w:val="000320EF"/>
    <w:rsid w:val="000323F7"/>
    <w:rsid w:val="00032543"/>
    <w:rsid w:val="000344C0"/>
    <w:rsid w:val="0003579B"/>
    <w:rsid w:val="00035DB2"/>
    <w:rsid w:val="000361ED"/>
    <w:rsid w:val="0003731F"/>
    <w:rsid w:val="00037688"/>
    <w:rsid w:val="00037B6B"/>
    <w:rsid w:val="00037E55"/>
    <w:rsid w:val="00037F45"/>
    <w:rsid w:val="000400D1"/>
    <w:rsid w:val="000403B7"/>
    <w:rsid w:val="00041142"/>
    <w:rsid w:val="00041989"/>
    <w:rsid w:val="00041ABB"/>
    <w:rsid w:val="00041D63"/>
    <w:rsid w:val="00041E73"/>
    <w:rsid w:val="00043726"/>
    <w:rsid w:val="0004431D"/>
    <w:rsid w:val="00044FD4"/>
    <w:rsid w:val="000453B6"/>
    <w:rsid w:val="00045627"/>
    <w:rsid w:val="00045CCB"/>
    <w:rsid w:val="00045CD0"/>
    <w:rsid w:val="000469BF"/>
    <w:rsid w:val="00046A02"/>
    <w:rsid w:val="00047041"/>
    <w:rsid w:val="000471A4"/>
    <w:rsid w:val="00047515"/>
    <w:rsid w:val="00050229"/>
    <w:rsid w:val="00050478"/>
    <w:rsid w:val="00050A36"/>
    <w:rsid w:val="000514FF"/>
    <w:rsid w:val="00051ADB"/>
    <w:rsid w:val="000523D4"/>
    <w:rsid w:val="000538CA"/>
    <w:rsid w:val="00053DB8"/>
    <w:rsid w:val="000540A8"/>
    <w:rsid w:val="0005553E"/>
    <w:rsid w:val="00056E5B"/>
    <w:rsid w:val="000575FA"/>
    <w:rsid w:val="00057B3C"/>
    <w:rsid w:val="000600A2"/>
    <w:rsid w:val="000604B4"/>
    <w:rsid w:val="00060826"/>
    <w:rsid w:val="00060BF7"/>
    <w:rsid w:val="00060D04"/>
    <w:rsid w:val="000623BC"/>
    <w:rsid w:val="00064421"/>
    <w:rsid w:val="00064564"/>
    <w:rsid w:val="00064C5B"/>
    <w:rsid w:val="00064D27"/>
    <w:rsid w:val="00065AB4"/>
    <w:rsid w:val="00065FD1"/>
    <w:rsid w:val="000665DA"/>
    <w:rsid w:val="00066632"/>
    <w:rsid w:val="00067921"/>
    <w:rsid w:val="00067DDA"/>
    <w:rsid w:val="00070D11"/>
    <w:rsid w:val="00071395"/>
    <w:rsid w:val="0007154B"/>
    <w:rsid w:val="00071DF1"/>
    <w:rsid w:val="00071F45"/>
    <w:rsid w:val="00072F46"/>
    <w:rsid w:val="000734DE"/>
    <w:rsid w:val="00073CCE"/>
    <w:rsid w:val="00073F41"/>
    <w:rsid w:val="0007419C"/>
    <w:rsid w:val="00074200"/>
    <w:rsid w:val="000755F5"/>
    <w:rsid w:val="000758B6"/>
    <w:rsid w:val="000760A4"/>
    <w:rsid w:val="00076120"/>
    <w:rsid w:val="00076228"/>
    <w:rsid w:val="00076250"/>
    <w:rsid w:val="000764E3"/>
    <w:rsid w:val="000766C5"/>
    <w:rsid w:val="000771A3"/>
    <w:rsid w:val="0007750F"/>
    <w:rsid w:val="00080B58"/>
    <w:rsid w:val="00082444"/>
    <w:rsid w:val="000824D6"/>
    <w:rsid w:val="000830BB"/>
    <w:rsid w:val="00083E8C"/>
    <w:rsid w:val="00084912"/>
    <w:rsid w:val="0008532E"/>
    <w:rsid w:val="000854C6"/>
    <w:rsid w:val="00085BEF"/>
    <w:rsid w:val="00085D34"/>
    <w:rsid w:val="0008612F"/>
    <w:rsid w:val="000861C2"/>
    <w:rsid w:val="00086511"/>
    <w:rsid w:val="00086EC5"/>
    <w:rsid w:val="00087B01"/>
    <w:rsid w:val="00090065"/>
    <w:rsid w:val="000906E8"/>
    <w:rsid w:val="000915AE"/>
    <w:rsid w:val="00093BC9"/>
    <w:rsid w:val="00095646"/>
    <w:rsid w:val="00095A40"/>
    <w:rsid w:val="00095E89"/>
    <w:rsid w:val="000A06A8"/>
    <w:rsid w:val="000A0BDF"/>
    <w:rsid w:val="000A0F44"/>
    <w:rsid w:val="000A32F7"/>
    <w:rsid w:val="000A3B99"/>
    <w:rsid w:val="000A47EB"/>
    <w:rsid w:val="000A5002"/>
    <w:rsid w:val="000A58E4"/>
    <w:rsid w:val="000A5C2B"/>
    <w:rsid w:val="000A5F46"/>
    <w:rsid w:val="000A61C1"/>
    <w:rsid w:val="000A6395"/>
    <w:rsid w:val="000A67B7"/>
    <w:rsid w:val="000A6EA2"/>
    <w:rsid w:val="000A77DD"/>
    <w:rsid w:val="000B022B"/>
    <w:rsid w:val="000B02B7"/>
    <w:rsid w:val="000B0BE5"/>
    <w:rsid w:val="000B1945"/>
    <w:rsid w:val="000B2986"/>
    <w:rsid w:val="000B299C"/>
    <w:rsid w:val="000B2E9B"/>
    <w:rsid w:val="000B5186"/>
    <w:rsid w:val="000B58AE"/>
    <w:rsid w:val="000B6A3F"/>
    <w:rsid w:val="000B6F6B"/>
    <w:rsid w:val="000B7C64"/>
    <w:rsid w:val="000C0608"/>
    <w:rsid w:val="000C07E5"/>
    <w:rsid w:val="000C0AD0"/>
    <w:rsid w:val="000C0C51"/>
    <w:rsid w:val="000C16B8"/>
    <w:rsid w:val="000C17FE"/>
    <w:rsid w:val="000C20AD"/>
    <w:rsid w:val="000C259C"/>
    <w:rsid w:val="000C29A3"/>
    <w:rsid w:val="000C34E8"/>
    <w:rsid w:val="000C3C54"/>
    <w:rsid w:val="000C3DB0"/>
    <w:rsid w:val="000C47DD"/>
    <w:rsid w:val="000C4AB9"/>
    <w:rsid w:val="000C537B"/>
    <w:rsid w:val="000C54A9"/>
    <w:rsid w:val="000C5A1D"/>
    <w:rsid w:val="000C5F05"/>
    <w:rsid w:val="000C696F"/>
    <w:rsid w:val="000C6C29"/>
    <w:rsid w:val="000C6D3F"/>
    <w:rsid w:val="000C70F4"/>
    <w:rsid w:val="000C769F"/>
    <w:rsid w:val="000D041E"/>
    <w:rsid w:val="000D15BD"/>
    <w:rsid w:val="000D24A1"/>
    <w:rsid w:val="000D2959"/>
    <w:rsid w:val="000D2B41"/>
    <w:rsid w:val="000D306F"/>
    <w:rsid w:val="000D3E8B"/>
    <w:rsid w:val="000D3F2A"/>
    <w:rsid w:val="000D4880"/>
    <w:rsid w:val="000D4D8B"/>
    <w:rsid w:val="000D50D0"/>
    <w:rsid w:val="000D554E"/>
    <w:rsid w:val="000D55EE"/>
    <w:rsid w:val="000D59A9"/>
    <w:rsid w:val="000D62DA"/>
    <w:rsid w:val="000D66C6"/>
    <w:rsid w:val="000D67EA"/>
    <w:rsid w:val="000D7CE6"/>
    <w:rsid w:val="000E029A"/>
    <w:rsid w:val="000E07CA"/>
    <w:rsid w:val="000E09E1"/>
    <w:rsid w:val="000E0D3E"/>
    <w:rsid w:val="000E2C0A"/>
    <w:rsid w:val="000E2CDD"/>
    <w:rsid w:val="000E3622"/>
    <w:rsid w:val="000E3EDC"/>
    <w:rsid w:val="000E42FF"/>
    <w:rsid w:val="000E43CF"/>
    <w:rsid w:val="000E55F7"/>
    <w:rsid w:val="000E6099"/>
    <w:rsid w:val="000E700D"/>
    <w:rsid w:val="000E71CE"/>
    <w:rsid w:val="000E74BC"/>
    <w:rsid w:val="000E7E91"/>
    <w:rsid w:val="000F0265"/>
    <w:rsid w:val="000F086B"/>
    <w:rsid w:val="000F0E96"/>
    <w:rsid w:val="000F2B61"/>
    <w:rsid w:val="000F41EB"/>
    <w:rsid w:val="000F5BF7"/>
    <w:rsid w:val="000F7A82"/>
    <w:rsid w:val="000F7E02"/>
    <w:rsid w:val="0010023A"/>
    <w:rsid w:val="0010036F"/>
    <w:rsid w:val="00100A0F"/>
    <w:rsid w:val="0010196A"/>
    <w:rsid w:val="00101AD1"/>
    <w:rsid w:val="00101B10"/>
    <w:rsid w:val="001023BC"/>
    <w:rsid w:val="00102D17"/>
    <w:rsid w:val="001031D4"/>
    <w:rsid w:val="00103E38"/>
    <w:rsid w:val="00104C36"/>
    <w:rsid w:val="0010504C"/>
    <w:rsid w:val="001050ED"/>
    <w:rsid w:val="00105AA8"/>
    <w:rsid w:val="0010657C"/>
    <w:rsid w:val="00107992"/>
    <w:rsid w:val="00107A20"/>
    <w:rsid w:val="00107C16"/>
    <w:rsid w:val="0011091E"/>
    <w:rsid w:val="001111A0"/>
    <w:rsid w:val="00111E2C"/>
    <w:rsid w:val="001123BB"/>
    <w:rsid w:val="001126C2"/>
    <w:rsid w:val="00112EFA"/>
    <w:rsid w:val="0011329D"/>
    <w:rsid w:val="0011534B"/>
    <w:rsid w:val="001155A1"/>
    <w:rsid w:val="00115E6C"/>
    <w:rsid w:val="00115E9E"/>
    <w:rsid w:val="001170DF"/>
    <w:rsid w:val="001171F6"/>
    <w:rsid w:val="00117DA2"/>
    <w:rsid w:val="001200D5"/>
    <w:rsid w:val="00120158"/>
    <w:rsid w:val="001201F8"/>
    <w:rsid w:val="00121211"/>
    <w:rsid w:val="00121B82"/>
    <w:rsid w:val="00121F90"/>
    <w:rsid w:val="00122FBF"/>
    <w:rsid w:val="001249CA"/>
    <w:rsid w:val="00124D7C"/>
    <w:rsid w:val="00125CE6"/>
    <w:rsid w:val="00126051"/>
    <w:rsid w:val="00126518"/>
    <w:rsid w:val="00126B39"/>
    <w:rsid w:val="00126F68"/>
    <w:rsid w:val="001279C0"/>
    <w:rsid w:val="00127DD3"/>
    <w:rsid w:val="00130332"/>
    <w:rsid w:val="001307EF"/>
    <w:rsid w:val="001311C5"/>
    <w:rsid w:val="0013127B"/>
    <w:rsid w:val="001316C0"/>
    <w:rsid w:val="00131FF2"/>
    <w:rsid w:val="00132486"/>
    <w:rsid w:val="0013258A"/>
    <w:rsid w:val="00133D26"/>
    <w:rsid w:val="00134B63"/>
    <w:rsid w:val="00135371"/>
    <w:rsid w:val="001353B7"/>
    <w:rsid w:val="00137EC5"/>
    <w:rsid w:val="00140A4C"/>
    <w:rsid w:val="0014108F"/>
    <w:rsid w:val="001428FD"/>
    <w:rsid w:val="00142A9A"/>
    <w:rsid w:val="0014375D"/>
    <w:rsid w:val="00143867"/>
    <w:rsid w:val="001440CE"/>
    <w:rsid w:val="00144CB8"/>
    <w:rsid w:val="00145428"/>
    <w:rsid w:val="001463D9"/>
    <w:rsid w:val="00146DEC"/>
    <w:rsid w:val="001477C3"/>
    <w:rsid w:val="00152257"/>
    <w:rsid w:val="00152368"/>
    <w:rsid w:val="0015280F"/>
    <w:rsid w:val="001534D7"/>
    <w:rsid w:val="00155909"/>
    <w:rsid w:val="00155B8A"/>
    <w:rsid w:val="00155D48"/>
    <w:rsid w:val="00156D17"/>
    <w:rsid w:val="00156DB1"/>
    <w:rsid w:val="001575FB"/>
    <w:rsid w:val="001576B3"/>
    <w:rsid w:val="0016033F"/>
    <w:rsid w:val="0016188D"/>
    <w:rsid w:val="00162642"/>
    <w:rsid w:val="00162C2C"/>
    <w:rsid w:val="001637FD"/>
    <w:rsid w:val="00163A77"/>
    <w:rsid w:val="00163C12"/>
    <w:rsid w:val="00163D69"/>
    <w:rsid w:val="00165511"/>
    <w:rsid w:val="001660DA"/>
    <w:rsid w:val="00166A6F"/>
    <w:rsid w:val="00167940"/>
    <w:rsid w:val="00167965"/>
    <w:rsid w:val="00170994"/>
    <w:rsid w:val="0017142D"/>
    <w:rsid w:val="0017149A"/>
    <w:rsid w:val="00171681"/>
    <w:rsid w:val="00171855"/>
    <w:rsid w:val="00171F9C"/>
    <w:rsid w:val="00172B28"/>
    <w:rsid w:val="00173067"/>
    <w:rsid w:val="0017346C"/>
    <w:rsid w:val="0017439F"/>
    <w:rsid w:val="0017484C"/>
    <w:rsid w:val="001749CF"/>
    <w:rsid w:val="0017529B"/>
    <w:rsid w:val="0017596C"/>
    <w:rsid w:val="001768BE"/>
    <w:rsid w:val="00176BC4"/>
    <w:rsid w:val="00177AAC"/>
    <w:rsid w:val="00180AA3"/>
    <w:rsid w:val="0018141D"/>
    <w:rsid w:val="001826C2"/>
    <w:rsid w:val="00182BCE"/>
    <w:rsid w:val="00184ED9"/>
    <w:rsid w:val="00185E1C"/>
    <w:rsid w:val="0018694F"/>
    <w:rsid w:val="00186A61"/>
    <w:rsid w:val="00187B17"/>
    <w:rsid w:val="00190696"/>
    <w:rsid w:val="001913ED"/>
    <w:rsid w:val="00191D48"/>
    <w:rsid w:val="00192008"/>
    <w:rsid w:val="0019277C"/>
    <w:rsid w:val="00192DA0"/>
    <w:rsid w:val="00194DBB"/>
    <w:rsid w:val="00195B63"/>
    <w:rsid w:val="00195C12"/>
    <w:rsid w:val="00196B88"/>
    <w:rsid w:val="00196F8B"/>
    <w:rsid w:val="001A0339"/>
    <w:rsid w:val="001A0D3F"/>
    <w:rsid w:val="001A166E"/>
    <w:rsid w:val="001A1A4C"/>
    <w:rsid w:val="001A1FFA"/>
    <w:rsid w:val="001A2579"/>
    <w:rsid w:val="001A270E"/>
    <w:rsid w:val="001A2DFD"/>
    <w:rsid w:val="001A3754"/>
    <w:rsid w:val="001A3898"/>
    <w:rsid w:val="001A3ED0"/>
    <w:rsid w:val="001A4017"/>
    <w:rsid w:val="001A4152"/>
    <w:rsid w:val="001A4742"/>
    <w:rsid w:val="001A4C85"/>
    <w:rsid w:val="001A4ED2"/>
    <w:rsid w:val="001A6281"/>
    <w:rsid w:val="001A6890"/>
    <w:rsid w:val="001A6FEE"/>
    <w:rsid w:val="001A7ACA"/>
    <w:rsid w:val="001B1324"/>
    <w:rsid w:val="001B135F"/>
    <w:rsid w:val="001B1D84"/>
    <w:rsid w:val="001B3640"/>
    <w:rsid w:val="001B3B79"/>
    <w:rsid w:val="001B4587"/>
    <w:rsid w:val="001B4E9E"/>
    <w:rsid w:val="001B56ED"/>
    <w:rsid w:val="001B626F"/>
    <w:rsid w:val="001B7092"/>
    <w:rsid w:val="001B722C"/>
    <w:rsid w:val="001B7C4A"/>
    <w:rsid w:val="001C02A5"/>
    <w:rsid w:val="001C076C"/>
    <w:rsid w:val="001C1023"/>
    <w:rsid w:val="001C1795"/>
    <w:rsid w:val="001C2000"/>
    <w:rsid w:val="001C2483"/>
    <w:rsid w:val="001C2513"/>
    <w:rsid w:val="001C2515"/>
    <w:rsid w:val="001C264D"/>
    <w:rsid w:val="001C27A7"/>
    <w:rsid w:val="001C3083"/>
    <w:rsid w:val="001C319F"/>
    <w:rsid w:val="001C466C"/>
    <w:rsid w:val="001C4CF7"/>
    <w:rsid w:val="001C5281"/>
    <w:rsid w:val="001C5827"/>
    <w:rsid w:val="001C5BDE"/>
    <w:rsid w:val="001C5FB8"/>
    <w:rsid w:val="001C697C"/>
    <w:rsid w:val="001C719E"/>
    <w:rsid w:val="001C77F7"/>
    <w:rsid w:val="001C7F78"/>
    <w:rsid w:val="001D049C"/>
    <w:rsid w:val="001D073A"/>
    <w:rsid w:val="001D0DD4"/>
    <w:rsid w:val="001D1810"/>
    <w:rsid w:val="001D1E56"/>
    <w:rsid w:val="001D2D94"/>
    <w:rsid w:val="001D4586"/>
    <w:rsid w:val="001D4AB1"/>
    <w:rsid w:val="001D5016"/>
    <w:rsid w:val="001D58DE"/>
    <w:rsid w:val="001D5A76"/>
    <w:rsid w:val="001D66E4"/>
    <w:rsid w:val="001D7016"/>
    <w:rsid w:val="001E240C"/>
    <w:rsid w:val="001E2625"/>
    <w:rsid w:val="001E32B9"/>
    <w:rsid w:val="001E3D25"/>
    <w:rsid w:val="001E410A"/>
    <w:rsid w:val="001E5121"/>
    <w:rsid w:val="001E7B59"/>
    <w:rsid w:val="001E7DD9"/>
    <w:rsid w:val="001F0484"/>
    <w:rsid w:val="001F1B36"/>
    <w:rsid w:val="001F30F1"/>
    <w:rsid w:val="001F392F"/>
    <w:rsid w:val="001F4610"/>
    <w:rsid w:val="001F50A7"/>
    <w:rsid w:val="001F5CD0"/>
    <w:rsid w:val="001F60E6"/>
    <w:rsid w:val="001F60EF"/>
    <w:rsid w:val="001F62F8"/>
    <w:rsid w:val="001F670A"/>
    <w:rsid w:val="001F7852"/>
    <w:rsid w:val="002017A3"/>
    <w:rsid w:val="00201B89"/>
    <w:rsid w:val="002027F0"/>
    <w:rsid w:val="00203B9B"/>
    <w:rsid w:val="00204102"/>
    <w:rsid w:val="00204670"/>
    <w:rsid w:val="00204AFD"/>
    <w:rsid w:val="00204DBA"/>
    <w:rsid w:val="0020574E"/>
    <w:rsid w:val="00205AA3"/>
    <w:rsid w:val="002061F2"/>
    <w:rsid w:val="00207B2F"/>
    <w:rsid w:val="00210BC0"/>
    <w:rsid w:val="00210F17"/>
    <w:rsid w:val="002110C0"/>
    <w:rsid w:val="0021167F"/>
    <w:rsid w:val="00211EB6"/>
    <w:rsid w:val="002129A3"/>
    <w:rsid w:val="00213011"/>
    <w:rsid w:val="0021333A"/>
    <w:rsid w:val="00214382"/>
    <w:rsid w:val="0021472D"/>
    <w:rsid w:val="00214E4D"/>
    <w:rsid w:val="00215C2A"/>
    <w:rsid w:val="002170CD"/>
    <w:rsid w:val="002174DA"/>
    <w:rsid w:val="0022031C"/>
    <w:rsid w:val="002212E8"/>
    <w:rsid w:val="002216C1"/>
    <w:rsid w:val="00221A35"/>
    <w:rsid w:val="00221A9A"/>
    <w:rsid w:val="0022236D"/>
    <w:rsid w:val="00223760"/>
    <w:rsid w:val="00223818"/>
    <w:rsid w:val="00223921"/>
    <w:rsid w:val="0022436D"/>
    <w:rsid w:val="00225739"/>
    <w:rsid w:val="0022692E"/>
    <w:rsid w:val="00226EFA"/>
    <w:rsid w:val="00226F66"/>
    <w:rsid w:val="00227920"/>
    <w:rsid w:val="0023278D"/>
    <w:rsid w:val="00232A38"/>
    <w:rsid w:val="00232E02"/>
    <w:rsid w:val="0023341A"/>
    <w:rsid w:val="00233B78"/>
    <w:rsid w:val="00233F96"/>
    <w:rsid w:val="0023421E"/>
    <w:rsid w:val="00235330"/>
    <w:rsid w:val="00235E5C"/>
    <w:rsid w:val="002369CD"/>
    <w:rsid w:val="002370F1"/>
    <w:rsid w:val="00237E42"/>
    <w:rsid w:val="00237E5C"/>
    <w:rsid w:val="002418E0"/>
    <w:rsid w:val="00242612"/>
    <w:rsid w:val="00242633"/>
    <w:rsid w:val="00242E99"/>
    <w:rsid w:val="002437C7"/>
    <w:rsid w:val="002439F6"/>
    <w:rsid w:val="00243F58"/>
    <w:rsid w:val="002440D6"/>
    <w:rsid w:val="0024493A"/>
    <w:rsid w:val="00244DE2"/>
    <w:rsid w:val="002462DD"/>
    <w:rsid w:val="002476F3"/>
    <w:rsid w:val="002479E5"/>
    <w:rsid w:val="00247E1E"/>
    <w:rsid w:val="00250988"/>
    <w:rsid w:val="00251094"/>
    <w:rsid w:val="00251527"/>
    <w:rsid w:val="002516F3"/>
    <w:rsid w:val="00251C3A"/>
    <w:rsid w:val="00251F4F"/>
    <w:rsid w:val="00252BE5"/>
    <w:rsid w:val="00252D58"/>
    <w:rsid w:val="00253050"/>
    <w:rsid w:val="002533D6"/>
    <w:rsid w:val="002538E5"/>
    <w:rsid w:val="00254982"/>
    <w:rsid w:val="00254F27"/>
    <w:rsid w:val="00255094"/>
    <w:rsid w:val="00255A9E"/>
    <w:rsid w:val="002570EF"/>
    <w:rsid w:val="00257A79"/>
    <w:rsid w:val="00257E43"/>
    <w:rsid w:val="00261854"/>
    <w:rsid w:val="00261861"/>
    <w:rsid w:val="00261B1D"/>
    <w:rsid w:val="002627D1"/>
    <w:rsid w:val="0026285F"/>
    <w:rsid w:val="00262B70"/>
    <w:rsid w:val="00262D65"/>
    <w:rsid w:val="00264608"/>
    <w:rsid w:val="00264745"/>
    <w:rsid w:val="00265339"/>
    <w:rsid w:val="00265DA8"/>
    <w:rsid w:val="00266F08"/>
    <w:rsid w:val="002671D8"/>
    <w:rsid w:val="00270322"/>
    <w:rsid w:val="00270B8D"/>
    <w:rsid w:val="00270CD8"/>
    <w:rsid w:val="0027211E"/>
    <w:rsid w:val="00272309"/>
    <w:rsid w:val="00272AE2"/>
    <w:rsid w:val="0027356F"/>
    <w:rsid w:val="00273867"/>
    <w:rsid w:val="00273A08"/>
    <w:rsid w:val="002743BA"/>
    <w:rsid w:val="00274F8C"/>
    <w:rsid w:val="002755F9"/>
    <w:rsid w:val="0027574B"/>
    <w:rsid w:val="00275CF3"/>
    <w:rsid w:val="0027608B"/>
    <w:rsid w:val="00276115"/>
    <w:rsid w:val="00276CA8"/>
    <w:rsid w:val="00276F4B"/>
    <w:rsid w:val="00277E9F"/>
    <w:rsid w:val="002804F5"/>
    <w:rsid w:val="00282003"/>
    <w:rsid w:val="00282470"/>
    <w:rsid w:val="00282649"/>
    <w:rsid w:val="002829B6"/>
    <w:rsid w:val="00282C95"/>
    <w:rsid w:val="00282DD9"/>
    <w:rsid w:val="0028349E"/>
    <w:rsid w:val="00283722"/>
    <w:rsid w:val="00283949"/>
    <w:rsid w:val="002849CF"/>
    <w:rsid w:val="00284AA8"/>
    <w:rsid w:val="00284B00"/>
    <w:rsid w:val="00284B97"/>
    <w:rsid w:val="00285333"/>
    <w:rsid w:val="00285AA8"/>
    <w:rsid w:val="00285B9B"/>
    <w:rsid w:val="002862DD"/>
    <w:rsid w:val="00286BAB"/>
    <w:rsid w:val="0028752F"/>
    <w:rsid w:val="002918D3"/>
    <w:rsid w:val="002926BA"/>
    <w:rsid w:val="00293210"/>
    <w:rsid w:val="00293EAE"/>
    <w:rsid w:val="002940B5"/>
    <w:rsid w:val="00294CD0"/>
    <w:rsid w:val="0029506E"/>
    <w:rsid w:val="00295741"/>
    <w:rsid w:val="002968BF"/>
    <w:rsid w:val="00296D1C"/>
    <w:rsid w:val="00296FFF"/>
    <w:rsid w:val="0029743E"/>
    <w:rsid w:val="0029762F"/>
    <w:rsid w:val="0029793D"/>
    <w:rsid w:val="002A0723"/>
    <w:rsid w:val="002A0DD5"/>
    <w:rsid w:val="002A0E6B"/>
    <w:rsid w:val="002A0FC8"/>
    <w:rsid w:val="002A2278"/>
    <w:rsid w:val="002A22C2"/>
    <w:rsid w:val="002A25BE"/>
    <w:rsid w:val="002A2B05"/>
    <w:rsid w:val="002A31E3"/>
    <w:rsid w:val="002A39F1"/>
    <w:rsid w:val="002A3B70"/>
    <w:rsid w:val="002A44B1"/>
    <w:rsid w:val="002A4CE4"/>
    <w:rsid w:val="002A5859"/>
    <w:rsid w:val="002A64A8"/>
    <w:rsid w:val="002A64CE"/>
    <w:rsid w:val="002A767D"/>
    <w:rsid w:val="002B04C5"/>
    <w:rsid w:val="002B0AAF"/>
    <w:rsid w:val="002B0DA3"/>
    <w:rsid w:val="002B1F23"/>
    <w:rsid w:val="002B3F8E"/>
    <w:rsid w:val="002B45BC"/>
    <w:rsid w:val="002B5169"/>
    <w:rsid w:val="002B579B"/>
    <w:rsid w:val="002B5F40"/>
    <w:rsid w:val="002B5F4C"/>
    <w:rsid w:val="002B62D0"/>
    <w:rsid w:val="002B6376"/>
    <w:rsid w:val="002B6BB2"/>
    <w:rsid w:val="002B6DDF"/>
    <w:rsid w:val="002B71A8"/>
    <w:rsid w:val="002B74F0"/>
    <w:rsid w:val="002B77E9"/>
    <w:rsid w:val="002B79C6"/>
    <w:rsid w:val="002B7A72"/>
    <w:rsid w:val="002C0103"/>
    <w:rsid w:val="002C09ED"/>
    <w:rsid w:val="002C305D"/>
    <w:rsid w:val="002C36D0"/>
    <w:rsid w:val="002C4269"/>
    <w:rsid w:val="002C42A5"/>
    <w:rsid w:val="002C501D"/>
    <w:rsid w:val="002C6E9D"/>
    <w:rsid w:val="002C7060"/>
    <w:rsid w:val="002C7390"/>
    <w:rsid w:val="002C75B2"/>
    <w:rsid w:val="002C79FC"/>
    <w:rsid w:val="002D15D0"/>
    <w:rsid w:val="002D1765"/>
    <w:rsid w:val="002D1B81"/>
    <w:rsid w:val="002D2D43"/>
    <w:rsid w:val="002D34AF"/>
    <w:rsid w:val="002D3641"/>
    <w:rsid w:val="002D3779"/>
    <w:rsid w:val="002D4731"/>
    <w:rsid w:val="002D66A7"/>
    <w:rsid w:val="002E044D"/>
    <w:rsid w:val="002E07E3"/>
    <w:rsid w:val="002E16E5"/>
    <w:rsid w:val="002E18A6"/>
    <w:rsid w:val="002E26C1"/>
    <w:rsid w:val="002E30A7"/>
    <w:rsid w:val="002E4775"/>
    <w:rsid w:val="002E481D"/>
    <w:rsid w:val="002E482A"/>
    <w:rsid w:val="002E52A8"/>
    <w:rsid w:val="002E65CE"/>
    <w:rsid w:val="002F131D"/>
    <w:rsid w:val="002F1881"/>
    <w:rsid w:val="002F1BA1"/>
    <w:rsid w:val="002F28DC"/>
    <w:rsid w:val="002F2C3F"/>
    <w:rsid w:val="002F410F"/>
    <w:rsid w:val="002F471F"/>
    <w:rsid w:val="002F50DE"/>
    <w:rsid w:val="002F57C5"/>
    <w:rsid w:val="002F5B71"/>
    <w:rsid w:val="002F62CA"/>
    <w:rsid w:val="002F68E9"/>
    <w:rsid w:val="002F7123"/>
    <w:rsid w:val="002F7CC3"/>
    <w:rsid w:val="002F7EAC"/>
    <w:rsid w:val="00300CA0"/>
    <w:rsid w:val="00300D23"/>
    <w:rsid w:val="00300F74"/>
    <w:rsid w:val="003021DA"/>
    <w:rsid w:val="00303074"/>
    <w:rsid w:val="003033CA"/>
    <w:rsid w:val="003045A2"/>
    <w:rsid w:val="00304EC6"/>
    <w:rsid w:val="00305AF8"/>
    <w:rsid w:val="00305FB4"/>
    <w:rsid w:val="0030660D"/>
    <w:rsid w:val="003074D1"/>
    <w:rsid w:val="003076CE"/>
    <w:rsid w:val="00307F1C"/>
    <w:rsid w:val="003100C5"/>
    <w:rsid w:val="00310646"/>
    <w:rsid w:val="003107BA"/>
    <w:rsid w:val="003121E2"/>
    <w:rsid w:val="003121F5"/>
    <w:rsid w:val="00312ED2"/>
    <w:rsid w:val="0031349B"/>
    <w:rsid w:val="00313F47"/>
    <w:rsid w:val="0031433A"/>
    <w:rsid w:val="00314965"/>
    <w:rsid w:val="00314BFB"/>
    <w:rsid w:val="00315228"/>
    <w:rsid w:val="003157BF"/>
    <w:rsid w:val="00315C59"/>
    <w:rsid w:val="00316116"/>
    <w:rsid w:val="00316ACE"/>
    <w:rsid w:val="00316CDF"/>
    <w:rsid w:val="00317169"/>
    <w:rsid w:val="00317799"/>
    <w:rsid w:val="00320047"/>
    <w:rsid w:val="00322B83"/>
    <w:rsid w:val="00322D84"/>
    <w:rsid w:val="00323765"/>
    <w:rsid w:val="003239B9"/>
    <w:rsid w:val="00323C6D"/>
    <w:rsid w:val="00323E2E"/>
    <w:rsid w:val="003242AD"/>
    <w:rsid w:val="003243D8"/>
    <w:rsid w:val="003244FF"/>
    <w:rsid w:val="00324951"/>
    <w:rsid w:val="00324BE8"/>
    <w:rsid w:val="00324CC3"/>
    <w:rsid w:val="003258D0"/>
    <w:rsid w:val="00325CC3"/>
    <w:rsid w:val="003261DF"/>
    <w:rsid w:val="00326B07"/>
    <w:rsid w:val="00327622"/>
    <w:rsid w:val="003279AD"/>
    <w:rsid w:val="0033105C"/>
    <w:rsid w:val="0033199F"/>
    <w:rsid w:val="00331C49"/>
    <w:rsid w:val="00332248"/>
    <w:rsid w:val="00332584"/>
    <w:rsid w:val="0033278D"/>
    <w:rsid w:val="003330E3"/>
    <w:rsid w:val="00333165"/>
    <w:rsid w:val="00333C63"/>
    <w:rsid w:val="0033445D"/>
    <w:rsid w:val="0033550B"/>
    <w:rsid w:val="00335B1E"/>
    <w:rsid w:val="00335EAB"/>
    <w:rsid w:val="003366F2"/>
    <w:rsid w:val="0033745F"/>
    <w:rsid w:val="0033760C"/>
    <w:rsid w:val="003378B9"/>
    <w:rsid w:val="00340ED9"/>
    <w:rsid w:val="00341A58"/>
    <w:rsid w:val="00341CE0"/>
    <w:rsid w:val="00341DF8"/>
    <w:rsid w:val="00342CF1"/>
    <w:rsid w:val="00343169"/>
    <w:rsid w:val="00343C6B"/>
    <w:rsid w:val="003447AA"/>
    <w:rsid w:val="003449EA"/>
    <w:rsid w:val="00344CEF"/>
    <w:rsid w:val="003452B4"/>
    <w:rsid w:val="00345629"/>
    <w:rsid w:val="0034563D"/>
    <w:rsid w:val="00345992"/>
    <w:rsid w:val="003469F8"/>
    <w:rsid w:val="00346AC6"/>
    <w:rsid w:val="00347807"/>
    <w:rsid w:val="003510B8"/>
    <w:rsid w:val="00351C9B"/>
    <w:rsid w:val="0035218B"/>
    <w:rsid w:val="00352B38"/>
    <w:rsid w:val="00352CEF"/>
    <w:rsid w:val="00352DDB"/>
    <w:rsid w:val="00353486"/>
    <w:rsid w:val="0035567D"/>
    <w:rsid w:val="003567B1"/>
    <w:rsid w:val="00356D56"/>
    <w:rsid w:val="003574F6"/>
    <w:rsid w:val="00357EFE"/>
    <w:rsid w:val="0036057A"/>
    <w:rsid w:val="00360E62"/>
    <w:rsid w:val="003614F7"/>
    <w:rsid w:val="00361720"/>
    <w:rsid w:val="00362471"/>
    <w:rsid w:val="003626E0"/>
    <w:rsid w:val="00363232"/>
    <w:rsid w:val="00363976"/>
    <w:rsid w:val="00363BC1"/>
    <w:rsid w:val="00364056"/>
    <w:rsid w:val="00364629"/>
    <w:rsid w:val="003649B0"/>
    <w:rsid w:val="00365CBE"/>
    <w:rsid w:val="00366DA8"/>
    <w:rsid w:val="0036741E"/>
    <w:rsid w:val="003675E4"/>
    <w:rsid w:val="00370CE1"/>
    <w:rsid w:val="00372009"/>
    <w:rsid w:val="00372395"/>
    <w:rsid w:val="003739D1"/>
    <w:rsid w:val="003755FE"/>
    <w:rsid w:val="0037590C"/>
    <w:rsid w:val="00375EA8"/>
    <w:rsid w:val="003767C4"/>
    <w:rsid w:val="00376991"/>
    <w:rsid w:val="00377B2C"/>
    <w:rsid w:val="00377D98"/>
    <w:rsid w:val="00380258"/>
    <w:rsid w:val="00380A83"/>
    <w:rsid w:val="00380C7F"/>
    <w:rsid w:val="00380E2B"/>
    <w:rsid w:val="003815F1"/>
    <w:rsid w:val="00382CF5"/>
    <w:rsid w:val="003840A3"/>
    <w:rsid w:val="00384140"/>
    <w:rsid w:val="003865E7"/>
    <w:rsid w:val="00390C7B"/>
    <w:rsid w:val="00390D30"/>
    <w:rsid w:val="00390F95"/>
    <w:rsid w:val="00391035"/>
    <w:rsid w:val="00391B4A"/>
    <w:rsid w:val="0039206F"/>
    <w:rsid w:val="00392182"/>
    <w:rsid w:val="003928B6"/>
    <w:rsid w:val="003929DA"/>
    <w:rsid w:val="00392CD9"/>
    <w:rsid w:val="00392E89"/>
    <w:rsid w:val="003930E1"/>
    <w:rsid w:val="00395D8A"/>
    <w:rsid w:val="00395DA9"/>
    <w:rsid w:val="00396B52"/>
    <w:rsid w:val="00396D1A"/>
    <w:rsid w:val="00396D77"/>
    <w:rsid w:val="0039767B"/>
    <w:rsid w:val="0039783C"/>
    <w:rsid w:val="003A06FC"/>
    <w:rsid w:val="003A20C4"/>
    <w:rsid w:val="003A2ED1"/>
    <w:rsid w:val="003A31C1"/>
    <w:rsid w:val="003A4160"/>
    <w:rsid w:val="003A474E"/>
    <w:rsid w:val="003A4BE9"/>
    <w:rsid w:val="003A5035"/>
    <w:rsid w:val="003A569A"/>
    <w:rsid w:val="003A5A33"/>
    <w:rsid w:val="003A717F"/>
    <w:rsid w:val="003A71F3"/>
    <w:rsid w:val="003A765F"/>
    <w:rsid w:val="003A786A"/>
    <w:rsid w:val="003B09FF"/>
    <w:rsid w:val="003B2D71"/>
    <w:rsid w:val="003B2F99"/>
    <w:rsid w:val="003B39C9"/>
    <w:rsid w:val="003B3CFE"/>
    <w:rsid w:val="003B439E"/>
    <w:rsid w:val="003B4654"/>
    <w:rsid w:val="003B46F5"/>
    <w:rsid w:val="003B49ED"/>
    <w:rsid w:val="003B52C1"/>
    <w:rsid w:val="003B5B20"/>
    <w:rsid w:val="003B67CD"/>
    <w:rsid w:val="003B6EA5"/>
    <w:rsid w:val="003B7EC9"/>
    <w:rsid w:val="003C00F8"/>
    <w:rsid w:val="003C12F3"/>
    <w:rsid w:val="003C1D3E"/>
    <w:rsid w:val="003C20F2"/>
    <w:rsid w:val="003C22CF"/>
    <w:rsid w:val="003C236E"/>
    <w:rsid w:val="003C2DCF"/>
    <w:rsid w:val="003C32D3"/>
    <w:rsid w:val="003C351F"/>
    <w:rsid w:val="003C392A"/>
    <w:rsid w:val="003C3AB4"/>
    <w:rsid w:val="003C440D"/>
    <w:rsid w:val="003C448B"/>
    <w:rsid w:val="003C461D"/>
    <w:rsid w:val="003C5BD4"/>
    <w:rsid w:val="003C60F3"/>
    <w:rsid w:val="003C6257"/>
    <w:rsid w:val="003C6C11"/>
    <w:rsid w:val="003C722C"/>
    <w:rsid w:val="003C76B3"/>
    <w:rsid w:val="003D0151"/>
    <w:rsid w:val="003D038D"/>
    <w:rsid w:val="003D0413"/>
    <w:rsid w:val="003D20FC"/>
    <w:rsid w:val="003D2413"/>
    <w:rsid w:val="003D2FA8"/>
    <w:rsid w:val="003D372E"/>
    <w:rsid w:val="003D3918"/>
    <w:rsid w:val="003D41F7"/>
    <w:rsid w:val="003D4B2B"/>
    <w:rsid w:val="003D4F31"/>
    <w:rsid w:val="003D596A"/>
    <w:rsid w:val="003D5F5E"/>
    <w:rsid w:val="003D6070"/>
    <w:rsid w:val="003D6080"/>
    <w:rsid w:val="003D72B2"/>
    <w:rsid w:val="003D73B1"/>
    <w:rsid w:val="003D7CC1"/>
    <w:rsid w:val="003E0220"/>
    <w:rsid w:val="003E08D0"/>
    <w:rsid w:val="003E1040"/>
    <w:rsid w:val="003E1B54"/>
    <w:rsid w:val="003E2471"/>
    <w:rsid w:val="003E2BA9"/>
    <w:rsid w:val="003E3706"/>
    <w:rsid w:val="003E37AE"/>
    <w:rsid w:val="003E444E"/>
    <w:rsid w:val="003E4CF7"/>
    <w:rsid w:val="003E5B10"/>
    <w:rsid w:val="003E6242"/>
    <w:rsid w:val="003E6350"/>
    <w:rsid w:val="003E71CB"/>
    <w:rsid w:val="003E78ED"/>
    <w:rsid w:val="003E79D2"/>
    <w:rsid w:val="003E7E0A"/>
    <w:rsid w:val="003E7EA2"/>
    <w:rsid w:val="003F1191"/>
    <w:rsid w:val="003F1C01"/>
    <w:rsid w:val="003F1CEF"/>
    <w:rsid w:val="003F2801"/>
    <w:rsid w:val="003F3114"/>
    <w:rsid w:val="003F353A"/>
    <w:rsid w:val="003F3DD2"/>
    <w:rsid w:val="003F659E"/>
    <w:rsid w:val="00402316"/>
    <w:rsid w:val="00402B8E"/>
    <w:rsid w:val="00402C0D"/>
    <w:rsid w:val="00403716"/>
    <w:rsid w:val="00403B8B"/>
    <w:rsid w:val="00403C69"/>
    <w:rsid w:val="00404204"/>
    <w:rsid w:val="0040518D"/>
    <w:rsid w:val="004060BA"/>
    <w:rsid w:val="00406926"/>
    <w:rsid w:val="00406B0A"/>
    <w:rsid w:val="004074A2"/>
    <w:rsid w:val="00407E4B"/>
    <w:rsid w:val="00410897"/>
    <w:rsid w:val="00410FBF"/>
    <w:rsid w:val="004115ED"/>
    <w:rsid w:val="00411E1C"/>
    <w:rsid w:val="004122B1"/>
    <w:rsid w:val="0041247F"/>
    <w:rsid w:val="00412B98"/>
    <w:rsid w:val="0041337A"/>
    <w:rsid w:val="00413D82"/>
    <w:rsid w:val="004152CF"/>
    <w:rsid w:val="00415334"/>
    <w:rsid w:val="004153E1"/>
    <w:rsid w:val="00416898"/>
    <w:rsid w:val="00416BAF"/>
    <w:rsid w:val="00421D9E"/>
    <w:rsid w:val="00422AE5"/>
    <w:rsid w:val="004244A4"/>
    <w:rsid w:val="004245D6"/>
    <w:rsid w:val="004257C4"/>
    <w:rsid w:val="00425801"/>
    <w:rsid w:val="0042583C"/>
    <w:rsid w:val="004268F2"/>
    <w:rsid w:val="004306B7"/>
    <w:rsid w:val="00430D38"/>
    <w:rsid w:val="00431B38"/>
    <w:rsid w:val="00431F4D"/>
    <w:rsid w:val="004324E8"/>
    <w:rsid w:val="00432D98"/>
    <w:rsid w:val="00433A57"/>
    <w:rsid w:val="004342B5"/>
    <w:rsid w:val="00434388"/>
    <w:rsid w:val="00434C87"/>
    <w:rsid w:val="00437569"/>
    <w:rsid w:val="004402A2"/>
    <w:rsid w:val="0044090B"/>
    <w:rsid w:val="00441004"/>
    <w:rsid w:val="0044283A"/>
    <w:rsid w:val="00442E80"/>
    <w:rsid w:val="00444DF2"/>
    <w:rsid w:val="0044535D"/>
    <w:rsid w:val="0044707B"/>
    <w:rsid w:val="004501F4"/>
    <w:rsid w:val="00450358"/>
    <w:rsid w:val="00450B08"/>
    <w:rsid w:val="004520EF"/>
    <w:rsid w:val="00452253"/>
    <w:rsid w:val="00452338"/>
    <w:rsid w:val="00454892"/>
    <w:rsid w:val="004565DB"/>
    <w:rsid w:val="004569A7"/>
    <w:rsid w:val="00456C5F"/>
    <w:rsid w:val="00456E34"/>
    <w:rsid w:val="004615DE"/>
    <w:rsid w:val="00461615"/>
    <w:rsid w:val="00461FD5"/>
    <w:rsid w:val="0046336D"/>
    <w:rsid w:val="00463612"/>
    <w:rsid w:val="00463BB6"/>
    <w:rsid w:val="00463E6B"/>
    <w:rsid w:val="0046404B"/>
    <w:rsid w:val="00464A03"/>
    <w:rsid w:val="00465042"/>
    <w:rsid w:val="004654DC"/>
    <w:rsid w:val="00465ABD"/>
    <w:rsid w:val="0046636C"/>
    <w:rsid w:val="00466A7A"/>
    <w:rsid w:val="004676AC"/>
    <w:rsid w:val="00467ABD"/>
    <w:rsid w:val="00467D43"/>
    <w:rsid w:val="00470C48"/>
    <w:rsid w:val="00471336"/>
    <w:rsid w:val="00471EC7"/>
    <w:rsid w:val="00472694"/>
    <w:rsid w:val="00472956"/>
    <w:rsid w:val="00472D7A"/>
    <w:rsid w:val="0047304D"/>
    <w:rsid w:val="00473EC8"/>
    <w:rsid w:val="004742EA"/>
    <w:rsid w:val="004744F8"/>
    <w:rsid w:val="00474FDC"/>
    <w:rsid w:val="004757C0"/>
    <w:rsid w:val="0047660C"/>
    <w:rsid w:val="00477423"/>
    <w:rsid w:val="0047778E"/>
    <w:rsid w:val="00477A94"/>
    <w:rsid w:val="004801F4"/>
    <w:rsid w:val="004804E7"/>
    <w:rsid w:val="00480FD7"/>
    <w:rsid w:val="0048192E"/>
    <w:rsid w:val="00482568"/>
    <w:rsid w:val="00482598"/>
    <w:rsid w:val="00482E6A"/>
    <w:rsid w:val="00484502"/>
    <w:rsid w:val="00484EC5"/>
    <w:rsid w:val="0048558B"/>
    <w:rsid w:val="00485875"/>
    <w:rsid w:val="00485AA3"/>
    <w:rsid w:val="00486151"/>
    <w:rsid w:val="00486952"/>
    <w:rsid w:val="00486B43"/>
    <w:rsid w:val="00486DF9"/>
    <w:rsid w:val="00487078"/>
    <w:rsid w:val="00487ED9"/>
    <w:rsid w:val="00487F15"/>
    <w:rsid w:val="0049281F"/>
    <w:rsid w:val="00492F11"/>
    <w:rsid w:val="00493C94"/>
    <w:rsid w:val="004945C9"/>
    <w:rsid w:val="004949CF"/>
    <w:rsid w:val="00494DA9"/>
    <w:rsid w:val="00495186"/>
    <w:rsid w:val="00496262"/>
    <w:rsid w:val="0049688D"/>
    <w:rsid w:val="004970EE"/>
    <w:rsid w:val="00497514"/>
    <w:rsid w:val="004A05B7"/>
    <w:rsid w:val="004A0F64"/>
    <w:rsid w:val="004A1C4F"/>
    <w:rsid w:val="004A1DF2"/>
    <w:rsid w:val="004A2606"/>
    <w:rsid w:val="004A29DA"/>
    <w:rsid w:val="004A31C6"/>
    <w:rsid w:val="004A32FD"/>
    <w:rsid w:val="004A3903"/>
    <w:rsid w:val="004A4CF9"/>
    <w:rsid w:val="004A4E38"/>
    <w:rsid w:val="004A5162"/>
    <w:rsid w:val="004A6246"/>
    <w:rsid w:val="004A6486"/>
    <w:rsid w:val="004A6E9E"/>
    <w:rsid w:val="004B0128"/>
    <w:rsid w:val="004B04A0"/>
    <w:rsid w:val="004B121C"/>
    <w:rsid w:val="004B2847"/>
    <w:rsid w:val="004B336C"/>
    <w:rsid w:val="004B3F72"/>
    <w:rsid w:val="004B52CD"/>
    <w:rsid w:val="004B5C52"/>
    <w:rsid w:val="004B5E87"/>
    <w:rsid w:val="004B5F11"/>
    <w:rsid w:val="004B62A3"/>
    <w:rsid w:val="004B6428"/>
    <w:rsid w:val="004B6A4A"/>
    <w:rsid w:val="004B769F"/>
    <w:rsid w:val="004B79E0"/>
    <w:rsid w:val="004B7FB7"/>
    <w:rsid w:val="004C0084"/>
    <w:rsid w:val="004C025F"/>
    <w:rsid w:val="004C1F04"/>
    <w:rsid w:val="004C22E9"/>
    <w:rsid w:val="004C23B5"/>
    <w:rsid w:val="004C2ADE"/>
    <w:rsid w:val="004C3100"/>
    <w:rsid w:val="004C3154"/>
    <w:rsid w:val="004C3461"/>
    <w:rsid w:val="004C3DC9"/>
    <w:rsid w:val="004C441E"/>
    <w:rsid w:val="004C48CC"/>
    <w:rsid w:val="004C4C51"/>
    <w:rsid w:val="004C4DBE"/>
    <w:rsid w:val="004C4F96"/>
    <w:rsid w:val="004C530A"/>
    <w:rsid w:val="004C59C8"/>
    <w:rsid w:val="004C5A30"/>
    <w:rsid w:val="004C5C43"/>
    <w:rsid w:val="004C61DF"/>
    <w:rsid w:val="004C7093"/>
    <w:rsid w:val="004C7A8D"/>
    <w:rsid w:val="004D01E4"/>
    <w:rsid w:val="004D143C"/>
    <w:rsid w:val="004D1F5B"/>
    <w:rsid w:val="004D1F89"/>
    <w:rsid w:val="004D3C12"/>
    <w:rsid w:val="004D4B55"/>
    <w:rsid w:val="004D55A7"/>
    <w:rsid w:val="004D5722"/>
    <w:rsid w:val="004D5F13"/>
    <w:rsid w:val="004D7439"/>
    <w:rsid w:val="004D764C"/>
    <w:rsid w:val="004D7764"/>
    <w:rsid w:val="004D7FBF"/>
    <w:rsid w:val="004E1607"/>
    <w:rsid w:val="004E1DCF"/>
    <w:rsid w:val="004E2B3D"/>
    <w:rsid w:val="004E3459"/>
    <w:rsid w:val="004E3823"/>
    <w:rsid w:val="004E384B"/>
    <w:rsid w:val="004E414F"/>
    <w:rsid w:val="004E4A86"/>
    <w:rsid w:val="004E50E3"/>
    <w:rsid w:val="004E6E9E"/>
    <w:rsid w:val="004E76B5"/>
    <w:rsid w:val="004F10D3"/>
    <w:rsid w:val="004F14B3"/>
    <w:rsid w:val="004F14DC"/>
    <w:rsid w:val="004F168A"/>
    <w:rsid w:val="004F2020"/>
    <w:rsid w:val="004F20F3"/>
    <w:rsid w:val="004F28F7"/>
    <w:rsid w:val="004F2EA6"/>
    <w:rsid w:val="004F37B0"/>
    <w:rsid w:val="004F4071"/>
    <w:rsid w:val="004F538A"/>
    <w:rsid w:val="004F5449"/>
    <w:rsid w:val="004F56F0"/>
    <w:rsid w:val="004F602A"/>
    <w:rsid w:val="004F6FBB"/>
    <w:rsid w:val="004F7520"/>
    <w:rsid w:val="005005BF"/>
    <w:rsid w:val="00500EF9"/>
    <w:rsid w:val="00501F65"/>
    <w:rsid w:val="00502B47"/>
    <w:rsid w:val="00502BD3"/>
    <w:rsid w:val="00504497"/>
    <w:rsid w:val="00505BAB"/>
    <w:rsid w:val="005064D4"/>
    <w:rsid w:val="00507712"/>
    <w:rsid w:val="005107D6"/>
    <w:rsid w:val="00510FF9"/>
    <w:rsid w:val="00512153"/>
    <w:rsid w:val="00513269"/>
    <w:rsid w:val="00513862"/>
    <w:rsid w:val="00513D67"/>
    <w:rsid w:val="0051474B"/>
    <w:rsid w:val="005151DA"/>
    <w:rsid w:val="00515234"/>
    <w:rsid w:val="00515502"/>
    <w:rsid w:val="00516E6A"/>
    <w:rsid w:val="00516EAD"/>
    <w:rsid w:val="00517F06"/>
    <w:rsid w:val="0052129E"/>
    <w:rsid w:val="0052141B"/>
    <w:rsid w:val="0052183A"/>
    <w:rsid w:val="005220DC"/>
    <w:rsid w:val="005234EB"/>
    <w:rsid w:val="00523511"/>
    <w:rsid w:val="005235E2"/>
    <w:rsid w:val="0052461A"/>
    <w:rsid w:val="005255D5"/>
    <w:rsid w:val="00525CB2"/>
    <w:rsid w:val="005262EB"/>
    <w:rsid w:val="00526968"/>
    <w:rsid w:val="00526A4F"/>
    <w:rsid w:val="00526AE2"/>
    <w:rsid w:val="00526FC8"/>
    <w:rsid w:val="00527DD8"/>
    <w:rsid w:val="005303DF"/>
    <w:rsid w:val="00530600"/>
    <w:rsid w:val="005320A9"/>
    <w:rsid w:val="00532C7B"/>
    <w:rsid w:val="00533CB3"/>
    <w:rsid w:val="00534ED0"/>
    <w:rsid w:val="005351A0"/>
    <w:rsid w:val="005355B6"/>
    <w:rsid w:val="00535ABB"/>
    <w:rsid w:val="00537F0E"/>
    <w:rsid w:val="0054039C"/>
    <w:rsid w:val="00541415"/>
    <w:rsid w:val="00545DE9"/>
    <w:rsid w:val="0054607C"/>
    <w:rsid w:val="00547430"/>
    <w:rsid w:val="00550205"/>
    <w:rsid w:val="00551583"/>
    <w:rsid w:val="00551FAF"/>
    <w:rsid w:val="0055214E"/>
    <w:rsid w:val="00553038"/>
    <w:rsid w:val="00554241"/>
    <w:rsid w:val="00554633"/>
    <w:rsid w:val="0055699B"/>
    <w:rsid w:val="00556F12"/>
    <w:rsid w:val="0056006D"/>
    <w:rsid w:val="00560318"/>
    <w:rsid w:val="00561500"/>
    <w:rsid w:val="005621F3"/>
    <w:rsid w:val="00563016"/>
    <w:rsid w:val="00563089"/>
    <w:rsid w:val="005631F4"/>
    <w:rsid w:val="00563A46"/>
    <w:rsid w:val="00563E14"/>
    <w:rsid w:val="00563E31"/>
    <w:rsid w:val="00564686"/>
    <w:rsid w:val="005646CC"/>
    <w:rsid w:val="00564DCA"/>
    <w:rsid w:val="00565C86"/>
    <w:rsid w:val="00566D7F"/>
    <w:rsid w:val="005675C3"/>
    <w:rsid w:val="0056772E"/>
    <w:rsid w:val="00567FDC"/>
    <w:rsid w:val="005704BB"/>
    <w:rsid w:val="005707F7"/>
    <w:rsid w:val="0057158A"/>
    <w:rsid w:val="00571D61"/>
    <w:rsid w:val="00572868"/>
    <w:rsid w:val="00572B41"/>
    <w:rsid w:val="00573581"/>
    <w:rsid w:val="00574448"/>
    <w:rsid w:val="005744A3"/>
    <w:rsid w:val="00574986"/>
    <w:rsid w:val="00575201"/>
    <w:rsid w:val="00576416"/>
    <w:rsid w:val="00577871"/>
    <w:rsid w:val="00577F16"/>
    <w:rsid w:val="005804CD"/>
    <w:rsid w:val="00580CC6"/>
    <w:rsid w:val="00581472"/>
    <w:rsid w:val="0058293B"/>
    <w:rsid w:val="00582A8C"/>
    <w:rsid w:val="005837E8"/>
    <w:rsid w:val="00584032"/>
    <w:rsid w:val="005841AE"/>
    <w:rsid w:val="00584EF6"/>
    <w:rsid w:val="005851E1"/>
    <w:rsid w:val="00586307"/>
    <w:rsid w:val="005867D3"/>
    <w:rsid w:val="00587C7B"/>
    <w:rsid w:val="00591EBE"/>
    <w:rsid w:val="00592389"/>
    <w:rsid w:val="005930C6"/>
    <w:rsid w:val="0059452D"/>
    <w:rsid w:val="00594583"/>
    <w:rsid w:val="00594B77"/>
    <w:rsid w:val="00596138"/>
    <w:rsid w:val="00596408"/>
    <w:rsid w:val="00597024"/>
    <w:rsid w:val="00597481"/>
    <w:rsid w:val="005A0CD7"/>
    <w:rsid w:val="005A12CD"/>
    <w:rsid w:val="005A195E"/>
    <w:rsid w:val="005A1D1B"/>
    <w:rsid w:val="005A1D5E"/>
    <w:rsid w:val="005A27FD"/>
    <w:rsid w:val="005A3415"/>
    <w:rsid w:val="005A372C"/>
    <w:rsid w:val="005A4AB9"/>
    <w:rsid w:val="005A4DE5"/>
    <w:rsid w:val="005A4E02"/>
    <w:rsid w:val="005A5CE1"/>
    <w:rsid w:val="005A5D42"/>
    <w:rsid w:val="005A625A"/>
    <w:rsid w:val="005A651C"/>
    <w:rsid w:val="005A6C41"/>
    <w:rsid w:val="005A7190"/>
    <w:rsid w:val="005A7A6A"/>
    <w:rsid w:val="005A7DA6"/>
    <w:rsid w:val="005B10BA"/>
    <w:rsid w:val="005B1CCB"/>
    <w:rsid w:val="005B2515"/>
    <w:rsid w:val="005B36B8"/>
    <w:rsid w:val="005B36C1"/>
    <w:rsid w:val="005B38B6"/>
    <w:rsid w:val="005B3912"/>
    <w:rsid w:val="005B3A9E"/>
    <w:rsid w:val="005B3F93"/>
    <w:rsid w:val="005B476E"/>
    <w:rsid w:val="005B5344"/>
    <w:rsid w:val="005B56EF"/>
    <w:rsid w:val="005B584E"/>
    <w:rsid w:val="005B5EC7"/>
    <w:rsid w:val="005B6544"/>
    <w:rsid w:val="005B7B25"/>
    <w:rsid w:val="005B7C6D"/>
    <w:rsid w:val="005C06C0"/>
    <w:rsid w:val="005C0CEF"/>
    <w:rsid w:val="005C2FA6"/>
    <w:rsid w:val="005C35C9"/>
    <w:rsid w:val="005C3A6E"/>
    <w:rsid w:val="005C3C25"/>
    <w:rsid w:val="005C474D"/>
    <w:rsid w:val="005C4ABF"/>
    <w:rsid w:val="005C5394"/>
    <w:rsid w:val="005C57DA"/>
    <w:rsid w:val="005C5E12"/>
    <w:rsid w:val="005C70FA"/>
    <w:rsid w:val="005C74B4"/>
    <w:rsid w:val="005C76FB"/>
    <w:rsid w:val="005D119F"/>
    <w:rsid w:val="005D176A"/>
    <w:rsid w:val="005D1C33"/>
    <w:rsid w:val="005D22B6"/>
    <w:rsid w:val="005D2447"/>
    <w:rsid w:val="005D2B49"/>
    <w:rsid w:val="005D36FF"/>
    <w:rsid w:val="005D3FB3"/>
    <w:rsid w:val="005D4B8A"/>
    <w:rsid w:val="005D5589"/>
    <w:rsid w:val="005D6B1C"/>
    <w:rsid w:val="005D6CEB"/>
    <w:rsid w:val="005D7333"/>
    <w:rsid w:val="005D7854"/>
    <w:rsid w:val="005D7C4A"/>
    <w:rsid w:val="005E13BE"/>
    <w:rsid w:val="005E13D1"/>
    <w:rsid w:val="005E216B"/>
    <w:rsid w:val="005E343E"/>
    <w:rsid w:val="005E46DC"/>
    <w:rsid w:val="005E4EFD"/>
    <w:rsid w:val="005E6A65"/>
    <w:rsid w:val="005F0149"/>
    <w:rsid w:val="005F072F"/>
    <w:rsid w:val="005F07F0"/>
    <w:rsid w:val="005F126F"/>
    <w:rsid w:val="005F1596"/>
    <w:rsid w:val="005F1838"/>
    <w:rsid w:val="005F27A4"/>
    <w:rsid w:val="005F2946"/>
    <w:rsid w:val="005F2F47"/>
    <w:rsid w:val="005F3844"/>
    <w:rsid w:val="005F38C7"/>
    <w:rsid w:val="005F3CBD"/>
    <w:rsid w:val="005F44F5"/>
    <w:rsid w:val="005F4F1C"/>
    <w:rsid w:val="005F5DF3"/>
    <w:rsid w:val="005F65D9"/>
    <w:rsid w:val="005F6F0D"/>
    <w:rsid w:val="005F71BD"/>
    <w:rsid w:val="005F7611"/>
    <w:rsid w:val="00600DAA"/>
    <w:rsid w:val="006016FD"/>
    <w:rsid w:val="00601FC2"/>
    <w:rsid w:val="00602ABC"/>
    <w:rsid w:val="00603763"/>
    <w:rsid w:val="0060387A"/>
    <w:rsid w:val="00603E63"/>
    <w:rsid w:val="0060417D"/>
    <w:rsid w:val="00604814"/>
    <w:rsid w:val="00604CA6"/>
    <w:rsid w:val="00604FB0"/>
    <w:rsid w:val="00605647"/>
    <w:rsid w:val="006058ED"/>
    <w:rsid w:val="00605C82"/>
    <w:rsid w:val="00606409"/>
    <w:rsid w:val="00606832"/>
    <w:rsid w:val="00606F4B"/>
    <w:rsid w:val="00607B82"/>
    <w:rsid w:val="00607C18"/>
    <w:rsid w:val="00610A20"/>
    <w:rsid w:val="00610C72"/>
    <w:rsid w:val="0061102A"/>
    <w:rsid w:val="00611E66"/>
    <w:rsid w:val="00612A45"/>
    <w:rsid w:val="00612C76"/>
    <w:rsid w:val="0061316F"/>
    <w:rsid w:val="00614185"/>
    <w:rsid w:val="00615B6C"/>
    <w:rsid w:val="00616C52"/>
    <w:rsid w:val="00617485"/>
    <w:rsid w:val="00617905"/>
    <w:rsid w:val="00617FDD"/>
    <w:rsid w:val="00620858"/>
    <w:rsid w:val="00620DC9"/>
    <w:rsid w:val="006233E6"/>
    <w:rsid w:val="006236A0"/>
    <w:rsid w:val="00623F3B"/>
    <w:rsid w:val="0062428D"/>
    <w:rsid w:val="00625252"/>
    <w:rsid w:val="00625EC6"/>
    <w:rsid w:val="00626842"/>
    <w:rsid w:val="00627A39"/>
    <w:rsid w:val="00627F90"/>
    <w:rsid w:val="00630811"/>
    <w:rsid w:val="00630A04"/>
    <w:rsid w:val="00630A52"/>
    <w:rsid w:val="006315ED"/>
    <w:rsid w:val="00632124"/>
    <w:rsid w:val="0063310D"/>
    <w:rsid w:val="00634325"/>
    <w:rsid w:val="006348C3"/>
    <w:rsid w:val="00634C82"/>
    <w:rsid w:val="00635839"/>
    <w:rsid w:val="00635B04"/>
    <w:rsid w:val="006362CF"/>
    <w:rsid w:val="006369E4"/>
    <w:rsid w:val="00636FDE"/>
    <w:rsid w:val="0063716C"/>
    <w:rsid w:val="00637604"/>
    <w:rsid w:val="00637823"/>
    <w:rsid w:val="00640BC1"/>
    <w:rsid w:val="00640BE8"/>
    <w:rsid w:val="00641C08"/>
    <w:rsid w:val="006426C4"/>
    <w:rsid w:val="00642F4B"/>
    <w:rsid w:val="0064324F"/>
    <w:rsid w:val="0064510A"/>
    <w:rsid w:val="0064699A"/>
    <w:rsid w:val="00646DA1"/>
    <w:rsid w:val="00647637"/>
    <w:rsid w:val="006479F6"/>
    <w:rsid w:val="0065030E"/>
    <w:rsid w:val="00650A6F"/>
    <w:rsid w:val="006516C7"/>
    <w:rsid w:val="0065172C"/>
    <w:rsid w:val="006517A7"/>
    <w:rsid w:val="00651F9B"/>
    <w:rsid w:val="00652A43"/>
    <w:rsid w:val="0065340D"/>
    <w:rsid w:val="00653D6D"/>
    <w:rsid w:val="00654E62"/>
    <w:rsid w:val="00655333"/>
    <w:rsid w:val="006554A7"/>
    <w:rsid w:val="00655693"/>
    <w:rsid w:val="0066113F"/>
    <w:rsid w:val="006612F4"/>
    <w:rsid w:val="00661B9A"/>
    <w:rsid w:val="00663648"/>
    <w:rsid w:val="00663F94"/>
    <w:rsid w:val="0066519C"/>
    <w:rsid w:val="00665B97"/>
    <w:rsid w:val="00666F6D"/>
    <w:rsid w:val="00670540"/>
    <w:rsid w:val="00670A16"/>
    <w:rsid w:val="00671BB7"/>
    <w:rsid w:val="006723C5"/>
    <w:rsid w:val="006725A9"/>
    <w:rsid w:val="00673047"/>
    <w:rsid w:val="00674196"/>
    <w:rsid w:val="006759F7"/>
    <w:rsid w:val="00675E74"/>
    <w:rsid w:val="0067728B"/>
    <w:rsid w:val="006779D8"/>
    <w:rsid w:val="00677B75"/>
    <w:rsid w:val="00677C02"/>
    <w:rsid w:val="006819CE"/>
    <w:rsid w:val="00682085"/>
    <w:rsid w:val="00682780"/>
    <w:rsid w:val="006829BE"/>
    <w:rsid w:val="006839D4"/>
    <w:rsid w:val="00683AAE"/>
    <w:rsid w:val="00684761"/>
    <w:rsid w:val="00684E9D"/>
    <w:rsid w:val="00685419"/>
    <w:rsid w:val="00685783"/>
    <w:rsid w:val="00686202"/>
    <w:rsid w:val="00686435"/>
    <w:rsid w:val="00686B07"/>
    <w:rsid w:val="006871FC"/>
    <w:rsid w:val="00687D5E"/>
    <w:rsid w:val="0069019E"/>
    <w:rsid w:val="0069051E"/>
    <w:rsid w:val="006905E1"/>
    <w:rsid w:val="00690AE9"/>
    <w:rsid w:val="00692615"/>
    <w:rsid w:val="00692745"/>
    <w:rsid w:val="00692B17"/>
    <w:rsid w:val="00692B30"/>
    <w:rsid w:val="00693DB3"/>
    <w:rsid w:val="0069620E"/>
    <w:rsid w:val="0069663F"/>
    <w:rsid w:val="00696932"/>
    <w:rsid w:val="00696B6F"/>
    <w:rsid w:val="0069701C"/>
    <w:rsid w:val="00697944"/>
    <w:rsid w:val="006A02C9"/>
    <w:rsid w:val="006A0747"/>
    <w:rsid w:val="006A093C"/>
    <w:rsid w:val="006A14B2"/>
    <w:rsid w:val="006A1627"/>
    <w:rsid w:val="006A1A36"/>
    <w:rsid w:val="006A2106"/>
    <w:rsid w:val="006A2749"/>
    <w:rsid w:val="006A2B35"/>
    <w:rsid w:val="006A2C08"/>
    <w:rsid w:val="006A2E4B"/>
    <w:rsid w:val="006A3F16"/>
    <w:rsid w:val="006A4408"/>
    <w:rsid w:val="006A5415"/>
    <w:rsid w:val="006A5441"/>
    <w:rsid w:val="006A5619"/>
    <w:rsid w:val="006A5DD7"/>
    <w:rsid w:val="006A5E78"/>
    <w:rsid w:val="006A63B7"/>
    <w:rsid w:val="006A665C"/>
    <w:rsid w:val="006A6D13"/>
    <w:rsid w:val="006A6F12"/>
    <w:rsid w:val="006A7006"/>
    <w:rsid w:val="006A707D"/>
    <w:rsid w:val="006A7E9F"/>
    <w:rsid w:val="006B0747"/>
    <w:rsid w:val="006B0B5F"/>
    <w:rsid w:val="006B280B"/>
    <w:rsid w:val="006B3162"/>
    <w:rsid w:val="006B4D31"/>
    <w:rsid w:val="006B61A5"/>
    <w:rsid w:val="006B716E"/>
    <w:rsid w:val="006C29B5"/>
    <w:rsid w:val="006C2B1F"/>
    <w:rsid w:val="006C2D1D"/>
    <w:rsid w:val="006C4584"/>
    <w:rsid w:val="006C4622"/>
    <w:rsid w:val="006C4DC3"/>
    <w:rsid w:val="006C5066"/>
    <w:rsid w:val="006C568E"/>
    <w:rsid w:val="006C596B"/>
    <w:rsid w:val="006C5CA2"/>
    <w:rsid w:val="006C65CD"/>
    <w:rsid w:val="006C6CA6"/>
    <w:rsid w:val="006C73B1"/>
    <w:rsid w:val="006C7401"/>
    <w:rsid w:val="006C74CF"/>
    <w:rsid w:val="006C766B"/>
    <w:rsid w:val="006C76B5"/>
    <w:rsid w:val="006C7D1B"/>
    <w:rsid w:val="006D03C3"/>
    <w:rsid w:val="006D071E"/>
    <w:rsid w:val="006D12FB"/>
    <w:rsid w:val="006D2169"/>
    <w:rsid w:val="006D2AE3"/>
    <w:rsid w:val="006D338A"/>
    <w:rsid w:val="006D38F5"/>
    <w:rsid w:val="006D399B"/>
    <w:rsid w:val="006D4339"/>
    <w:rsid w:val="006D4BBB"/>
    <w:rsid w:val="006D545B"/>
    <w:rsid w:val="006D5988"/>
    <w:rsid w:val="006D5B49"/>
    <w:rsid w:val="006D67AA"/>
    <w:rsid w:val="006D722B"/>
    <w:rsid w:val="006E04D7"/>
    <w:rsid w:val="006E149C"/>
    <w:rsid w:val="006E1506"/>
    <w:rsid w:val="006E182D"/>
    <w:rsid w:val="006E1C13"/>
    <w:rsid w:val="006E1DC0"/>
    <w:rsid w:val="006E21C3"/>
    <w:rsid w:val="006E3223"/>
    <w:rsid w:val="006E330B"/>
    <w:rsid w:val="006E3BE4"/>
    <w:rsid w:val="006E3D7D"/>
    <w:rsid w:val="006E5AAA"/>
    <w:rsid w:val="006E5B8A"/>
    <w:rsid w:val="006E5CA5"/>
    <w:rsid w:val="006E60B1"/>
    <w:rsid w:val="006E6BC6"/>
    <w:rsid w:val="006E6C2C"/>
    <w:rsid w:val="006E6DFA"/>
    <w:rsid w:val="006E7582"/>
    <w:rsid w:val="006E7EB1"/>
    <w:rsid w:val="006F18D5"/>
    <w:rsid w:val="006F1E08"/>
    <w:rsid w:val="006F1E6A"/>
    <w:rsid w:val="006F22FB"/>
    <w:rsid w:val="006F2318"/>
    <w:rsid w:val="006F286C"/>
    <w:rsid w:val="006F329B"/>
    <w:rsid w:val="006F3896"/>
    <w:rsid w:val="006F3F2E"/>
    <w:rsid w:val="006F431D"/>
    <w:rsid w:val="006F5D37"/>
    <w:rsid w:val="006F5E2B"/>
    <w:rsid w:val="006F5E43"/>
    <w:rsid w:val="006F6016"/>
    <w:rsid w:val="006F656B"/>
    <w:rsid w:val="006F6690"/>
    <w:rsid w:val="006F6B02"/>
    <w:rsid w:val="006F72FA"/>
    <w:rsid w:val="006F731A"/>
    <w:rsid w:val="006F7415"/>
    <w:rsid w:val="006F76B9"/>
    <w:rsid w:val="006F77A8"/>
    <w:rsid w:val="00700653"/>
    <w:rsid w:val="00700B6A"/>
    <w:rsid w:val="00700CD8"/>
    <w:rsid w:val="00700CE1"/>
    <w:rsid w:val="00701B05"/>
    <w:rsid w:val="00701DA5"/>
    <w:rsid w:val="007023CC"/>
    <w:rsid w:val="00702B1C"/>
    <w:rsid w:val="00702D63"/>
    <w:rsid w:val="00703120"/>
    <w:rsid w:val="00703786"/>
    <w:rsid w:val="00705408"/>
    <w:rsid w:val="00705743"/>
    <w:rsid w:val="00705A61"/>
    <w:rsid w:val="00705AEB"/>
    <w:rsid w:val="00706C93"/>
    <w:rsid w:val="0070710C"/>
    <w:rsid w:val="00707216"/>
    <w:rsid w:val="00711FC7"/>
    <w:rsid w:val="00712288"/>
    <w:rsid w:val="00712B6F"/>
    <w:rsid w:val="00713506"/>
    <w:rsid w:val="00713E41"/>
    <w:rsid w:val="007155FE"/>
    <w:rsid w:val="0071616F"/>
    <w:rsid w:val="00716D16"/>
    <w:rsid w:val="00716D7E"/>
    <w:rsid w:val="00717922"/>
    <w:rsid w:val="00717C13"/>
    <w:rsid w:val="00717D0B"/>
    <w:rsid w:val="00720703"/>
    <w:rsid w:val="007213A2"/>
    <w:rsid w:val="007221E3"/>
    <w:rsid w:val="00722592"/>
    <w:rsid w:val="00723322"/>
    <w:rsid w:val="0072334A"/>
    <w:rsid w:val="0072351A"/>
    <w:rsid w:val="007238CA"/>
    <w:rsid w:val="00724F42"/>
    <w:rsid w:val="0072582B"/>
    <w:rsid w:val="00725B09"/>
    <w:rsid w:val="00725FFA"/>
    <w:rsid w:val="00726149"/>
    <w:rsid w:val="007271EE"/>
    <w:rsid w:val="007272B9"/>
    <w:rsid w:val="0072796C"/>
    <w:rsid w:val="007307D0"/>
    <w:rsid w:val="007312EF"/>
    <w:rsid w:val="00731505"/>
    <w:rsid w:val="0073152E"/>
    <w:rsid w:val="00731AEB"/>
    <w:rsid w:val="00731DE4"/>
    <w:rsid w:val="0073206C"/>
    <w:rsid w:val="007336B2"/>
    <w:rsid w:val="0073381C"/>
    <w:rsid w:val="00734257"/>
    <w:rsid w:val="0073475C"/>
    <w:rsid w:val="007347B3"/>
    <w:rsid w:val="00734CA3"/>
    <w:rsid w:val="00734D50"/>
    <w:rsid w:val="00734DDE"/>
    <w:rsid w:val="00734E2A"/>
    <w:rsid w:val="0073512E"/>
    <w:rsid w:val="00736D3B"/>
    <w:rsid w:val="007401E7"/>
    <w:rsid w:val="00740593"/>
    <w:rsid w:val="0074221C"/>
    <w:rsid w:val="00742AC9"/>
    <w:rsid w:val="00742EA4"/>
    <w:rsid w:val="00743664"/>
    <w:rsid w:val="0074369B"/>
    <w:rsid w:val="007438DD"/>
    <w:rsid w:val="00744101"/>
    <w:rsid w:val="00744482"/>
    <w:rsid w:val="00744C5A"/>
    <w:rsid w:val="00745A28"/>
    <w:rsid w:val="00746111"/>
    <w:rsid w:val="00747E07"/>
    <w:rsid w:val="00750E13"/>
    <w:rsid w:val="00751A37"/>
    <w:rsid w:val="00751BA9"/>
    <w:rsid w:val="00751D86"/>
    <w:rsid w:val="0075361E"/>
    <w:rsid w:val="007546B5"/>
    <w:rsid w:val="00755473"/>
    <w:rsid w:val="007559F1"/>
    <w:rsid w:val="0075669C"/>
    <w:rsid w:val="0075736A"/>
    <w:rsid w:val="00761609"/>
    <w:rsid w:val="00761EF9"/>
    <w:rsid w:val="007621D8"/>
    <w:rsid w:val="007622B3"/>
    <w:rsid w:val="007628E8"/>
    <w:rsid w:val="00762ADD"/>
    <w:rsid w:val="00762B47"/>
    <w:rsid w:val="007636FC"/>
    <w:rsid w:val="00764CE4"/>
    <w:rsid w:val="00764D3F"/>
    <w:rsid w:val="00764EFA"/>
    <w:rsid w:val="0076572E"/>
    <w:rsid w:val="00766A78"/>
    <w:rsid w:val="00770F60"/>
    <w:rsid w:val="00771B6E"/>
    <w:rsid w:val="00771E27"/>
    <w:rsid w:val="00772441"/>
    <w:rsid w:val="00772752"/>
    <w:rsid w:val="00773ED3"/>
    <w:rsid w:val="007740AC"/>
    <w:rsid w:val="0077412B"/>
    <w:rsid w:val="00774747"/>
    <w:rsid w:val="00775166"/>
    <w:rsid w:val="00776520"/>
    <w:rsid w:val="0077707C"/>
    <w:rsid w:val="007772E2"/>
    <w:rsid w:val="00777314"/>
    <w:rsid w:val="00777B52"/>
    <w:rsid w:val="0078027B"/>
    <w:rsid w:val="0078055F"/>
    <w:rsid w:val="00781A68"/>
    <w:rsid w:val="007821F6"/>
    <w:rsid w:val="00782F4C"/>
    <w:rsid w:val="00783DC8"/>
    <w:rsid w:val="00784150"/>
    <w:rsid w:val="00785049"/>
    <w:rsid w:val="007852D7"/>
    <w:rsid w:val="0078584C"/>
    <w:rsid w:val="007870FA"/>
    <w:rsid w:val="007873A9"/>
    <w:rsid w:val="00790DAF"/>
    <w:rsid w:val="00790E33"/>
    <w:rsid w:val="00792770"/>
    <w:rsid w:val="00792C5D"/>
    <w:rsid w:val="00794815"/>
    <w:rsid w:val="00795225"/>
    <w:rsid w:val="00795975"/>
    <w:rsid w:val="007970E0"/>
    <w:rsid w:val="00797608"/>
    <w:rsid w:val="00797B21"/>
    <w:rsid w:val="00797E8B"/>
    <w:rsid w:val="007A07A1"/>
    <w:rsid w:val="007A2718"/>
    <w:rsid w:val="007A49FA"/>
    <w:rsid w:val="007A4FF2"/>
    <w:rsid w:val="007A5020"/>
    <w:rsid w:val="007A5805"/>
    <w:rsid w:val="007A5889"/>
    <w:rsid w:val="007A6E1A"/>
    <w:rsid w:val="007A77F0"/>
    <w:rsid w:val="007A78CF"/>
    <w:rsid w:val="007A7DD5"/>
    <w:rsid w:val="007B007C"/>
    <w:rsid w:val="007B0346"/>
    <w:rsid w:val="007B0495"/>
    <w:rsid w:val="007B0F7D"/>
    <w:rsid w:val="007B102E"/>
    <w:rsid w:val="007B115F"/>
    <w:rsid w:val="007B1591"/>
    <w:rsid w:val="007B242C"/>
    <w:rsid w:val="007B2778"/>
    <w:rsid w:val="007B2AC9"/>
    <w:rsid w:val="007B4E0B"/>
    <w:rsid w:val="007B706B"/>
    <w:rsid w:val="007B7778"/>
    <w:rsid w:val="007B7B3F"/>
    <w:rsid w:val="007C150B"/>
    <w:rsid w:val="007C2973"/>
    <w:rsid w:val="007C298B"/>
    <w:rsid w:val="007C3830"/>
    <w:rsid w:val="007C44B4"/>
    <w:rsid w:val="007C4E14"/>
    <w:rsid w:val="007C6B91"/>
    <w:rsid w:val="007C6C1E"/>
    <w:rsid w:val="007D00BC"/>
    <w:rsid w:val="007D1083"/>
    <w:rsid w:val="007D13B5"/>
    <w:rsid w:val="007D1455"/>
    <w:rsid w:val="007D1831"/>
    <w:rsid w:val="007D2C9F"/>
    <w:rsid w:val="007D4869"/>
    <w:rsid w:val="007D58F7"/>
    <w:rsid w:val="007D6386"/>
    <w:rsid w:val="007D652D"/>
    <w:rsid w:val="007D67A3"/>
    <w:rsid w:val="007D6F34"/>
    <w:rsid w:val="007E04B5"/>
    <w:rsid w:val="007E076E"/>
    <w:rsid w:val="007E08DA"/>
    <w:rsid w:val="007E2009"/>
    <w:rsid w:val="007E24ED"/>
    <w:rsid w:val="007E3354"/>
    <w:rsid w:val="007E37C0"/>
    <w:rsid w:val="007E3873"/>
    <w:rsid w:val="007E3B5A"/>
    <w:rsid w:val="007E3F71"/>
    <w:rsid w:val="007E441C"/>
    <w:rsid w:val="007E4F70"/>
    <w:rsid w:val="007E595A"/>
    <w:rsid w:val="007E5BC5"/>
    <w:rsid w:val="007E5EED"/>
    <w:rsid w:val="007E609C"/>
    <w:rsid w:val="007E6F3E"/>
    <w:rsid w:val="007E7916"/>
    <w:rsid w:val="007E7D59"/>
    <w:rsid w:val="007F02E1"/>
    <w:rsid w:val="007F084A"/>
    <w:rsid w:val="007F0D6E"/>
    <w:rsid w:val="007F1637"/>
    <w:rsid w:val="007F1AB4"/>
    <w:rsid w:val="007F1DFF"/>
    <w:rsid w:val="007F2A89"/>
    <w:rsid w:val="007F2EF3"/>
    <w:rsid w:val="007F36AE"/>
    <w:rsid w:val="007F38A5"/>
    <w:rsid w:val="007F3D30"/>
    <w:rsid w:val="007F4047"/>
    <w:rsid w:val="007F4817"/>
    <w:rsid w:val="007F5686"/>
    <w:rsid w:val="007F7149"/>
    <w:rsid w:val="007F7F0F"/>
    <w:rsid w:val="00800A27"/>
    <w:rsid w:val="00800C73"/>
    <w:rsid w:val="00800D97"/>
    <w:rsid w:val="00801277"/>
    <w:rsid w:val="00801C51"/>
    <w:rsid w:val="00802680"/>
    <w:rsid w:val="008026E0"/>
    <w:rsid w:val="00802EA1"/>
    <w:rsid w:val="00805A24"/>
    <w:rsid w:val="00805E05"/>
    <w:rsid w:val="00806599"/>
    <w:rsid w:val="00806B2E"/>
    <w:rsid w:val="00807731"/>
    <w:rsid w:val="00807EFE"/>
    <w:rsid w:val="0081156D"/>
    <w:rsid w:val="00811B6D"/>
    <w:rsid w:val="00811FA1"/>
    <w:rsid w:val="008127F3"/>
    <w:rsid w:val="008137DB"/>
    <w:rsid w:val="00813E8A"/>
    <w:rsid w:val="008145D1"/>
    <w:rsid w:val="0081605B"/>
    <w:rsid w:val="00816BED"/>
    <w:rsid w:val="00816DD3"/>
    <w:rsid w:val="008170E4"/>
    <w:rsid w:val="008177AF"/>
    <w:rsid w:val="008206C5"/>
    <w:rsid w:val="00820B9F"/>
    <w:rsid w:val="00821A14"/>
    <w:rsid w:val="0082210F"/>
    <w:rsid w:val="00822406"/>
    <w:rsid w:val="00822D14"/>
    <w:rsid w:val="00823839"/>
    <w:rsid w:val="008245AA"/>
    <w:rsid w:val="00824A52"/>
    <w:rsid w:val="008257A4"/>
    <w:rsid w:val="008258A0"/>
    <w:rsid w:val="00825D48"/>
    <w:rsid w:val="00826616"/>
    <w:rsid w:val="008268F2"/>
    <w:rsid w:val="00827369"/>
    <w:rsid w:val="008278E6"/>
    <w:rsid w:val="00827E2F"/>
    <w:rsid w:val="00827F7D"/>
    <w:rsid w:val="00830522"/>
    <w:rsid w:val="0083065A"/>
    <w:rsid w:val="0083066A"/>
    <w:rsid w:val="00830C81"/>
    <w:rsid w:val="00830DF6"/>
    <w:rsid w:val="00830EC3"/>
    <w:rsid w:val="00831DCB"/>
    <w:rsid w:val="0083293F"/>
    <w:rsid w:val="00832B74"/>
    <w:rsid w:val="00833758"/>
    <w:rsid w:val="008337FD"/>
    <w:rsid w:val="00833B29"/>
    <w:rsid w:val="00833BF4"/>
    <w:rsid w:val="00834B00"/>
    <w:rsid w:val="008353F0"/>
    <w:rsid w:val="008354BD"/>
    <w:rsid w:val="00835B0C"/>
    <w:rsid w:val="00835C77"/>
    <w:rsid w:val="0083670F"/>
    <w:rsid w:val="00837464"/>
    <w:rsid w:val="00837577"/>
    <w:rsid w:val="008400B9"/>
    <w:rsid w:val="00840D45"/>
    <w:rsid w:val="008412E2"/>
    <w:rsid w:val="008421B1"/>
    <w:rsid w:val="00842377"/>
    <w:rsid w:val="0084292F"/>
    <w:rsid w:val="00842C52"/>
    <w:rsid w:val="0084313B"/>
    <w:rsid w:val="00843EF3"/>
    <w:rsid w:val="00844AAA"/>
    <w:rsid w:val="00844E7A"/>
    <w:rsid w:val="00845140"/>
    <w:rsid w:val="00845205"/>
    <w:rsid w:val="0084774A"/>
    <w:rsid w:val="00847763"/>
    <w:rsid w:val="0085037C"/>
    <w:rsid w:val="00850ACB"/>
    <w:rsid w:val="00850D87"/>
    <w:rsid w:val="008529BE"/>
    <w:rsid w:val="00852A53"/>
    <w:rsid w:val="00852D31"/>
    <w:rsid w:val="0085306A"/>
    <w:rsid w:val="008534F0"/>
    <w:rsid w:val="0085384B"/>
    <w:rsid w:val="00855877"/>
    <w:rsid w:val="0085651A"/>
    <w:rsid w:val="008568C7"/>
    <w:rsid w:val="008574A7"/>
    <w:rsid w:val="00857642"/>
    <w:rsid w:val="00857F39"/>
    <w:rsid w:val="008601B3"/>
    <w:rsid w:val="00860963"/>
    <w:rsid w:val="0086097E"/>
    <w:rsid w:val="008618EF"/>
    <w:rsid w:val="00861DB4"/>
    <w:rsid w:val="008620AC"/>
    <w:rsid w:val="008628D2"/>
    <w:rsid w:val="00863842"/>
    <w:rsid w:val="0086500B"/>
    <w:rsid w:val="00865282"/>
    <w:rsid w:val="00865A93"/>
    <w:rsid w:val="00865B43"/>
    <w:rsid w:val="00865FB9"/>
    <w:rsid w:val="00866178"/>
    <w:rsid w:val="008662BF"/>
    <w:rsid w:val="0086644F"/>
    <w:rsid w:val="00867AC8"/>
    <w:rsid w:val="00867C14"/>
    <w:rsid w:val="00871699"/>
    <w:rsid w:val="00871DB6"/>
    <w:rsid w:val="00872397"/>
    <w:rsid w:val="008726AD"/>
    <w:rsid w:val="0087323A"/>
    <w:rsid w:val="008733F4"/>
    <w:rsid w:val="00873EEF"/>
    <w:rsid w:val="00874F92"/>
    <w:rsid w:val="008754B4"/>
    <w:rsid w:val="0087560A"/>
    <w:rsid w:val="00875E35"/>
    <w:rsid w:val="00875EDE"/>
    <w:rsid w:val="00876D23"/>
    <w:rsid w:val="008772A5"/>
    <w:rsid w:val="008775BD"/>
    <w:rsid w:val="008775DF"/>
    <w:rsid w:val="0088094C"/>
    <w:rsid w:val="00881DE1"/>
    <w:rsid w:val="00882763"/>
    <w:rsid w:val="008846DD"/>
    <w:rsid w:val="0088476C"/>
    <w:rsid w:val="00884BFC"/>
    <w:rsid w:val="008858EE"/>
    <w:rsid w:val="00886763"/>
    <w:rsid w:val="008870A5"/>
    <w:rsid w:val="0088738D"/>
    <w:rsid w:val="00890A85"/>
    <w:rsid w:val="00890B19"/>
    <w:rsid w:val="0089131B"/>
    <w:rsid w:val="008914A1"/>
    <w:rsid w:val="00891727"/>
    <w:rsid w:val="00891C54"/>
    <w:rsid w:val="00892CD2"/>
    <w:rsid w:val="00892EC2"/>
    <w:rsid w:val="00893425"/>
    <w:rsid w:val="008942C7"/>
    <w:rsid w:val="0089503D"/>
    <w:rsid w:val="008958D2"/>
    <w:rsid w:val="00895CC6"/>
    <w:rsid w:val="00895FA6"/>
    <w:rsid w:val="0089636F"/>
    <w:rsid w:val="0089658F"/>
    <w:rsid w:val="00896842"/>
    <w:rsid w:val="00897095"/>
    <w:rsid w:val="008A00F4"/>
    <w:rsid w:val="008A0AA6"/>
    <w:rsid w:val="008A1FCE"/>
    <w:rsid w:val="008A2495"/>
    <w:rsid w:val="008A3C96"/>
    <w:rsid w:val="008A431E"/>
    <w:rsid w:val="008A6770"/>
    <w:rsid w:val="008A6BD8"/>
    <w:rsid w:val="008A6C83"/>
    <w:rsid w:val="008A6D7A"/>
    <w:rsid w:val="008A6E52"/>
    <w:rsid w:val="008A7182"/>
    <w:rsid w:val="008A73B1"/>
    <w:rsid w:val="008B0063"/>
    <w:rsid w:val="008B210E"/>
    <w:rsid w:val="008B2DE4"/>
    <w:rsid w:val="008B4635"/>
    <w:rsid w:val="008B4ADA"/>
    <w:rsid w:val="008B4F4A"/>
    <w:rsid w:val="008B5180"/>
    <w:rsid w:val="008B592C"/>
    <w:rsid w:val="008B5F07"/>
    <w:rsid w:val="008B6AFA"/>
    <w:rsid w:val="008B6F62"/>
    <w:rsid w:val="008B79A9"/>
    <w:rsid w:val="008B7A9B"/>
    <w:rsid w:val="008C00DE"/>
    <w:rsid w:val="008C12CB"/>
    <w:rsid w:val="008C17A7"/>
    <w:rsid w:val="008C2B2C"/>
    <w:rsid w:val="008C2E33"/>
    <w:rsid w:val="008C300D"/>
    <w:rsid w:val="008C338C"/>
    <w:rsid w:val="008C35F2"/>
    <w:rsid w:val="008C3652"/>
    <w:rsid w:val="008C3743"/>
    <w:rsid w:val="008C3BDC"/>
    <w:rsid w:val="008C3E2A"/>
    <w:rsid w:val="008C44CD"/>
    <w:rsid w:val="008C5198"/>
    <w:rsid w:val="008C5D7E"/>
    <w:rsid w:val="008C5DBA"/>
    <w:rsid w:val="008C5E51"/>
    <w:rsid w:val="008C7185"/>
    <w:rsid w:val="008C79E6"/>
    <w:rsid w:val="008C7C70"/>
    <w:rsid w:val="008C7C86"/>
    <w:rsid w:val="008C7CEE"/>
    <w:rsid w:val="008D0493"/>
    <w:rsid w:val="008D05AB"/>
    <w:rsid w:val="008D183E"/>
    <w:rsid w:val="008D1C68"/>
    <w:rsid w:val="008D1F28"/>
    <w:rsid w:val="008D28BF"/>
    <w:rsid w:val="008D2FAD"/>
    <w:rsid w:val="008D2FCC"/>
    <w:rsid w:val="008D310E"/>
    <w:rsid w:val="008D35A7"/>
    <w:rsid w:val="008D370A"/>
    <w:rsid w:val="008D44F4"/>
    <w:rsid w:val="008D4833"/>
    <w:rsid w:val="008D6380"/>
    <w:rsid w:val="008D6A05"/>
    <w:rsid w:val="008D73B0"/>
    <w:rsid w:val="008D73FE"/>
    <w:rsid w:val="008D7AF4"/>
    <w:rsid w:val="008D7E13"/>
    <w:rsid w:val="008E1FA3"/>
    <w:rsid w:val="008E2374"/>
    <w:rsid w:val="008E3527"/>
    <w:rsid w:val="008E3D23"/>
    <w:rsid w:val="008E4514"/>
    <w:rsid w:val="008E481D"/>
    <w:rsid w:val="008E483F"/>
    <w:rsid w:val="008E4C5F"/>
    <w:rsid w:val="008E6D9A"/>
    <w:rsid w:val="008E7048"/>
    <w:rsid w:val="008E7671"/>
    <w:rsid w:val="008E7B22"/>
    <w:rsid w:val="008E7B39"/>
    <w:rsid w:val="008E7C7F"/>
    <w:rsid w:val="008E7FBD"/>
    <w:rsid w:val="008F2900"/>
    <w:rsid w:val="008F2CE6"/>
    <w:rsid w:val="008F2E87"/>
    <w:rsid w:val="008F35AE"/>
    <w:rsid w:val="008F3704"/>
    <w:rsid w:val="008F3A24"/>
    <w:rsid w:val="008F428F"/>
    <w:rsid w:val="008F581E"/>
    <w:rsid w:val="008F6217"/>
    <w:rsid w:val="008F6A64"/>
    <w:rsid w:val="008F768F"/>
    <w:rsid w:val="008F7798"/>
    <w:rsid w:val="0090026F"/>
    <w:rsid w:val="009007B4"/>
    <w:rsid w:val="009008BF"/>
    <w:rsid w:val="00903528"/>
    <w:rsid w:val="00903675"/>
    <w:rsid w:val="0090487F"/>
    <w:rsid w:val="00904CBC"/>
    <w:rsid w:val="0090560F"/>
    <w:rsid w:val="00905C67"/>
    <w:rsid w:val="0090635A"/>
    <w:rsid w:val="00906FF4"/>
    <w:rsid w:val="00907A3D"/>
    <w:rsid w:val="00910B7C"/>
    <w:rsid w:val="00910D23"/>
    <w:rsid w:val="00911311"/>
    <w:rsid w:val="0091157E"/>
    <w:rsid w:val="00911E19"/>
    <w:rsid w:val="00912574"/>
    <w:rsid w:val="0091315D"/>
    <w:rsid w:val="0091320A"/>
    <w:rsid w:val="009149AB"/>
    <w:rsid w:val="00914E1D"/>
    <w:rsid w:val="0091507F"/>
    <w:rsid w:val="009155F8"/>
    <w:rsid w:val="0091628F"/>
    <w:rsid w:val="009177B7"/>
    <w:rsid w:val="00917CA1"/>
    <w:rsid w:val="00917D13"/>
    <w:rsid w:val="00920257"/>
    <w:rsid w:val="009205CF"/>
    <w:rsid w:val="00922344"/>
    <w:rsid w:val="009225B1"/>
    <w:rsid w:val="009225BD"/>
    <w:rsid w:val="009237FA"/>
    <w:rsid w:val="00923C44"/>
    <w:rsid w:val="00924433"/>
    <w:rsid w:val="009248CF"/>
    <w:rsid w:val="00924B95"/>
    <w:rsid w:val="00924F22"/>
    <w:rsid w:val="00925204"/>
    <w:rsid w:val="00925435"/>
    <w:rsid w:val="0092678B"/>
    <w:rsid w:val="0092682B"/>
    <w:rsid w:val="00926E18"/>
    <w:rsid w:val="0092788D"/>
    <w:rsid w:val="0093079B"/>
    <w:rsid w:val="0093084A"/>
    <w:rsid w:val="00930B65"/>
    <w:rsid w:val="009315BB"/>
    <w:rsid w:val="00931BEE"/>
    <w:rsid w:val="00931D6D"/>
    <w:rsid w:val="0093244E"/>
    <w:rsid w:val="0093285D"/>
    <w:rsid w:val="00932D48"/>
    <w:rsid w:val="0093340C"/>
    <w:rsid w:val="00933BED"/>
    <w:rsid w:val="00934349"/>
    <w:rsid w:val="00934728"/>
    <w:rsid w:val="00935C6E"/>
    <w:rsid w:val="00935F14"/>
    <w:rsid w:val="009362BE"/>
    <w:rsid w:val="009371B2"/>
    <w:rsid w:val="00937C38"/>
    <w:rsid w:val="00940A58"/>
    <w:rsid w:val="00940A99"/>
    <w:rsid w:val="009411C1"/>
    <w:rsid w:val="0094259F"/>
    <w:rsid w:val="009433AB"/>
    <w:rsid w:val="00943CF9"/>
    <w:rsid w:val="00944614"/>
    <w:rsid w:val="00944795"/>
    <w:rsid w:val="00944E99"/>
    <w:rsid w:val="009455F5"/>
    <w:rsid w:val="00945767"/>
    <w:rsid w:val="00945A25"/>
    <w:rsid w:val="00945A5B"/>
    <w:rsid w:val="00946361"/>
    <w:rsid w:val="00946495"/>
    <w:rsid w:val="009466A9"/>
    <w:rsid w:val="00946C8A"/>
    <w:rsid w:val="00947478"/>
    <w:rsid w:val="00950040"/>
    <w:rsid w:val="0095008D"/>
    <w:rsid w:val="0095206C"/>
    <w:rsid w:val="0095237B"/>
    <w:rsid w:val="00952687"/>
    <w:rsid w:val="00952839"/>
    <w:rsid w:val="009528C2"/>
    <w:rsid w:val="00954C29"/>
    <w:rsid w:val="00954EB1"/>
    <w:rsid w:val="009568D2"/>
    <w:rsid w:val="00956A3C"/>
    <w:rsid w:val="00956B5F"/>
    <w:rsid w:val="00956C61"/>
    <w:rsid w:val="00957613"/>
    <w:rsid w:val="00957A25"/>
    <w:rsid w:val="00957AD2"/>
    <w:rsid w:val="00961874"/>
    <w:rsid w:val="00962085"/>
    <w:rsid w:val="00963EC4"/>
    <w:rsid w:val="00964088"/>
    <w:rsid w:val="0096492A"/>
    <w:rsid w:val="009661C4"/>
    <w:rsid w:val="009665A1"/>
    <w:rsid w:val="00967860"/>
    <w:rsid w:val="00970C37"/>
    <w:rsid w:val="00971C01"/>
    <w:rsid w:val="009721F7"/>
    <w:rsid w:val="009731B7"/>
    <w:rsid w:val="00973E5A"/>
    <w:rsid w:val="009743CB"/>
    <w:rsid w:val="009748C0"/>
    <w:rsid w:val="00975553"/>
    <w:rsid w:val="00977697"/>
    <w:rsid w:val="00977F2A"/>
    <w:rsid w:val="0098034C"/>
    <w:rsid w:val="00981C4B"/>
    <w:rsid w:val="00982853"/>
    <w:rsid w:val="00983942"/>
    <w:rsid w:val="009840C5"/>
    <w:rsid w:val="00984630"/>
    <w:rsid w:val="0098534B"/>
    <w:rsid w:val="00986E0D"/>
    <w:rsid w:val="009874D6"/>
    <w:rsid w:val="00987937"/>
    <w:rsid w:val="00987A29"/>
    <w:rsid w:val="0099021D"/>
    <w:rsid w:val="00990920"/>
    <w:rsid w:val="009919A2"/>
    <w:rsid w:val="00991A08"/>
    <w:rsid w:val="00992386"/>
    <w:rsid w:val="00992459"/>
    <w:rsid w:val="00993139"/>
    <w:rsid w:val="009938D4"/>
    <w:rsid w:val="00994A3E"/>
    <w:rsid w:val="00994DA6"/>
    <w:rsid w:val="00994DD0"/>
    <w:rsid w:val="00995DED"/>
    <w:rsid w:val="00996A53"/>
    <w:rsid w:val="00996ADA"/>
    <w:rsid w:val="0099721E"/>
    <w:rsid w:val="00997C85"/>
    <w:rsid w:val="009A01DD"/>
    <w:rsid w:val="009A03F4"/>
    <w:rsid w:val="009A044F"/>
    <w:rsid w:val="009A0664"/>
    <w:rsid w:val="009A0C29"/>
    <w:rsid w:val="009A24EC"/>
    <w:rsid w:val="009A25EA"/>
    <w:rsid w:val="009A406A"/>
    <w:rsid w:val="009A4BD5"/>
    <w:rsid w:val="009A5239"/>
    <w:rsid w:val="009A6877"/>
    <w:rsid w:val="009A69E6"/>
    <w:rsid w:val="009B1764"/>
    <w:rsid w:val="009B19EE"/>
    <w:rsid w:val="009B1FEA"/>
    <w:rsid w:val="009B2D58"/>
    <w:rsid w:val="009B35A0"/>
    <w:rsid w:val="009B3CA1"/>
    <w:rsid w:val="009B4FBC"/>
    <w:rsid w:val="009B5895"/>
    <w:rsid w:val="009B59EA"/>
    <w:rsid w:val="009B671A"/>
    <w:rsid w:val="009B6B25"/>
    <w:rsid w:val="009B6F98"/>
    <w:rsid w:val="009C0541"/>
    <w:rsid w:val="009C0EA7"/>
    <w:rsid w:val="009C1254"/>
    <w:rsid w:val="009C2523"/>
    <w:rsid w:val="009C2F6B"/>
    <w:rsid w:val="009C3DA9"/>
    <w:rsid w:val="009C45B3"/>
    <w:rsid w:val="009C4751"/>
    <w:rsid w:val="009C541B"/>
    <w:rsid w:val="009C5989"/>
    <w:rsid w:val="009C5AD7"/>
    <w:rsid w:val="009C6251"/>
    <w:rsid w:val="009C63F6"/>
    <w:rsid w:val="009C7FBE"/>
    <w:rsid w:val="009D037F"/>
    <w:rsid w:val="009D090A"/>
    <w:rsid w:val="009D0AF8"/>
    <w:rsid w:val="009D1181"/>
    <w:rsid w:val="009D12BB"/>
    <w:rsid w:val="009D162E"/>
    <w:rsid w:val="009D17FE"/>
    <w:rsid w:val="009D2712"/>
    <w:rsid w:val="009D4791"/>
    <w:rsid w:val="009D4B78"/>
    <w:rsid w:val="009D4C0D"/>
    <w:rsid w:val="009D505B"/>
    <w:rsid w:val="009D5F90"/>
    <w:rsid w:val="009D6BC3"/>
    <w:rsid w:val="009D7D78"/>
    <w:rsid w:val="009E0881"/>
    <w:rsid w:val="009E0D29"/>
    <w:rsid w:val="009E0F2F"/>
    <w:rsid w:val="009E1927"/>
    <w:rsid w:val="009E1BD5"/>
    <w:rsid w:val="009E1E34"/>
    <w:rsid w:val="009E30A7"/>
    <w:rsid w:val="009E4166"/>
    <w:rsid w:val="009E451B"/>
    <w:rsid w:val="009E46C1"/>
    <w:rsid w:val="009E4D04"/>
    <w:rsid w:val="009E609B"/>
    <w:rsid w:val="009E6AB0"/>
    <w:rsid w:val="009E6FD3"/>
    <w:rsid w:val="009F03C8"/>
    <w:rsid w:val="009F0B65"/>
    <w:rsid w:val="009F1054"/>
    <w:rsid w:val="009F227C"/>
    <w:rsid w:val="009F2CE2"/>
    <w:rsid w:val="009F3567"/>
    <w:rsid w:val="009F44E1"/>
    <w:rsid w:val="009F462B"/>
    <w:rsid w:val="009F4D8D"/>
    <w:rsid w:val="009F596B"/>
    <w:rsid w:val="009F5CE1"/>
    <w:rsid w:val="009F6598"/>
    <w:rsid w:val="009F6860"/>
    <w:rsid w:val="009F7369"/>
    <w:rsid w:val="00A01D25"/>
    <w:rsid w:val="00A01E0A"/>
    <w:rsid w:val="00A02763"/>
    <w:rsid w:val="00A0410A"/>
    <w:rsid w:val="00A04BEE"/>
    <w:rsid w:val="00A04C04"/>
    <w:rsid w:val="00A0523F"/>
    <w:rsid w:val="00A0551A"/>
    <w:rsid w:val="00A05D45"/>
    <w:rsid w:val="00A076EB"/>
    <w:rsid w:val="00A07704"/>
    <w:rsid w:val="00A07EE7"/>
    <w:rsid w:val="00A1179C"/>
    <w:rsid w:val="00A11EFD"/>
    <w:rsid w:val="00A13156"/>
    <w:rsid w:val="00A13646"/>
    <w:rsid w:val="00A13CF5"/>
    <w:rsid w:val="00A14F72"/>
    <w:rsid w:val="00A1515A"/>
    <w:rsid w:val="00A15E0C"/>
    <w:rsid w:val="00A16A93"/>
    <w:rsid w:val="00A17D4C"/>
    <w:rsid w:val="00A20203"/>
    <w:rsid w:val="00A213FE"/>
    <w:rsid w:val="00A22100"/>
    <w:rsid w:val="00A2409F"/>
    <w:rsid w:val="00A24833"/>
    <w:rsid w:val="00A248C4"/>
    <w:rsid w:val="00A24931"/>
    <w:rsid w:val="00A24F7A"/>
    <w:rsid w:val="00A25633"/>
    <w:rsid w:val="00A2683D"/>
    <w:rsid w:val="00A26FB4"/>
    <w:rsid w:val="00A30212"/>
    <w:rsid w:val="00A30DF9"/>
    <w:rsid w:val="00A30FE7"/>
    <w:rsid w:val="00A319C6"/>
    <w:rsid w:val="00A33017"/>
    <w:rsid w:val="00A3352A"/>
    <w:rsid w:val="00A341C7"/>
    <w:rsid w:val="00A350BE"/>
    <w:rsid w:val="00A352CD"/>
    <w:rsid w:val="00A353F3"/>
    <w:rsid w:val="00A35C2D"/>
    <w:rsid w:val="00A35FB7"/>
    <w:rsid w:val="00A36154"/>
    <w:rsid w:val="00A36348"/>
    <w:rsid w:val="00A377EE"/>
    <w:rsid w:val="00A37800"/>
    <w:rsid w:val="00A37CB3"/>
    <w:rsid w:val="00A40678"/>
    <w:rsid w:val="00A40A9E"/>
    <w:rsid w:val="00A41083"/>
    <w:rsid w:val="00A41937"/>
    <w:rsid w:val="00A42A86"/>
    <w:rsid w:val="00A43565"/>
    <w:rsid w:val="00A441EF"/>
    <w:rsid w:val="00A4421E"/>
    <w:rsid w:val="00A4449F"/>
    <w:rsid w:val="00A456B5"/>
    <w:rsid w:val="00A464E3"/>
    <w:rsid w:val="00A46556"/>
    <w:rsid w:val="00A46C3D"/>
    <w:rsid w:val="00A4710A"/>
    <w:rsid w:val="00A471F5"/>
    <w:rsid w:val="00A50702"/>
    <w:rsid w:val="00A5347E"/>
    <w:rsid w:val="00A5404C"/>
    <w:rsid w:val="00A542D0"/>
    <w:rsid w:val="00A5578F"/>
    <w:rsid w:val="00A565EC"/>
    <w:rsid w:val="00A57012"/>
    <w:rsid w:val="00A570C4"/>
    <w:rsid w:val="00A57C75"/>
    <w:rsid w:val="00A616DE"/>
    <w:rsid w:val="00A63EB7"/>
    <w:rsid w:val="00A64501"/>
    <w:rsid w:val="00A64C7F"/>
    <w:rsid w:val="00A65DC2"/>
    <w:rsid w:val="00A66DBC"/>
    <w:rsid w:val="00A66EF2"/>
    <w:rsid w:val="00A67000"/>
    <w:rsid w:val="00A7035D"/>
    <w:rsid w:val="00A70366"/>
    <w:rsid w:val="00A704F0"/>
    <w:rsid w:val="00A70685"/>
    <w:rsid w:val="00A72419"/>
    <w:rsid w:val="00A724FF"/>
    <w:rsid w:val="00A729C3"/>
    <w:rsid w:val="00A72CA1"/>
    <w:rsid w:val="00A73008"/>
    <w:rsid w:val="00A73EF7"/>
    <w:rsid w:val="00A74FD7"/>
    <w:rsid w:val="00A75598"/>
    <w:rsid w:val="00A75857"/>
    <w:rsid w:val="00A77ACB"/>
    <w:rsid w:val="00A802EA"/>
    <w:rsid w:val="00A821AE"/>
    <w:rsid w:val="00A82A83"/>
    <w:rsid w:val="00A83084"/>
    <w:rsid w:val="00A832CA"/>
    <w:rsid w:val="00A8354D"/>
    <w:rsid w:val="00A83F6D"/>
    <w:rsid w:val="00A84408"/>
    <w:rsid w:val="00A84492"/>
    <w:rsid w:val="00A84D36"/>
    <w:rsid w:val="00A85A38"/>
    <w:rsid w:val="00A86C6F"/>
    <w:rsid w:val="00A87275"/>
    <w:rsid w:val="00A8753F"/>
    <w:rsid w:val="00A9023A"/>
    <w:rsid w:val="00A91E73"/>
    <w:rsid w:val="00A92359"/>
    <w:rsid w:val="00A92365"/>
    <w:rsid w:val="00A934D5"/>
    <w:rsid w:val="00A93EEE"/>
    <w:rsid w:val="00A944DE"/>
    <w:rsid w:val="00A94994"/>
    <w:rsid w:val="00A94DDA"/>
    <w:rsid w:val="00A9521D"/>
    <w:rsid w:val="00A969D7"/>
    <w:rsid w:val="00A96EDC"/>
    <w:rsid w:val="00A97C80"/>
    <w:rsid w:val="00AA1ACC"/>
    <w:rsid w:val="00AA2AC7"/>
    <w:rsid w:val="00AA3001"/>
    <w:rsid w:val="00AA30B1"/>
    <w:rsid w:val="00AA33F7"/>
    <w:rsid w:val="00AA54DD"/>
    <w:rsid w:val="00AA5C50"/>
    <w:rsid w:val="00AA63F6"/>
    <w:rsid w:val="00AA67DA"/>
    <w:rsid w:val="00AA6DF9"/>
    <w:rsid w:val="00AA6F82"/>
    <w:rsid w:val="00AA7694"/>
    <w:rsid w:val="00AA7A7A"/>
    <w:rsid w:val="00AB01E5"/>
    <w:rsid w:val="00AB0941"/>
    <w:rsid w:val="00AB1E96"/>
    <w:rsid w:val="00AB200D"/>
    <w:rsid w:val="00AB25A5"/>
    <w:rsid w:val="00AB28E6"/>
    <w:rsid w:val="00AB2C18"/>
    <w:rsid w:val="00AB2D05"/>
    <w:rsid w:val="00AB2F9D"/>
    <w:rsid w:val="00AB3088"/>
    <w:rsid w:val="00AB33BD"/>
    <w:rsid w:val="00AB3910"/>
    <w:rsid w:val="00AB48BF"/>
    <w:rsid w:val="00AB4FFC"/>
    <w:rsid w:val="00AB5415"/>
    <w:rsid w:val="00AB5A60"/>
    <w:rsid w:val="00AB60EB"/>
    <w:rsid w:val="00AC063F"/>
    <w:rsid w:val="00AC0F27"/>
    <w:rsid w:val="00AC2522"/>
    <w:rsid w:val="00AC2EAF"/>
    <w:rsid w:val="00AC37B9"/>
    <w:rsid w:val="00AC3A4C"/>
    <w:rsid w:val="00AC3BDF"/>
    <w:rsid w:val="00AC4281"/>
    <w:rsid w:val="00AC47C1"/>
    <w:rsid w:val="00AC5289"/>
    <w:rsid w:val="00AC53CC"/>
    <w:rsid w:val="00AC5832"/>
    <w:rsid w:val="00AC59DE"/>
    <w:rsid w:val="00AC693C"/>
    <w:rsid w:val="00AC7A19"/>
    <w:rsid w:val="00AD1E9C"/>
    <w:rsid w:val="00AD277D"/>
    <w:rsid w:val="00AD2DEE"/>
    <w:rsid w:val="00AD2EB7"/>
    <w:rsid w:val="00AD3381"/>
    <w:rsid w:val="00AD3403"/>
    <w:rsid w:val="00AD40DB"/>
    <w:rsid w:val="00AD4BE4"/>
    <w:rsid w:val="00AD61A0"/>
    <w:rsid w:val="00AD6F31"/>
    <w:rsid w:val="00AD7173"/>
    <w:rsid w:val="00AD7400"/>
    <w:rsid w:val="00AD780F"/>
    <w:rsid w:val="00AD7982"/>
    <w:rsid w:val="00AD7C00"/>
    <w:rsid w:val="00AD7FD0"/>
    <w:rsid w:val="00AE01F5"/>
    <w:rsid w:val="00AE1DCE"/>
    <w:rsid w:val="00AE214F"/>
    <w:rsid w:val="00AE2810"/>
    <w:rsid w:val="00AE4865"/>
    <w:rsid w:val="00AE4C1E"/>
    <w:rsid w:val="00AE532A"/>
    <w:rsid w:val="00AE5EA5"/>
    <w:rsid w:val="00AE736A"/>
    <w:rsid w:val="00AF0A70"/>
    <w:rsid w:val="00AF21EC"/>
    <w:rsid w:val="00AF2392"/>
    <w:rsid w:val="00AF23CE"/>
    <w:rsid w:val="00AF2BA0"/>
    <w:rsid w:val="00AF4140"/>
    <w:rsid w:val="00AF4A5B"/>
    <w:rsid w:val="00AF5F60"/>
    <w:rsid w:val="00AF675E"/>
    <w:rsid w:val="00AF79D0"/>
    <w:rsid w:val="00AF7DF4"/>
    <w:rsid w:val="00B007BB"/>
    <w:rsid w:val="00B00E37"/>
    <w:rsid w:val="00B012A7"/>
    <w:rsid w:val="00B01391"/>
    <w:rsid w:val="00B0187F"/>
    <w:rsid w:val="00B022FD"/>
    <w:rsid w:val="00B02DDC"/>
    <w:rsid w:val="00B04CF7"/>
    <w:rsid w:val="00B04D27"/>
    <w:rsid w:val="00B04DD7"/>
    <w:rsid w:val="00B053D5"/>
    <w:rsid w:val="00B05FE4"/>
    <w:rsid w:val="00B0623F"/>
    <w:rsid w:val="00B063D0"/>
    <w:rsid w:val="00B075A4"/>
    <w:rsid w:val="00B076FE"/>
    <w:rsid w:val="00B078DC"/>
    <w:rsid w:val="00B11344"/>
    <w:rsid w:val="00B113AB"/>
    <w:rsid w:val="00B11A53"/>
    <w:rsid w:val="00B120A4"/>
    <w:rsid w:val="00B136A2"/>
    <w:rsid w:val="00B13B5B"/>
    <w:rsid w:val="00B14050"/>
    <w:rsid w:val="00B14869"/>
    <w:rsid w:val="00B15BEF"/>
    <w:rsid w:val="00B15EBA"/>
    <w:rsid w:val="00B165F6"/>
    <w:rsid w:val="00B16A5B"/>
    <w:rsid w:val="00B17EE2"/>
    <w:rsid w:val="00B20879"/>
    <w:rsid w:val="00B210BD"/>
    <w:rsid w:val="00B21697"/>
    <w:rsid w:val="00B21B4B"/>
    <w:rsid w:val="00B22F46"/>
    <w:rsid w:val="00B232F7"/>
    <w:rsid w:val="00B233AD"/>
    <w:rsid w:val="00B23DC3"/>
    <w:rsid w:val="00B255EC"/>
    <w:rsid w:val="00B2579E"/>
    <w:rsid w:val="00B25D26"/>
    <w:rsid w:val="00B26142"/>
    <w:rsid w:val="00B26793"/>
    <w:rsid w:val="00B26993"/>
    <w:rsid w:val="00B26F19"/>
    <w:rsid w:val="00B27226"/>
    <w:rsid w:val="00B27844"/>
    <w:rsid w:val="00B312A8"/>
    <w:rsid w:val="00B324F9"/>
    <w:rsid w:val="00B326A2"/>
    <w:rsid w:val="00B32E9A"/>
    <w:rsid w:val="00B33342"/>
    <w:rsid w:val="00B333D1"/>
    <w:rsid w:val="00B3490D"/>
    <w:rsid w:val="00B34A10"/>
    <w:rsid w:val="00B35A13"/>
    <w:rsid w:val="00B35DF0"/>
    <w:rsid w:val="00B364DA"/>
    <w:rsid w:val="00B41EAD"/>
    <w:rsid w:val="00B43036"/>
    <w:rsid w:val="00B435BD"/>
    <w:rsid w:val="00B43A5F"/>
    <w:rsid w:val="00B43FDB"/>
    <w:rsid w:val="00B444DD"/>
    <w:rsid w:val="00B44C1A"/>
    <w:rsid w:val="00B455A4"/>
    <w:rsid w:val="00B45D49"/>
    <w:rsid w:val="00B465CA"/>
    <w:rsid w:val="00B50258"/>
    <w:rsid w:val="00B50D48"/>
    <w:rsid w:val="00B50E78"/>
    <w:rsid w:val="00B5184E"/>
    <w:rsid w:val="00B526D4"/>
    <w:rsid w:val="00B52B41"/>
    <w:rsid w:val="00B53220"/>
    <w:rsid w:val="00B536D1"/>
    <w:rsid w:val="00B544C8"/>
    <w:rsid w:val="00B5507D"/>
    <w:rsid w:val="00B551CD"/>
    <w:rsid w:val="00B56123"/>
    <w:rsid w:val="00B56594"/>
    <w:rsid w:val="00B57147"/>
    <w:rsid w:val="00B5737C"/>
    <w:rsid w:val="00B57792"/>
    <w:rsid w:val="00B600BA"/>
    <w:rsid w:val="00B60344"/>
    <w:rsid w:val="00B60C98"/>
    <w:rsid w:val="00B60DEE"/>
    <w:rsid w:val="00B61C50"/>
    <w:rsid w:val="00B61E5B"/>
    <w:rsid w:val="00B62801"/>
    <w:rsid w:val="00B62D75"/>
    <w:rsid w:val="00B63EC3"/>
    <w:rsid w:val="00B6432F"/>
    <w:rsid w:val="00B65FA8"/>
    <w:rsid w:val="00B660F8"/>
    <w:rsid w:val="00B6617C"/>
    <w:rsid w:val="00B6664C"/>
    <w:rsid w:val="00B66B8D"/>
    <w:rsid w:val="00B66C7C"/>
    <w:rsid w:val="00B6747E"/>
    <w:rsid w:val="00B67E11"/>
    <w:rsid w:val="00B70111"/>
    <w:rsid w:val="00B70E72"/>
    <w:rsid w:val="00B713EF"/>
    <w:rsid w:val="00B7202C"/>
    <w:rsid w:val="00B7557C"/>
    <w:rsid w:val="00B75ACC"/>
    <w:rsid w:val="00B76C72"/>
    <w:rsid w:val="00B76EC9"/>
    <w:rsid w:val="00B77DBB"/>
    <w:rsid w:val="00B8174A"/>
    <w:rsid w:val="00B817B9"/>
    <w:rsid w:val="00B81887"/>
    <w:rsid w:val="00B81ECB"/>
    <w:rsid w:val="00B82E8A"/>
    <w:rsid w:val="00B831D5"/>
    <w:rsid w:val="00B8360F"/>
    <w:rsid w:val="00B84008"/>
    <w:rsid w:val="00B846BD"/>
    <w:rsid w:val="00B84C49"/>
    <w:rsid w:val="00B86400"/>
    <w:rsid w:val="00B86974"/>
    <w:rsid w:val="00B900AA"/>
    <w:rsid w:val="00B90B51"/>
    <w:rsid w:val="00B9104A"/>
    <w:rsid w:val="00B92F1C"/>
    <w:rsid w:val="00B93798"/>
    <w:rsid w:val="00B93AE3"/>
    <w:rsid w:val="00B93C92"/>
    <w:rsid w:val="00B93DE0"/>
    <w:rsid w:val="00B93EA4"/>
    <w:rsid w:val="00B9400A"/>
    <w:rsid w:val="00B94E62"/>
    <w:rsid w:val="00B95129"/>
    <w:rsid w:val="00B95C1D"/>
    <w:rsid w:val="00B9788F"/>
    <w:rsid w:val="00B97A1A"/>
    <w:rsid w:val="00BA1146"/>
    <w:rsid w:val="00BA1180"/>
    <w:rsid w:val="00BA17DF"/>
    <w:rsid w:val="00BA1FC6"/>
    <w:rsid w:val="00BA2BC5"/>
    <w:rsid w:val="00BA2D82"/>
    <w:rsid w:val="00BA2F99"/>
    <w:rsid w:val="00BA2FF3"/>
    <w:rsid w:val="00BA3D2B"/>
    <w:rsid w:val="00BA431F"/>
    <w:rsid w:val="00BA6F06"/>
    <w:rsid w:val="00BA7979"/>
    <w:rsid w:val="00BB078F"/>
    <w:rsid w:val="00BB1D5C"/>
    <w:rsid w:val="00BB2449"/>
    <w:rsid w:val="00BB2983"/>
    <w:rsid w:val="00BB2A43"/>
    <w:rsid w:val="00BB2ED3"/>
    <w:rsid w:val="00BB37C4"/>
    <w:rsid w:val="00BB3BDF"/>
    <w:rsid w:val="00BB3F6E"/>
    <w:rsid w:val="00BB6358"/>
    <w:rsid w:val="00BB6428"/>
    <w:rsid w:val="00BB65B1"/>
    <w:rsid w:val="00BB65D9"/>
    <w:rsid w:val="00BB7593"/>
    <w:rsid w:val="00BB76A1"/>
    <w:rsid w:val="00BB7BB2"/>
    <w:rsid w:val="00BC0F68"/>
    <w:rsid w:val="00BC139C"/>
    <w:rsid w:val="00BC14C9"/>
    <w:rsid w:val="00BC219D"/>
    <w:rsid w:val="00BC298D"/>
    <w:rsid w:val="00BC3891"/>
    <w:rsid w:val="00BC43FE"/>
    <w:rsid w:val="00BC4B0F"/>
    <w:rsid w:val="00BC4E9F"/>
    <w:rsid w:val="00BC4F23"/>
    <w:rsid w:val="00BC5251"/>
    <w:rsid w:val="00BC5EEF"/>
    <w:rsid w:val="00BC60CF"/>
    <w:rsid w:val="00BC6794"/>
    <w:rsid w:val="00BC6849"/>
    <w:rsid w:val="00BC6948"/>
    <w:rsid w:val="00BC70D9"/>
    <w:rsid w:val="00BC71D5"/>
    <w:rsid w:val="00BC7645"/>
    <w:rsid w:val="00BC78E6"/>
    <w:rsid w:val="00BD0A9B"/>
    <w:rsid w:val="00BD1072"/>
    <w:rsid w:val="00BD1AFA"/>
    <w:rsid w:val="00BD1F6C"/>
    <w:rsid w:val="00BD29AE"/>
    <w:rsid w:val="00BD2F21"/>
    <w:rsid w:val="00BD34B8"/>
    <w:rsid w:val="00BD44BA"/>
    <w:rsid w:val="00BD461C"/>
    <w:rsid w:val="00BD490B"/>
    <w:rsid w:val="00BD61DA"/>
    <w:rsid w:val="00BD6F16"/>
    <w:rsid w:val="00BD7759"/>
    <w:rsid w:val="00BD7E03"/>
    <w:rsid w:val="00BE06B9"/>
    <w:rsid w:val="00BE0B3B"/>
    <w:rsid w:val="00BE0D39"/>
    <w:rsid w:val="00BE13D9"/>
    <w:rsid w:val="00BE14D8"/>
    <w:rsid w:val="00BE14E7"/>
    <w:rsid w:val="00BE1683"/>
    <w:rsid w:val="00BE1E5C"/>
    <w:rsid w:val="00BE21BF"/>
    <w:rsid w:val="00BE221E"/>
    <w:rsid w:val="00BE2E05"/>
    <w:rsid w:val="00BE4658"/>
    <w:rsid w:val="00BE466C"/>
    <w:rsid w:val="00BE4BFF"/>
    <w:rsid w:val="00BE4C2B"/>
    <w:rsid w:val="00BE53B0"/>
    <w:rsid w:val="00BE59ED"/>
    <w:rsid w:val="00BE5DC6"/>
    <w:rsid w:val="00BE69B8"/>
    <w:rsid w:val="00BE6B27"/>
    <w:rsid w:val="00BE72F4"/>
    <w:rsid w:val="00BF0112"/>
    <w:rsid w:val="00BF0EFF"/>
    <w:rsid w:val="00BF170F"/>
    <w:rsid w:val="00BF20E8"/>
    <w:rsid w:val="00BF25BE"/>
    <w:rsid w:val="00BF2BF3"/>
    <w:rsid w:val="00BF2F0A"/>
    <w:rsid w:val="00BF2F90"/>
    <w:rsid w:val="00BF317C"/>
    <w:rsid w:val="00BF381B"/>
    <w:rsid w:val="00BF38F7"/>
    <w:rsid w:val="00BF407F"/>
    <w:rsid w:val="00BF4289"/>
    <w:rsid w:val="00BF49C7"/>
    <w:rsid w:val="00BF4BC1"/>
    <w:rsid w:val="00BF513B"/>
    <w:rsid w:val="00BF557B"/>
    <w:rsid w:val="00BF7103"/>
    <w:rsid w:val="00BF745A"/>
    <w:rsid w:val="00BF75F9"/>
    <w:rsid w:val="00C0038D"/>
    <w:rsid w:val="00C00430"/>
    <w:rsid w:val="00C005D4"/>
    <w:rsid w:val="00C00C56"/>
    <w:rsid w:val="00C01963"/>
    <w:rsid w:val="00C020BB"/>
    <w:rsid w:val="00C02264"/>
    <w:rsid w:val="00C02491"/>
    <w:rsid w:val="00C029ED"/>
    <w:rsid w:val="00C02A4B"/>
    <w:rsid w:val="00C02E60"/>
    <w:rsid w:val="00C03EFE"/>
    <w:rsid w:val="00C04C56"/>
    <w:rsid w:val="00C05ABC"/>
    <w:rsid w:val="00C06069"/>
    <w:rsid w:val="00C0614B"/>
    <w:rsid w:val="00C06826"/>
    <w:rsid w:val="00C06998"/>
    <w:rsid w:val="00C10B16"/>
    <w:rsid w:val="00C10E1A"/>
    <w:rsid w:val="00C11708"/>
    <w:rsid w:val="00C11870"/>
    <w:rsid w:val="00C13092"/>
    <w:rsid w:val="00C1490B"/>
    <w:rsid w:val="00C15602"/>
    <w:rsid w:val="00C15767"/>
    <w:rsid w:val="00C15A2A"/>
    <w:rsid w:val="00C16553"/>
    <w:rsid w:val="00C168F3"/>
    <w:rsid w:val="00C16F8D"/>
    <w:rsid w:val="00C1796A"/>
    <w:rsid w:val="00C17CF8"/>
    <w:rsid w:val="00C17D56"/>
    <w:rsid w:val="00C20D6E"/>
    <w:rsid w:val="00C213B0"/>
    <w:rsid w:val="00C214DE"/>
    <w:rsid w:val="00C22D8E"/>
    <w:rsid w:val="00C238A2"/>
    <w:rsid w:val="00C2434D"/>
    <w:rsid w:val="00C2450B"/>
    <w:rsid w:val="00C24C17"/>
    <w:rsid w:val="00C24C65"/>
    <w:rsid w:val="00C24CD2"/>
    <w:rsid w:val="00C25F6C"/>
    <w:rsid w:val="00C2735B"/>
    <w:rsid w:val="00C273B6"/>
    <w:rsid w:val="00C305D7"/>
    <w:rsid w:val="00C31166"/>
    <w:rsid w:val="00C315FE"/>
    <w:rsid w:val="00C31793"/>
    <w:rsid w:val="00C317B9"/>
    <w:rsid w:val="00C32BB0"/>
    <w:rsid w:val="00C3326E"/>
    <w:rsid w:val="00C33B78"/>
    <w:rsid w:val="00C34AC3"/>
    <w:rsid w:val="00C34E33"/>
    <w:rsid w:val="00C35028"/>
    <w:rsid w:val="00C359F3"/>
    <w:rsid w:val="00C35E27"/>
    <w:rsid w:val="00C36D99"/>
    <w:rsid w:val="00C37048"/>
    <w:rsid w:val="00C37B5D"/>
    <w:rsid w:val="00C37B7F"/>
    <w:rsid w:val="00C402FA"/>
    <w:rsid w:val="00C40CE2"/>
    <w:rsid w:val="00C41793"/>
    <w:rsid w:val="00C41BD2"/>
    <w:rsid w:val="00C41E8B"/>
    <w:rsid w:val="00C42A60"/>
    <w:rsid w:val="00C42B63"/>
    <w:rsid w:val="00C44A80"/>
    <w:rsid w:val="00C4518C"/>
    <w:rsid w:val="00C46733"/>
    <w:rsid w:val="00C46CE8"/>
    <w:rsid w:val="00C50097"/>
    <w:rsid w:val="00C505FF"/>
    <w:rsid w:val="00C51649"/>
    <w:rsid w:val="00C516D6"/>
    <w:rsid w:val="00C516FC"/>
    <w:rsid w:val="00C52407"/>
    <w:rsid w:val="00C52A48"/>
    <w:rsid w:val="00C52CE4"/>
    <w:rsid w:val="00C530CE"/>
    <w:rsid w:val="00C5356F"/>
    <w:rsid w:val="00C53CA0"/>
    <w:rsid w:val="00C54021"/>
    <w:rsid w:val="00C544F7"/>
    <w:rsid w:val="00C54A4D"/>
    <w:rsid w:val="00C54BF8"/>
    <w:rsid w:val="00C55295"/>
    <w:rsid w:val="00C554A6"/>
    <w:rsid w:val="00C55509"/>
    <w:rsid w:val="00C55C0A"/>
    <w:rsid w:val="00C565F3"/>
    <w:rsid w:val="00C569DD"/>
    <w:rsid w:val="00C57065"/>
    <w:rsid w:val="00C57375"/>
    <w:rsid w:val="00C573E3"/>
    <w:rsid w:val="00C6033F"/>
    <w:rsid w:val="00C60A96"/>
    <w:rsid w:val="00C613A4"/>
    <w:rsid w:val="00C61451"/>
    <w:rsid w:val="00C61C10"/>
    <w:rsid w:val="00C61D86"/>
    <w:rsid w:val="00C634BF"/>
    <w:rsid w:val="00C63590"/>
    <w:rsid w:val="00C63C32"/>
    <w:rsid w:val="00C63CD7"/>
    <w:rsid w:val="00C63E81"/>
    <w:rsid w:val="00C649E7"/>
    <w:rsid w:val="00C64AD1"/>
    <w:rsid w:val="00C64BC6"/>
    <w:rsid w:val="00C66240"/>
    <w:rsid w:val="00C6691F"/>
    <w:rsid w:val="00C66DB6"/>
    <w:rsid w:val="00C67F9E"/>
    <w:rsid w:val="00C70359"/>
    <w:rsid w:val="00C70393"/>
    <w:rsid w:val="00C7068B"/>
    <w:rsid w:val="00C70FA7"/>
    <w:rsid w:val="00C71DF1"/>
    <w:rsid w:val="00C7217D"/>
    <w:rsid w:val="00C7339E"/>
    <w:rsid w:val="00C733FD"/>
    <w:rsid w:val="00C73459"/>
    <w:rsid w:val="00C73696"/>
    <w:rsid w:val="00C73B80"/>
    <w:rsid w:val="00C73C42"/>
    <w:rsid w:val="00C73E08"/>
    <w:rsid w:val="00C74F06"/>
    <w:rsid w:val="00C750A9"/>
    <w:rsid w:val="00C750AC"/>
    <w:rsid w:val="00C75D1A"/>
    <w:rsid w:val="00C7611D"/>
    <w:rsid w:val="00C76D49"/>
    <w:rsid w:val="00C76E2D"/>
    <w:rsid w:val="00C772A5"/>
    <w:rsid w:val="00C7799C"/>
    <w:rsid w:val="00C77E7C"/>
    <w:rsid w:val="00C81A3B"/>
    <w:rsid w:val="00C824D1"/>
    <w:rsid w:val="00C82647"/>
    <w:rsid w:val="00C83897"/>
    <w:rsid w:val="00C83B76"/>
    <w:rsid w:val="00C8492D"/>
    <w:rsid w:val="00C857B6"/>
    <w:rsid w:val="00C85EA1"/>
    <w:rsid w:val="00C860E2"/>
    <w:rsid w:val="00C86E2C"/>
    <w:rsid w:val="00C87063"/>
    <w:rsid w:val="00C878E5"/>
    <w:rsid w:val="00C87F00"/>
    <w:rsid w:val="00C90410"/>
    <w:rsid w:val="00C90DE9"/>
    <w:rsid w:val="00C914DC"/>
    <w:rsid w:val="00C91D5D"/>
    <w:rsid w:val="00C92957"/>
    <w:rsid w:val="00C929F6"/>
    <w:rsid w:val="00C93B2E"/>
    <w:rsid w:val="00C944D4"/>
    <w:rsid w:val="00C9470B"/>
    <w:rsid w:val="00C94CC6"/>
    <w:rsid w:val="00C94CF0"/>
    <w:rsid w:val="00C953AD"/>
    <w:rsid w:val="00C955F5"/>
    <w:rsid w:val="00C95BAD"/>
    <w:rsid w:val="00C964D0"/>
    <w:rsid w:val="00C96700"/>
    <w:rsid w:val="00C9771F"/>
    <w:rsid w:val="00CA02F5"/>
    <w:rsid w:val="00CA12C8"/>
    <w:rsid w:val="00CA1DE3"/>
    <w:rsid w:val="00CA31F5"/>
    <w:rsid w:val="00CA3640"/>
    <w:rsid w:val="00CA557B"/>
    <w:rsid w:val="00CA58FC"/>
    <w:rsid w:val="00CA62BA"/>
    <w:rsid w:val="00CA6B2E"/>
    <w:rsid w:val="00CA6CF0"/>
    <w:rsid w:val="00CA6EF0"/>
    <w:rsid w:val="00CB1859"/>
    <w:rsid w:val="00CB18A1"/>
    <w:rsid w:val="00CB2AE2"/>
    <w:rsid w:val="00CB2EF3"/>
    <w:rsid w:val="00CB4245"/>
    <w:rsid w:val="00CB5F70"/>
    <w:rsid w:val="00CB6140"/>
    <w:rsid w:val="00CB64A2"/>
    <w:rsid w:val="00CB6613"/>
    <w:rsid w:val="00CB69B6"/>
    <w:rsid w:val="00CB71D5"/>
    <w:rsid w:val="00CB73BC"/>
    <w:rsid w:val="00CC0A3C"/>
    <w:rsid w:val="00CC0C97"/>
    <w:rsid w:val="00CC1210"/>
    <w:rsid w:val="00CC1319"/>
    <w:rsid w:val="00CC21A9"/>
    <w:rsid w:val="00CC368B"/>
    <w:rsid w:val="00CC43F8"/>
    <w:rsid w:val="00CC519F"/>
    <w:rsid w:val="00CC5DE6"/>
    <w:rsid w:val="00CC66E1"/>
    <w:rsid w:val="00CC6912"/>
    <w:rsid w:val="00CC6AE6"/>
    <w:rsid w:val="00CC6E20"/>
    <w:rsid w:val="00CC7013"/>
    <w:rsid w:val="00CC7349"/>
    <w:rsid w:val="00CC746B"/>
    <w:rsid w:val="00CD1E50"/>
    <w:rsid w:val="00CD33CD"/>
    <w:rsid w:val="00CD3D12"/>
    <w:rsid w:val="00CD4340"/>
    <w:rsid w:val="00CD4627"/>
    <w:rsid w:val="00CD4956"/>
    <w:rsid w:val="00CD4E4C"/>
    <w:rsid w:val="00CD57EA"/>
    <w:rsid w:val="00CD6429"/>
    <w:rsid w:val="00CD6EA4"/>
    <w:rsid w:val="00CD6F09"/>
    <w:rsid w:val="00CD7100"/>
    <w:rsid w:val="00CD7488"/>
    <w:rsid w:val="00CD7859"/>
    <w:rsid w:val="00CE0F5C"/>
    <w:rsid w:val="00CE1CA9"/>
    <w:rsid w:val="00CE246D"/>
    <w:rsid w:val="00CE255D"/>
    <w:rsid w:val="00CE28C9"/>
    <w:rsid w:val="00CE293B"/>
    <w:rsid w:val="00CE29E9"/>
    <w:rsid w:val="00CE2B69"/>
    <w:rsid w:val="00CE3B26"/>
    <w:rsid w:val="00CE40C8"/>
    <w:rsid w:val="00CE43EB"/>
    <w:rsid w:val="00CE49BE"/>
    <w:rsid w:val="00CE5C08"/>
    <w:rsid w:val="00CE63C5"/>
    <w:rsid w:val="00CE66EB"/>
    <w:rsid w:val="00CE6B14"/>
    <w:rsid w:val="00CE73C4"/>
    <w:rsid w:val="00CE7710"/>
    <w:rsid w:val="00CF0640"/>
    <w:rsid w:val="00CF36DD"/>
    <w:rsid w:val="00CF3BF6"/>
    <w:rsid w:val="00CF3D4B"/>
    <w:rsid w:val="00CF3D5C"/>
    <w:rsid w:val="00CF4209"/>
    <w:rsid w:val="00CF553B"/>
    <w:rsid w:val="00CF55AF"/>
    <w:rsid w:val="00CF5E3A"/>
    <w:rsid w:val="00CF6AEA"/>
    <w:rsid w:val="00CF798E"/>
    <w:rsid w:val="00D000C9"/>
    <w:rsid w:val="00D001FA"/>
    <w:rsid w:val="00D0022B"/>
    <w:rsid w:val="00D003F3"/>
    <w:rsid w:val="00D00AA7"/>
    <w:rsid w:val="00D01727"/>
    <w:rsid w:val="00D0259D"/>
    <w:rsid w:val="00D02A48"/>
    <w:rsid w:val="00D02D70"/>
    <w:rsid w:val="00D03607"/>
    <w:rsid w:val="00D03D7B"/>
    <w:rsid w:val="00D05A5A"/>
    <w:rsid w:val="00D073D3"/>
    <w:rsid w:val="00D07EE4"/>
    <w:rsid w:val="00D1024D"/>
    <w:rsid w:val="00D11A31"/>
    <w:rsid w:val="00D11F87"/>
    <w:rsid w:val="00D12BC1"/>
    <w:rsid w:val="00D13180"/>
    <w:rsid w:val="00D13482"/>
    <w:rsid w:val="00D137B9"/>
    <w:rsid w:val="00D13DA2"/>
    <w:rsid w:val="00D14789"/>
    <w:rsid w:val="00D14E0D"/>
    <w:rsid w:val="00D15192"/>
    <w:rsid w:val="00D151E1"/>
    <w:rsid w:val="00D1578D"/>
    <w:rsid w:val="00D159EF"/>
    <w:rsid w:val="00D16355"/>
    <w:rsid w:val="00D16516"/>
    <w:rsid w:val="00D16B2A"/>
    <w:rsid w:val="00D17FE7"/>
    <w:rsid w:val="00D2037C"/>
    <w:rsid w:val="00D2057F"/>
    <w:rsid w:val="00D21084"/>
    <w:rsid w:val="00D2179C"/>
    <w:rsid w:val="00D21B44"/>
    <w:rsid w:val="00D22F3F"/>
    <w:rsid w:val="00D240BE"/>
    <w:rsid w:val="00D245A7"/>
    <w:rsid w:val="00D25654"/>
    <w:rsid w:val="00D258E3"/>
    <w:rsid w:val="00D25C48"/>
    <w:rsid w:val="00D25CBC"/>
    <w:rsid w:val="00D260EC"/>
    <w:rsid w:val="00D261C4"/>
    <w:rsid w:val="00D26275"/>
    <w:rsid w:val="00D26F4A"/>
    <w:rsid w:val="00D315FD"/>
    <w:rsid w:val="00D32558"/>
    <w:rsid w:val="00D32D57"/>
    <w:rsid w:val="00D3335D"/>
    <w:rsid w:val="00D33B5D"/>
    <w:rsid w:val="00D345BA"/>
    <w:rsid w:val="00D34656"/>
    <w:rsid w:val="00D35933"/>
    <w:rsid w:val="00D35D7B"/>
    <w:rsid w:val="00D36628"/>
    <w:rsid w:val="00D3686D"/>
    <w:rsid w:val="00D4080F"/>
    <w:rsid w:val="00D41020"/>
    <w:rsid w:val="00D412BB"/>
    <w:rsid w:val="00D41621"/>
    <w:rsid w:val="00D42055"/>
    <w:rsid w:val="00D425B1"/>
    <w:rsid w:val="00D43824"/>
    <w:rsid w:val="00D43E96"/>
    <w:rsid w:val="00D4423D"/>
    <w:rsid w:val="00D44626"/>
    <w:rsid w:val="00D44748"/>
    <w:rsid w:val="00D45360"/>
    <w:rsid w:val="00D45719"/>
    <w:rsid w:val="00D46A34"/>
    <w:rsid w:val="00D47775"/>
    <w:rsid w:val="00D47C03"/>
    <w:rsid w:val="00D47F02"/>
    <w:rsid w:val="00D50C58"/>
    <w:rsid w:val="00D50EA1"/>
    <w:rsid w:val="00D53CF8"/>
    <w:rsid w:val="00D54317"/>
    <w:rsid w:val="00D554A9"/>
    <w:rsid w:val="00D55E4A"/>
    <w:rsid w:val="00D567F5"/>
    <w:rsid w:val="00D56EF6"/>
    <w:rsid w:val="00D57533"/>
    <w:rsid w:val="00D57890"/>
    <w:rsid w:val="00D604F7"/>
    <w:rsid w:val="00D60D6C"/>
    <w:rsid w:val="00D615F3"/>
    <w:rsid w:val="00D61964"/>
    <w:rsid w:val="00D61CF6"/>
    <w:rsid w:val="00D61D96"/>
    <w:rsid w:val="00D6207D"/>
    <w:rsid w:val="00D6212E"/>
    <w:rsid w:val="00D626E3"/>
    <w:rsid w:val="00D637C9"/>
    <w:rsid w:val="00D63BAA"/>
    <w:rsid w:val="00D6528B"/>
    <w:rsid w:val="00D65406"/>
    <w:rsid w:val="00D6694C"/>
    <w:rsid w:val="00D66FED"/>
    <w:rsid w:val="00D67717"/>
    <w:rsid w:val="00D702C3"/>
    <w:rsid w:val="00D7096D"/>
    <w:rsid w:val="00D71222"/>
    <w:rsid w:val="00D7179B"/>
    <w:rsid w:val="00D71969"/>
    <w:rsid w:val="00D7376A"/>
    <w:rsid w:val="00D73EF8"/>
    <w:rsid w:val="00D746BA"/>
    <w:rsid w:val="00D7474E"/>
    <w:rsid w:val="00D74B3F"/>
    <w:rsid w:val="00D74C88"/>
    <w:rsid w:val="00D74EB7"/>
    <w:rsid w:val="00D75540"/>
    <w:rsid w:val="00D7614F"/>
    <w:rsid w:val="00D7629A"/>
    <w:rsid w:val="00D77AC0"/>
    <w:rsid w:val="00D8030A"/>
    <w:rsid w:val="00D80AF2"/>
    <w:rsid w:val="00D8103F"/>
    <w:rsid w:val="00D8120C"/>
    <w:rsid w:val="00D813CC"/>
    <w:rsid w:val="00D8244E"/>
    <w:rsid w:val="00D8283C"/>
    <w:rsid w:val="00D82A4F"/>
    <w:rsid w:val="00D84C32"/>
    <w:rsid w:val="00D85AE9"/>
    <w:rsid w:val="00D86307"/>
    <w:rsid w:val="00D8653C"/>
    <w:rsid w:val="00D872E4"/>
    <w:rsid w:val="00D87BF6"/>
    <w:rsid w:val="00D87E48"/>
    <w:rsid w:val="00D90AC6"/>
    <w:rsid w:val="00D90C06"/>
    <w:rsid w:val="00D90FFF"/>
    <w:rsid w:val="00D91722"/>
    <w:rsid w:val="00D922E0"/>
    <w:rsid w:val="00D92C05"/>
    <w:rsid w:val="00D94A53"/>
    <w:rsid w:val="00D94F0A"/>
    <w:rsid w:val="00D94FC2"/>
    <w:rsid w:val="00D95DBA"/>
    <w:rsid w:val="00D97279"/>
    <w:rsid w:val="00D973CA"/>
    <w:rsid w:val="00D9780B"/>
    <w:rsid w:val="00DA1161"/>
    <w:rsid w:val="00DA3304"/>
    <w:rsid w:val="00DA353E"/>
    <w:rsid w:val="00DA7212"/>
    <w:rsid w:val="00DB0371"/>
    <w:rsid w:val="00DB0618"/>
    <w:rsid w:val="00DB10B6"/>
    <w:rsid w:val="00DB1183"/>
    <w:rsid w:val="00DB17BC"/>
    <w:rsid w:val="00DB28A7"/>
    <w:rsid w:val="00DB32C5"/>
    <w:rsid w:val="00DB335A"/>
    <w:rsid w:val="00DB3A7C"/>
    <w:rsid w:val="00DB4010"/>
    <w:rsid w:val="00DB4F50"/>
    <w:rsid w:val="00DB5C2D"/>
    <w:rsid w:val="00DB6376"/>
    <w:rsid w:val="00DB6D06"/>
    <w:rsid w:val="00DB76D6"/>
    <w:rsid w:val="00DB7748"/>
    <w:rsid w:val="00DB7F8E"/>
    <w:rsid w:val="00DC02CD"/>
    <w:rsid w:val="00DC1745"/>
    <w:rsid w:val="00DC31B8"/>
    <w:rsid w:val="00DC35A9"/>
    <w:rsid w:val="00DC398F"/>
    <w:rsid w:val="00DC4B00"/>
    <w:rsid w:val="00DC63C3"/>
    <w:rsid w:val="00DC6712"/>
    <w:rsid w:val="00DC6727"/>
    <w:rsid w:val="00DC6C28"/>
    <w:rsid w:val="00DC7245"/>
    <w:rsid w:val="00DC7735"/>
    <w:rsid w:val="00DD26A8"/>
    <w:rsid w:val="00DD3AB9"/>
    <w:rsid w:val="00DD4066"/>
    <w:rsid w:val="00DD4134"/>
    <w:rsid w:val="00DD419A"/>
    <w:rsid w:val="00DD4FD8"/>
    <w:rsid w:val="00DD569E"/>
    <w:rsid w:val="00DD6256"/>
    <w:rsid w:val="00DD7377"/>
    <w:rsid w:val="00DD7DF2"/>
    <w:rsid w:val="00DD7E67"/>
    <w:rsid w:val="00DE2686"/>
    <w:rsid w:val="00DE2F52"/>
    <w:rsid w:val="00DE34DC"/>
    <w:rsid w:val="00DE59F9"/>
    <w:rsid w:val="00DE5EE1"/>
    <w:rsid w:val="00DE6303"/>
    <w:rsid w:val="00DE712F"/>
    <w:rsid w:val="00DE7495"/>
    <w:rsid w:val="00DE777D"/>
    <w:rsid w:val="00DE7C10"/>
    <w:rsid w:val="00DE7D90"/>
    <w:rsid w:val="00DE7F80"/>
    <w:rsid w:val="00DF0FEC"/>
    <w:rsid w:val="00DF1A9C"/>
    <w:rsid w:val="00DF22CB"/>
    <w:rsid w:val="00DF2F1A"/>
    <w:rsid w:val="00DF36F9"/>
    <w:rsid w:val="00DF3A8C"/>
    <w:rsid w:val="00DF42AC"/>
    <w:rsid w:val="00DF5352"/>
    <w:rsid w:val="00DF6EFF"/>
    <w:rsid w:val="00DF71EF"/>
    <w:rsid w:val="00E002D0"/>
    <w:rsid w:val="00E00386"/>
    <w:rsid w:val="00E01602"/>
    <w:rsid w:val="00E03DED"/>
    <w:rsid w:val="00E03E92"/>
    <w:rsid w:val="00E043C4"/>
    <w:rsid w:val="00E044D0"/>
    <w:rsid w:val="00E0461F"/>
    <w:rsid w:val="00E04A6D"/>
    <w:rsid w:val="00E04B41"/>
    <w:rsid w:val="00E05100"/>
    <w:rsid w:val="00E06DAF"/>
    <w:rsid w:val="00E07463"/>
    <w:rsid w:val="00E075C9"/>
    <w:rsid w:val="00E07845"/>
    <w:rsid w:val="00E07E27"/>
    <w:rsid w:val="00E10636"/>
    <w:rsid w:val="00E10C93"/>
    <w:rsid w:val="00E11004"/>
    <w:rsid w:val="00E11D33"/>
    <w:rsid w:val="00E134D3"/>
    <w:rsid w:val="00E1445C"/>
    <w:rsid w:val="00E1459B"/>
    <w:rsid w:val="00E14640"/>
    <w:rsid w:val="00E14901"/>
    <w:rsid w:val="00E14BC0"/>
    <w:rsid w:val="00E16DA7"/>
    <w:rsid w:val="00E17043"/>
    <w:rsid w:val="00E173B5"/>
    <w:rsid w:val="00E17E57"/>
    <w:rsid w:val="00E203AD"/>
    <w:rsid w:val="00E20DD7"/>
    <w:rsid w:val="00E2147D"/>
    <w:rsid w:val="00E2368B"/>
    <w:rsid w:val="00E23764"/>
    <w:rsid w:val="00E23D08"/>
    <w:rsid w:val="00E2536A"/>
    <w:rsid w:val="00E2567F"/>
    <w:rsid w:val="00E2655A"/>
    <w:rsid w:val="00E267EB"/>
    <w:rsid w:val="00E26B85"/>
    <w:rsid w:val="00E26C19"/>
    <w:rsid w:val="00E26FC1"/>
    <w:rsid w:val="00E27313"/>
    <w:rsid w:val="00E27514"/>
    <w:rsid w:val="00E2796D"/>
    <w:rsid w:val="00E27D66"/>
    <w:rsid w:val="00E30AC8"/>
    <w:rsid w:val="00E31C55"/>
    <w:rsid w:val="00E32AA4"/>
    <w:rsid w:val="00E330C1"/>
    <w:rsid w:val="00E330E8"/>
    <w:rsid w:val="00E33837"/>
    <w:rsid w:val="00E3397B"/>
    <w:rsid w:val="00E34C08"/>
    <w:rsid w:val="00E35212"/>
    <w:rsid w:val="00E353F1"/>
    <w:rsid w:val="00E35439"/>
    <w:rsid w:val="00E37D58"/>
    <w:rsid w:val="00E40198"/>
    <w:rsid w:val="00E41C99"/>
    <w:rsid w:val="00E42D8D"/>
    <w:rsid w:val="00E43FD7"/>
    <w:rsid w:val="00E44493"/>
    <w:rsid w:val="00E46C3B"/>
    <w:rsid w:val="00E46D24"/>
    <w:rsid w:val="00E47315"/>
    <w:rsid w:val="00E47C45"/>
    <w:rsid w:val="00E500C9"/>
    <w:rsid w:val="00E510D6"/>
    <w:rsid w:val="00E514C6"/>
    <w:rsid w:val="00E514D1"/>
    <w:rsid w:val="00E51883"/>
    <w:rsid w:val="00E51CA1"/>
    <w:rsid w:val="00E52328"/>
    <w:rsid w:val="00E52348"/>
    <w:rsid w:val="00E534FB"/>
    <w:rsid w:val="00E536A6"/>
    <w:rsid w:val="00E53787"/>
    <w:rsid w:val="00E53CD2"/>
    <w:rsid w:val="00E54795"/>
    <w:rsid w:val="00E54FED"/>
    <w:rsid w:val="00E55095"/>
    <w:rsid w:val="00E5541F"/>
    <w:rsid w:val="00E55820"/>
    <w:rsid w:val="00E55BB8"/>
    <w:rsid w:val="00E5664D"/>
    <w:rsid w:val="00E56F58"/>
    <w:rsid w:val="00E57A4A"/>
    <w:rsid w:val="00E60FAD"/>
    <w:rsid w:val="00E61220"/>
    <w:rsid w:val="00E61315"/>
    <w:rsid w:val="00E61A3F"/>
    <w:rsid w:val="00E63847"/>
    <w:rsid w:val="00E63F64"/>
    <w:rsid w:val="00E63F6C"/>
    <w:rsid w:val="00E6430C"/>
    <w:rsid w:val="00E64605"/>
    <w:rsid w:val="00E64F8E"/>
    <w:rsid w:val="00E65122"/>
    <w:rsid w:val="00E65EB0"/>
    <w:rsid w:val="00E6628A"/>
    <w:rsid w:val="00E66840"/>
    <w:rsid w:val="00E668E0"/>
    <w:rsid w:val="00E67B2E"/>
    <w:rsid w:val="00E67CA8"/>
    <w:rsid w:val="00E70E1A"/>
    <w:rsid w:val="00E7150E"/>
    <w:rsid w:val="00E71833"/>
    <w:rsid w:val="00E72367"/>
    <w:rsid w:val="00E72684"/>
    <w:rsid w:val="00E73D34"/>
    <w:rsid w:val="00E7404C"/>
    <w:rsid w:val="00E743D9"/>
    <w:rsid w:val="00E747B7"/>
    <w:rsid w:val="00E74FC8"/>
    <w:rsid w:val="00E7516B"/>
    <w:rsid w:val="00E752F4"/>
    <w:rsid w:val="00E75494"/>
    <w:rsid w:val="00E75A38"/>
    <w:rsid w:val="00E778BC"/>
    <w:rsid w:val="00E77900"/>
    <w:rsid w:val="00E77DFE"/>
    <w:rsid w:val="00E81476"/>
    <w:rsid w:val="00E81521"/>
    <w:rsid w:val="00E81D19"/>
    <w:rsid w:val="00E81EBC"/>
    <w:rsid w:val="00E82684"/>
    <w:rsid w:val="00E82727"/>
    <w:rsid w:val="00E82732"/>
    <w:rsid w:val="00E82A96"/>
    <w:rsid w:val="00E82FBC"/>
    <w:rsid w:val="00E831F2"/>
    <w:rsid w:val="00E83261"/>
    <w:rsid w:val="00E8369A"/>
    <w:rsid w:val="00E83843"/>
    <w:rsid w:val="00E83F02"/>
    <w:rsid w:val="00E84B1B"/>
    <w:rsid w:val="00E85F82"/>
    <w:rsid w:val="00E91055"/>
    <w:rsid w:val="00E915B3"/>
    <w:rsid w:val="00E92231"/>
    <w:rsid w:val="00E92572"/>
    <w:rsid w:val="00E92D3D"/>
    <w:rsid w:val="00E94517"/>
    <w:rsid w:val="00E94636"/>
    <w:rsid w:val="00E94951"/>
    <w:rsid w:val="00E97047"/>
    <w:rsid w:val="00E97E07"/>
    <w:rsid w:val="00EA03E6"/>
    <w:rsid w:val="00EA0A71"/>
    <w:rsid w:val="00EA14BF"/>
    <w:rsid w:val="00EA3644"/>
    <w:rsid w:val="00EA396F"/>
    <w:rsid w:val="00EA3972"/>
    <w:rsid w:val="00EA3D4A"/>
    <w:rsid w:val="00EA442D"/>
    <w:rsid w:val="00EA4BD6"/>
    <w:rsid w:val="00EA6498"/>
    <w:rsid w:val="00EA66FB"/>
    <w:rsid w:val="00EA6780"/>
    <w:rsid w:val="00EA7438"/>
    <w:rsid w:val="00EA74D0"/>
    <w:rsid w:val="00EA7F6B"/>
    <w:rsid w:val="00EB09C6"/>
    <w:rsid w:val="00EB0A6E"/>
    <w:rsid w:val="00EB0C18"/>
    <w:rsid w:val="00EB0F50"/>
    <w:rsid w:val="00EB10FD"/>
    <w:rsid w:val="00EB1745"/>
    <w:rsid w:val="00EB18F0"/>
    <w:rsid w:val="00EB1BBB"/>
    <w:rsid w:val="00EB1E52"/>
    <w:rsid w:val="00EB22C6"/>
    <w:rsid w:val="00EB29D0"/>
    <w:rsid w:val="00EB2C36"/>
    <w:rsid w:val="00EB2CD2"/>
    <w:rsid w:val="00EB2F15"/>
    <w:rsid w:val="00EB4121"/>
    <w:rsid w:val="00EB4EDA"/>
    <w:rsid w:val="00EB5449"/>
    <w:rsid w:val="00EB5A7C"/>
    <w:rsid w:val="00EC0569"/>
    <w:rsid w:val="00EC1415"/>
    <w:rsid w:val="00EC2063"/>
    <w:rsid w:val="00EC275C"/>
    <w:rsid w:val="00EC2E07"/>
    <w:rsid w:val="00EC366D"/>
    <w:rsid w:val="00EC3A59"/>
    <w:rsid w:val="00EC3B4E"/>
    <w:rsid w:val="00EC41D1"/>
    <w:rsid w:val="00EC5102"/>
    <w:rsid w:val="00EC59BB"/>
    <w:rsid w:val="00EC7157"/>
    <w:rsid w:val="00EC7340"/>
    <w:rsid w:val="00EC7BC0"/>
    <w:rsid w:val="00ED17F8"/>
    <w:rsid w:val="00ED1864"/>
    <w:rsid w:val="00ED25FB"/>
    <w:rsid w:val="00ED316C"/>
    <w:rsid w:val="00ED34AA"/>
    <w:rsid w:val="00ED3764"/>
    <w:rsid w:val="00ED3B5D"/>
    <w:rsid w:val="00ED42DE"/>
    <w:rsid w:val="00ED4352"/>
    <w:rsid w:val="00ED47F1"/>
    <w:rsid w:val="00ED4A48"/>
    <w:rsid w:val="00ED4BF2"/>
    <w:rsid w:val="00ED5495"/>
    <w:rsid w:val="00ED5C7B"/>
    <w:rsid w:val="00ED6C15"/>
    <w:rsid w:val="00ED7404"/>
    <w:rsid w:val="00EE0111"/>
    <w:rsid w:val="00EE0A38"/>
    <w:rsid w:val="00EE0EBD"/>
    <w:rsid w:val="00EE10B1"/>
    <w:rsid w:val="00EE1228"/>
    <w:rsid w:val="00EE127D"/>
    <w:rsid w:val="00EE15B4"/>
    <w:rsid w:val="00EE33CF"/>
    <w:rsid w:val="00EE391D"/>
    <w:rsid w:val="00EE3EC5"/>
    <w:rsid w:val="00EE473B"/>
    <w:rsid w:val="00EE4EAE"/>
    <w:rsid w:val="00EE51D5"/>
    <w:rsid w:val="00EE535F"/>
    <w:rsid w:val="00EE566D"/>
    <w:rsid w:val="00EF1130"/>
    <w:rsid w:val="00EF1C79"/>
    <w:rsid w:val="00EF23AD"/>
    <w:rsid w:val="00EF289B"/>
    <w:rsid w:val="00EF2B17"/>
    <w:rsid w:val="00EF3245"/>
    <w:rsid w:val="00EF5BA0"/>
    <w:rsid w:val="00EF6174"/>
    <w:rsid w:val="00EF6B8E"/>
    <w:rsid w:val="00EF7ADC"/>
    <w:rsid w:val="00EF7C0B"/>
    <w:rsid w:val="00F0021E"/>
    <w:rsid w:val="00F010D4"/>
    <w:rsid w:val="00F01332"/>
    <w:rsid w:val="00F01C20"/>
    <w:rsid w:val="00F026CE"/>
    <w:rsid w:val="00F03DAA"/>
    <w:rsid w:val="00F04445"/>
    <w:rsid w:val="00F049C1"/>
    <w:rsid w:val="00F052E6"/>
    <w:rsid w:val="00F05FDE"/>
    <w:rsid w:val="00F061CE"/>
    <w:rsid w:val="00F0636D"/>
    <w:rsid w:val="00F06571"/>
    <w:rsid w:val="00F066DD"/>
    <w:rsid w:val="00F06747"/>
    <w:rsid w:val="00F067A1"/>
    <w:rsid w:val="00F06935"/>
    <w:rsid w:val="00F06C12"/>
    <w:rsid w:val="00F06EA0"/>
    <w:rsid w:val="00F075E1"/>
    <w:rsid w:val="00F07A59"/>
    <w:rsid w:val="00F07D82"/>
    <w:rsid w:val="00F11C1B"/>
    <w:rsid w:val="00F127A2"/>
    <w:rsid w:val="00F127B3"/>
    <w:rsid w:val="00F12F82"/>
    <w:rsid w:val="00F14184"/>
    <w:rsid w:val="00F148D7"/>
    <w:rsid w:val="00F148E4"/>
    <w:rsid w:val="00F150AC"/>
    <w:rsid w:val="00F15C33"/>
    <w:rsid w:val="00F15F68"/>
    <w:rsid w:val="00F166EA"/>
    <w:rsid w:val="00F16712"/>
    <w:rsid w:val="00F16F8D"/>
    <w:rsid w:val="00F171F5"/>
    <w:rsid w:val="00F2149E"/>
    <w:rsid w:val="00F22480"/>
    <w:rsid w:val="00F23828"/>
    <w:rsid w:val="00F24013"/>
    <w:rsid w:val="00F24187"/>
    <w:rsid w:val="00F2427F"/>
    <w:rsid w:val="00F25243"/>
    <w:rsid w:val="00F26037"/>
    <w:rsid w:val="00F26424"/>
    <w:rsid w:val="00F2669D"/>
    <w:rsid w:val="00F273FC"/>
    <w:rsid w:val="00F27694"/>
    <w:rsid w:val="00F27712"/>
    <w:rsid w:val="00F3090D"/>
    <w:rsid w:val="00F30A4A"/>
    <w:rsid w:val="00F323B6"/>
    <w:rsid w:val="00F32CF5"/>
    <w:rsid w:val="00F339A6"/>
    <w:rsid w:val="00F33B08"/>
    <w:rsid w:val="00F3425B"/>
    <w:rsid w:val="00F3544D"/>
    <w:rsid w:val="00F36BEE"/>
    <w:rsid w:val="00F37411"/>
    <w:rsid w:val="00F37887"/>
    <w:rsid w:val="00F37B6A"/>
    <w:rsid w:val="00F400CC"/>
    <w:rsid w:val="00F41725"/>
    <w:rsid w:val="00F4173A"/>
    <w:rsid w:val="00F41997"/>
    <w:rsid w:val="00F41D07"/>
    <w:rsid w:val="00F42523"/>
    <w:rsid w:val="00F43060"/>
    <w:rsid w:val="00F43A27"/>
    <w:rsid w:val="00F44F7F"/>
    <w:rsid w:val="00F44FD5"/>
    <w:rsid w:val="00F45346"/>
    <w:rsid w:val="00F4595F"/>
    <w:rsid w:val="00F45E4C"/>
    <w:rsid w:val="00F46E55"/>
    <w:rsid w:val="00F46F0E"/>
    <w:rsid w:val="00F47799"/>
    <w:rsid w:val="00F5030D"/>
    <w:rsid w:val="00F503F3"/>
    <w:rsid w:val="00F51224"/>
    <w:rsid w:val="00F5164C"/>
    <w:rsid w:val="00F51E0F"/>
    <w:rsid w:val="00F5298F"/>
    <w:rsid w:val="00F52BBA"/>
    <w:rsid w:val="00F52EAB"/>
    <w:rsid w:val="00F5362E"/>
    <w:rsid w:val="00F539BB"/>
    <w:rsid w:val="00F53E14"/>
    <w:rsid w:val="00F540B0"/>
    <w:rsid w:val="00F543A3"/>
    <w:rsid w:val="00F54D52"/>
    <w:rsid w:val="00F554E9"/>
    <w:rsid w:val="00F560B4"/>
    <w:rsid w:val="00F563E2"/>
    <w:rsid w:val="00F57B67"/>
    <w:rsid w:val="00F57E3A"/>
    <w:rsid w:val="00F57E68"/>
    <w:rsid w:val="00F57EA1"/>
    <w:rsid w:val="00F604C4"/>
    <w:rsid w:val="00F606C7"/>
    <w:rsid w:val="00F60BE9"/>
    <w:rsid w:val="00F60FC6"/>
    <w:rsid w:val="00F61052"/>
    <w:rsid w:val="00F6183D"/>
    <w:rsid w:val="00F61B11"/>
    <w:rsid w:val="00F61B5E"/>
    <w:rsid w:val="00F62502"/>
    <w:rsid w:val="00F62BAD"/>
    <w:rsid w:val="00F6378A"/>
    <w:rsid w:val="00F6405C"/>
    <w:rsid w:val="00F64079"/>
    <w:rsid w:val="00F64F93"/>
    <w:rsid w:val="00F650AC"/>
    <w:rsid w:val="00F657F1"/>
    <w:rsid w:val="00F66BB3"/>
    <w:rsid w:val="00F670C2"/>
    <w:rsid w:val="00F6781F"/>
    <w:rsid w:val="00F6783B"/>
    <w:rsid w:val="00F70002"/>
    <w:rsid w:val="00F70AA0"/>
    <w:rsid w:val="00F70B41"/>
    <w:rsid w:val="00F7163F"/>
    <w:rsid w:val="00F73E9B"/>
    <w:rsid w:val="00F74108"/>
    <w:rsid w:val="00F74D15"/>
    <w:rsid w:val="00F7582D"/>
    <w:rsid w:val="00F75B73"/>
    <w:rsid w:val="00F774A9"/>
    <w:rsid w:val="00F776BB"/>
    <w:rsid w:val="00F8140F"/>
    <w:rsid w:val="00F815F3"/>
    <w:rsid w:val="00F8264D"/>
    <w:rsid w:val="00F83397"/>
    <w:rsid w:val="00F8365D"/>
    <w:rsid w:val="00F843BF"/>
    <w:rsid w:val="00F84C87"/>
    <w:rsid w:val="00F871EA"/>
    <w:rsid w:val="00F87348"/>
    <w:rsid w:val="00F909A0"/>
    <w:rsid w:val="00F92580"/>
    <w:rsid w:val="00F9316C"/>
    <w:rsid w:val="00F9355F"/>
    <w:rsid w:val="00F93A92"/>
    <w:rsid w:val="00F9440B"/>
    <w:rsid w:val="00F94792"/>
    <w:rsid w:val="00F95009"/>
    <w:rsid w:val="00F955F0"/>
    <w:rsid w:val="00F9581B"/>
    <w:rsid w:val="00F95908"/>
    <w:rsid w:val="00F96F17"/>
    <w:rsid w:val="00F9752D"/>
    <w:rsid w:val="00FA0246"/>
    <w:rsid w:val="00FA1612"/>
    <w:rsid w:val="00FA1C09"/>
    <w:rsid w:val="00FA1F89"/>
    <w:rsid w:val="00FA29C8"/>
    <w:rsid w:val="00FA2DE7"/>
    <w:rsid w:val="00FA3114"/>
    <w:rsid w:val="00FA3B1C"/>
    <w:rsid w:val="00FA5269"/>
    <w:rsid w:val="00FA5BF9"/>
    <w:rsid w:val="00FA5C3E"/>
    <w:rsid w:val="00FA6FBB"/>
    <w:rsid w:val="00FA7F9A"/>
    <w:rsid w:val="00FB0669"/>
    <w:rsid w:val="00FB2135"/>
    <w:rsid w:val="00FB273F"/>
    <w:rsid w:val="00FB3276"/>
    <w:rsid w:val="00FB328D"/>
    <w:rsid w:val="00FB3300"/>
    <w:rsid w:val="00FB4344"/>
    <w:rsid w:val="00FB5982"/>
    <w:rsid w:val="00FB5E02"/>
    <w:rsid w:val="00FB5EEE"/>
    <w:rsid w:val="00FB6209"/>
    <w:rsid w:val="00FB6A02"/>
    <w:rsid w:val="00FB7051"/>
    <w:rsid w:val="00FC0DE6"/>
    <w:rsid w:val="00FC0F18"/>
    <w:rsid w:val="00FC1DBE"/>
    <w:rsid w:val="00FC2AF5"/>
    <w:rsid w:val="00FC3059"/>
    <w:rsid w:val="00FC34E4"/>
    <w:rsid w:val="00FC3574"/>
    <w:rsid w:val="00FC4125"/>
    <w:rsid w:val="00FC45C2"/>
    <w:rsid w:val="00FC4BFE"/>
    <w:rsid w:val="00FC4CF3"/>
    <w:rsid w:val="00FC52CE"/>
    <w:rsid w:val="00FC5672"/>
    <w:rsid w:val="00FC5D61"/>
    <w:rsid w:val="00FC73DD"/>
    <w:rsid w:val="00FC746C"/>
    <w:rsid w:val="00FC76CD"/>
    <w:rsid w:val="00FD009B"/>
    <w:rsid w:val="00FD092A"/>
    <w:rsid w:val="00FD0FA2"/>
    <w:rsid w:val="00FD1636"/>
    <w:rsid w:val="00FD1A74"/>
    <w:rsid w:val="00FD209E"/>
    <w:rsid w:val="00FD2258"/>
    <w:rsid w:val="00FD2375"/>
    <w:rsid w:val="00FD2C19"/>
    <w:rsid w:val="00FD37F4"/>
    <w:rsid w:val="00FD412B"/>
    <w:rsid w:val="00FD633B"/>
    <w:rsid w:val="00FD6D05"/>
    <w:rsid w:val="00FD6D86"/>
    <w:rsid w:val="00FD7787"/>
    <w:rsid w:val="00FD79DD"/>
    <w:rsid w:val="00FE0213"/>
    <w:rsid w:val="00FE0B3A"/>
    <w:rsid w:val="00FE0D1B"/>
    <w:rsid w:val="00FE0E1B"/>
    <w:rsid w:val="00FE0E51"/>
    <w:rsid w:val="00FE1357"/>
    <w:rsid w:val="00FE1EA7"/>
    <w:rsid w:val="00FE2651"/>
    <w:rsid w:val="00FE3FA0"/>
    <w:rsid w:val="00FE4838"/>
    <w:rsid w:val="00FE4999"/>
    <w:rsid w:val="00FE4AF8"/>
    <w:rsid w:val="00FE4EEE"/>
    <w:rsid w:val="00FE5B87"/>
    <w:rsid w:val="00FE6192"/>
    <w:rsid w:val="00FE6D0F"/>
    <w:rsid w:val="00FE6E99"/>
    <w:rsid w:val="00FE70DE"/>
    <w:rsid w:val="00FF00AE"/>
    <w:rsid w:val="00FF010F"/>
    <w:rsid w:val="00FF03BD"/>
    <w:rsid w:val="00FF1211"/>
    <w:rsid w:val="00FF1269"/>
    <w:rsid w:val="00FF132D"/>
    <w:rsid w:val="00FF147A"/>
    <w:rsid w:val="00FF1C1C"/>
    <w:rsid w:val="00FF36A7"/>
    <w:rsid w:val="00FF4097"/>
    <w:rsid w:val="00FF4AF3"/>
    <w:rsid w:val="00FF51BD"/>
    <w:rsid w:val="00FF5A3D"/>
    <w:rsid w:val="00FF5F39"/>
    <w:rsid w:val="00FF63AB"/>
    <w:rsid w:val="00FF691D"/>
    <w:rsid w:val="00FF7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50780"/>
  <w15:chartTrackingRefBased/>
  <w15:docId w15:val="{7F3B183F-07A5-4D3D-9C6E-3B0F40AD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35A"/>
  </w:style>
  <w:style w:type="paragraph" w:styleId="Heading1">
    <w:name w:val="heading 1"/>
    <w:basedOn w:val="Normal"/>
    <w:next w:val="Normal"/>
    <w:link w:val="Heading1Char"/>
    <w:uiPriority w:val="9"/>
    <w:qFormat/>
    <w:rsid w:val="00646DA1"/>
    <w:pPr>
      <w:keepNext/>
      <w:keepLines/>
      <w:numPr>
        <w:numId w:val="1"/>
      </w:numPr>
      <w:spacing w:before="240" w:after="0"/>
      <w:outlineLvl w:val="0"/>
    </w:pPr>
    <w:rPr>
      <w:rFonts w:ascii="Times New Roman" w:eastAsiaTheme="majorEastAsia" w:hAnsi="Times New Roman" w:cs="Times New Roman"/>
      <w:b/>
      <w:color w:val="000000" w:themeColor="text1"/>
      <w:sz w:val="32"/>
      <w:szCs w:val="32"/>
    </w:rPr>
  </w:style>
  <w:style w:type="paragraph" w:styleId="Heading2">
    <w:name w:val="heading 2"/>
    <w:basedOn w:val="Normal"/>
    <w:next w:val="Normal"/>
    <w:link w:val="Heading2Char"/>
    <w:uiPriority w:val="9"/>
    <w:unhideWhenUsed/>
    <w:qFormat/>
    <w:rsid w:val="00BF381B"/>
    <w:pPr>
      <w:keepNext/>
      <w:keepLines/>
      <w:numPr>
        <w:ilvl w:val="1"/>
        <w:numId w:val="1"/>
      </w:numPr>
      <w:spacing w:before="40" w:after="0" w:line="360" w:lineRule="auto"/>
      <w:outlineLvl w:val="1"/>
    </w:pPr>
    <w:rPr>
      <w:rFonts w:ascii="Palatino Linotype" w:eastAsiaTheme="majorEastAsia" w:hAnsi="Palatino Linotype" w:cs="Times New Roman"/>
      <w:b/>
      <w:color w:val="000000" w:themeColor="text1"/>
      <w:sz w:val="28"/>
      <w:szCs w:val="28"/>
    </w:rPr>
  </w:style>
  <w:style w:type="paragraph" w:styleId="Heading3">
    <w:name w:val="heading 3"/>
    <w:basedOn w:val="ListParagraph"/>
    <w:next w:val="Normal"/>
    <w:link w:val="Heading3Char"/>
    <w:uiPriority w:val="9"/>
    <w:unhideWhenUsed/>
    <w:qFormat/>
    <w:rsid w:val="00D71969"/>
    <w:pPr>
      <w:numPr>
        <w:ilvl w:val="2"/>
        <w:numId w:val="1"/>
      </w:numPr>
      <w:spacing w:line="360" w:lineRule="auto"/>
      <w:outlineLvl w:val="2"/>
    </w:pPr>
    <w:rPr>
      <w:rFonts w:ascii="Palatino Linotype" w:hAnsi="Palatino Linotype" w:cs="Times New Roman"/>
      <w:b/>
      <w:sz w:val="24"/>
      <w:szCs w:val="24"/>
      <w:lang w:bidi="en-US"/>
    </w:rPr>
  </w:style>
  <w:style w:type="paragraph" w:styleId="Heading4">
    <w:name w:val="heading 4"/>
    <w:basedOn w:val="Normal"/>
    <w:next w:val="Normal"/>
    <w:link w:val="Heading4Char"/>
    <w:uiPriority w:val="9"/>
    <w:unhideWhenUsed/>
    <w:qFormat/>
    <w:rsid w:val="00C964D0"/>
    <w:pPr>
      <w:keepNext/>
      <w:keepLines/>
      <w:numPr>
        <w:ilvl w:val="3"/>
        <w:numId w:val="1"/>
      </w:numPr>
      <w:spacing w:before="40" w:after="0" w:line="360" w:lineRule="auto"/>
      <w:outlineLvl w:val="3"/>
    </w:pPr>
    <w:rPr>
      <w:rFonts w:ascii="Palatino Linotype" w:eastAsiaTheme="majorEastAsia" w:hAnsi="Palatino Linotype" w:cs="Times New Roman"/>
      <w:b/>
      <w:iCs/>
      <w:color w:val="000000" w:themeColor="text1"/>
      <w:sz w:val="24"/>
      <w:szCs w:val="24"/>
    </w:rPr>
  </w:style>
  <w:style w:type="paragraph" w:styleId="Heading5">
    <w:name w:val="heading 5"/>
    <w:basedOn w:val="Normal"/>
    <w:next w:val="Normal"/>
    <w:link w:val="Heading5Char"/>
    <w:uiPriority w:val="9"/>
    <w:semiHidden/>
    <w:unhideWhenUsed/>
    <w:qFormat/>
    <w:rsid w:val="00045CD0"/>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45CD0"/>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45CD0"/>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45CD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45CD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DA1"/>
    <w:rPr>
      <w:rFonts w:ascii="Times New Roman" w:eastAsiaTheme="majorEastAsia" w:hAnsi="Times New Roman" w:cs="Times New Roman"/>
      <w:b/>
      <w:color w:val="000000" w:themeColor="text1"/>
      <w:sz w:val="32"/>
      <w:szCs w:val="32"/>
    </w:rPr>
  </w:style>
  <w:style w:type="character" w:customStyle="1" w:styleId="Heading2Char">
    <w:name w:val="Heading 2 Char"/>
    <w:basedOn w:val="DefaultParagraphFont"/>
    <w:link w:val="Heading2"/>
    <w:uiPriority w:val="9"/>
    <w:rsid w:val="00BF381B"/>
    <w:rPr>
      <w:rFonts w:ascii="Palatino Linotype" w:eastAsiaTheme="majorEastAsia" w:hAnsi="Palatino Linotype" w:cs="Times New Roman"/>
      <w:b/>
      <w:color w:val="000000" w:themeColor="text1"/>
      <w:sz w:val="28"/>
      <w:szCs w:val="28"/>
    </w:rPr>
  </w:style>
  <w:style w:type="paragraph" w:styleId="ListParagraph">
    <w:name w:val="List Paragraph"/>
    <w:basedOn w:val="Normal"/>
    <w:uiPriority w:val="34"/>
    <w:qFormat/>
    <w:rsid w:val="00DE712F"/>
    <w:pPr>
      <w:ind w:left="720"/>
      <w:contextualSpacing/>
    </w:pPr>
  </w:style>
  <w:style w:type="character" w:customStyle="1" w:styleId="Heading3Char">
    <w:name w:val="Heading 3 Char"/>
    <w:basedOn w:val="DefaultParagraphFont"/>
    <w:link w:val="Heading3"/>
    <w:uiPriority w:val="9"/>
    <w:rsid w:val="00D71969"/>
    <w:rPr>
      <w:rFonts w:ascii="Palatino Linotype" w:hAnsi="Palatino Linotype" w:cs="Times New Roman"/>
      <w:b/>
      <w:sz w:val="24"/>
      <w:szCs w:val="24"/>
      <w:lang w:bidi="en-US"/>
    </w:rPr>
  </w:style>
  <w:style w:type="character" w:customStyle="1" w:styleId="Heading4Char">
    <w:name w:val="Heading 4 Char"/>
    <w:basedOn w:val="DefaultParagraphFont"/>
    <w:link w:val="Heading4"/>
    <w:uiPriority w:val="9"/>
    <w:rsid w:val="00C964D0"/>
    <w:rPr>
      <w:rFonts w:ascii="Palatino Linotype" w:eastAsiaTheme="majorEastAsia" w:hAnsi="Palatino Linotype" w:cs="Times New Roman"/>
      <w:b/>
      <w:iCs/>
      <w:color w:val="000000" w:themeColor="text1"/>
      <w:sz w:val="24"/>
      <w:szCs w:val="24"/>
    </w:rPr>
  </w:style>
  <w:style w:type="character" w:customStyle="1" w:styleId="Heading5Char">
    <w:name w:val="Heading 5 Char"/>
    <w:basedOn w:val="DefaultParagraphFont"/>
    <w:link w:val="Heading5"/>
    <w:uiPriority w:val="9"/>
    <w:semiHidden/>
    <w:rsid w:val="00045CD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45CD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45CD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45CD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45CD0"/>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DE7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12F"/>
  </w:style>
  <w:style w:type="paragraph" w:styleId="Footer">
    <w:name w:val="footer"/>
    <w:basedOn w:val="Normal"/>
    <w:link w:val="FooterChar"/>
    <w:uiPriority w:val="99"/>
    <w:unhideWhenUsed/>
    <w:rsid w:val="00DE7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12F"/>
  </w:style>
  <w:style w:type="paragraph" w:styleId="Caption">
    <w:name w:val="caption"/>
    <w:basedOn w:val="Normal"/>
    <w:next w:val="Normal"/>
    <w:uiPriority w:val="35"/>
    <w:unhideWhenUsed/>
    <w:qFormat/>
    <w:rsid w:val="004060BA"/>
    <w:pPr>
      <w:spacing w:after="200" w:line="240" w:lineRule="auto"/>
    </w:pPr>
    <w:rPr>
      <w:i/>
      <w:iCs/>
      <w:color w:val="44546A" w:themeColor="text2"/>
      <w:sz w:val="18"/>
      <w:szCs w:val="18"/>
    </w:rPr>
  </w:style>
  <w:style w:type="table" w:styleId="TableGrid">
    <w:name w:val="Table Grid"/>
    <w:basedOn w:val="TableNormal"/>
    <w:uiPriority w:val="39"/>
    <w:rsid w:val="00406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518C"/>
    <w:rPr>
      <w:color w:val="0563C1" w:themeColor="hyperlink"/>
      <w:u w:val="single"/>
    </w:rPr>
  </w:style>
  <w:style w:type="paragraph" w:styleId="NoSpacing">
    <w:name w:val="No Spacing"/>
    <w:link w:val="NoSpacingChar"/>
    <w:uiPriority w:val="1"/>
    <w:qFormat/>
    <w:rsid w:val="00C4518C"/>
    <w:pPr>
      <w:spacing w:after="0" w:line="240" w:lineRule="auto"/>
    </w:pPr>
  </w:style>
  <w:style w:type="character" w:customStyle="1" w:styleId="NoSpacingChar">
    <w:name w:val="No Spacing Char"/>
    <w:basedOn w:val="DefaultParagraphFont"/>
    <w:link w:val="NoSpacing"/>
    <w:uiPriority w:val="1"/>
    <w:rsid w:val="00C4518C"/>
  </w:style>
  <w:style w:type="paragraph" w:styleId="TOCHeading">
    <w:name w:val="TOC Heading"/>
    <w:basedOn w:val="Heading1"/>
    <w:next w:val="Normal"/>
    <w:uiPriority w:val="39"/>
    <w:unhideWhenUsed/>
    <w:qFormat/>
    <w:rsid w:val="00BA1180"/>
    <w:pPr>
      <w:outlineLvl w:val="9"/>
    </w:pPr>
    <w:rPr>
      <w:rFonts w:asciiTheme="majorHAnsi" w:hAnsiTheme="majorHAnsi" w:cstheme="majorBidi"/>
      <w:b w:val="0"/>
      <w:color w:val="2E74B5" w:themeColor="accent1" w:themeShade="BF"/>
      <w:lang w:val="en-US"/>
    </w:rPr>
  </w:style>
  <w:style w:type="paragraph" w:styleId="TOC1">
    <w:name w:val="toc 1"/>
    <w:basedOn w:val="Normal"/>
    <w:next w:val="Normal"/>
    <w:autoRedefine/>
    <w:uiPriority w:val="39"/>
    <w:unhideWhenUsed/>
    <w:rsid w:val="00BA1180"/>
    <w:pPr>
      <w:spacing w:after="100"/>
    </w:pPr>
  </w:style>
  <w:style w:type="paragraph" w:styleId="TOC2">
    <w:name w:val="toc 2"/>
    <w:basedOn w:val="Normal"/>
    <w:next w:val="Normal"/>
    <w:autoRedefine/>
    <w:uiPriority w:val="39"/>
    <w:unhideWhenUsed/>
    <w:rsid w:val="00F554E9"/>
    <w:pPr>
      <w:spacing w:after="100"/>
      <w:ind w:left="220"/>
    </w:pPr>
  </w:style>
  <w:style w:type="paragraph" w:styleId="TOC3">
    <w:name w:val="toc 3"/>
    <w:basedOn w:val="Normal"/>
    <w:next w:val="Normal"/>
    <w:autoRedefine/>
    <w:uiPriority w:val="39"/>
    <w:unhideWhenUsed/>
    <w:rsid w:val="00F554E9"/>
    <w:pPr>
      <w:spacing w:after="100"/>
      <w:ind w:left="440"/>
    </w:pPr>
  </w:style>
  <w:style w:type="paragraph" w:styleId="HTMLPreformatted">
    <w:name w:val="HTML Preformatted"/>
    <w:basedOn w:val="Normal"/>
    <w:link w:val="HTMLPreformattedChar"/>
    <w:uiPriority w:val="99"/>
    <w:semiHidden/>
    <w:unhideWhenUsed/>
    <w:rsid w:val="00C24C6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24C65"/>
    <w:rPr>
      <w:rFonts w:ascii="Consolas" w:hAnsi="Consolas"/>
      <w:sz w:val="20"/>
      <w:szCs w:val="20"/>
    </w:rPr>
  </w:style>
  <w:style w:type="character" w:customStyle="1" w:styleId="mutation-string">
    <w:name w:val="mutation-string"/>
    <w:basedOn w:val="DefaultParagraphFont"/>
    <w:rsid w:val="00C36D99"/>
  </w:style>
  <w:style w:type="character" w:customStyle="1" w:styleId="from">
    <w:name w:val="from"/>
    <w:basedOn w:val="DefaultParagraphFont"/>
    <w:rsid w:val="00C36D99"/>
  </w:style>
  <w:style w:type="character" w:customStyle="1" w:styleId="coord">
    <w:name w:val="coord"/>
    <w:basedOn w:val="DefaultParagraphFont"/>
    <w:rsid w:val="00C36D99"/>
  </w:style>
  <w:style w:type="character" w:customStyle="1" w:styleId="arrow">
    <w:name w:val="arrow"/>
    <w:basedOn w:val="DefaultParagraphFont"/>
    <w:rsid w:val="00C36D99"/>
  </w:style>
  <w:style w:type="character" w:customStyle="1" w:styleId="to">
    <w:name w:val="to"/>
    <w:basedOn w:val="DefaultParagraphFont"/>
    <w:rsid w:val="00C36D99"/>
  </w:style>
  <w:style w:type="paragraph" w:styleId="TOC4">
    <w:name w:val="toc 4"/>
    <w:basedOn w:val="Normal"/>
    <w:next w:val="Normal"/>
    <w:autoRedefine/>
    <w:uiPriority w:val="39"/>
    <w:unhideWhenUsed/>
    <w:rsid w:val="00782F4C"/>
    <w:pPr>
      <w:spacing w:after="100"/>
      <w:ind w:left="660"/>
    </w:pPr>
    <w:rPr>
      <w:rFonts w:eastAsiaTheme="minorEastAsia"/>
      <w:lang w:eastAsia="en-GB"/>
    </w:rPr>
  </w:style>
  <w:style w:type="paragraph" w:styleId="TOC5">
    <w:name w:val="toc 5"/>
    <w:basedOn w:val="Normal"/>
    <w:next w:val="Normal"/>
    <w:autoRedefine/>
    <w:uiPriority w:val="39"/>
    <w:unhideWhenUsed/>
    <w:rsid w:val="00782F4C"/>
    <w:pPr>
      <w:spacing w:after="100"/>
      <w:ind w:left="880"/>
    </w:pPr>
    <w:rPr>
      <w:rFonts w:eastAsiaTheme="minorEastAsia"/>
      <w:lang w:eastAsia="en-GB"/>
    </w:rPr>
  </w:style>
  <w:style w:type="paragraph" w:styleId="TOC6">
    <w:name w:val="toc 6"/>
    <w:basedOn w:val="Normal"/>
    <w:next w:val="Normal"/>
    <w:autoRedefine/>
    <w:uiPriority w:val="39"/>
    <w:unhideWhenUsed/>
    <w:rsid w:val="00782F4C"/>
    <w:pPr>
      <w:spacing w:after="100"/>
      <w:ind w:left="1100"/>
    </w:pPr>
    <w:rPr>
      <w:rFonts w:eastAsiaTheme="minorEastAsia"/>
      <w:lang w:eastAsia="en-GB"/>
    </w:rPr>
  </w:style>
  <w:style w:type="paragraph" w:styleId="TOC7">
    <w:name w:val="toc 7"/>
    <w:basedOn w:val="Normal"/>
    <w:next w:val="Normal"/>
    <w:autoRedefine/>
    <w:uiPriority w:val="39"/>
    <w:unhideWhenUsed/>
    <w:rsid w:val="00782F4C"/>
    <w:pPr>
      <w:spacing w:after="100"/>
      <w:ind w:left="1320"/>
    </w:pPr>
    <w:rPr>
      <w:rFonts w:eastAsiaTheme="minorEastAsia"/>
      <w:lang w:eastAsia="en-GB"/>
    </w:rPr>
  </w:style>
  <w:style w:type="paragraph" w:styleId="TOC8">
    <w:name w:val="toc 8"/>
    <w:basedOn w:val="Normal"/>
    <w:next w:val="Normal"/>
    <w:autoRedefine/>
    <w:uiPriority w:val="39"/>
    <w:unhideWhenUsed/>
    <w:rsid w:val="00782F4C"/>
    <w:pPr>
      <w:spacing w:after="100"/>
      <w:ind w:left="1540"/>
    </w:pPr>
    <w:rPr>
      <w:rFonts w:eastAsiaTheme="minorEastAsia"/>
      <w:lang w:eastAsia="en-GB"/>
    </w:rPr>
  </w:style>
  <w:style w:type="paragraph" w:styleId="TOC9">
    <w:name w:val="toc 9"/>
    <w:basedOn w:val="Normal"/>
    <w:next w:val="Normal"/>
    <w:autoRedefine/>
    <w:uiPriority w:val="39"/>
    <w:unhideWhenUsed/>
    <w:rsid w:val="00782F4C"/>
    <w:pPr>
      <w:spacing w:after="100"/>
      <w:ind w:left="1760"/>
    </w:pPr>
    <w:rPr>
      <w:rFonts w:eastAsiaTheme="minorEastAsia"/>
      <w:lang w:eastAsia="en-GB"/>
    </w:rPr>
  </w:style>
  <w:style w:type="paragraph" w:customStyle="1" w:styleId="Pa0">
    <w:name w:val="Pa0"/>
    <w:basedOn w:val="Normal"/>
    <w:next w:val="Normal"/>
    <w:uiPriority w:val="99"/>
    <w:rsid w:val="00720703"/>
    <w:pPr>
      <w:autoSpaceDE w:val="0"/>
      <w:autoSpaceDN w:val="0"/>
      <w:adjustRightInd w:val="0"/>
      <w:spacing w:after="0" w:line="241" w:lineRule="atLeast"/>
    </w:pPr>
    <w:rPr>
      <w:rFonts w:ascii="Open Sans Light" w:hAnsi="Open Sans Light"/>
      <w:sz w:val="24"/>
      <w:szCs w:val="24"/>
    </w:rPr>
  </w:style>
  <w:style w:type="character" w:customStyle="1" w:styleId="A8">
    <w:name w:val="A8"/>
    <w:uiPriority w:val="99"/>
    <w:rsid w:val="00720703"/>
    <w:rPr>
      <w:rFonts w:cs="Open Sans Light"/>
      <w:color w:val="000000"/>
      <w:sz w:val="14"/>
      <w:szCs w:val="14"/>
    </w:rPr>
  </w:style>
  <w:style w:type="character" w:customStyle="1" w:styleId="A9">
    <w:name w:val="A9"/>
    <w:uiPriority w:val="99"/>
    <w:rsid w:val="00720703"/>
    <w:rPr>
      <w:rFonts w:cs="Open Sans Light"/>
      <w:color w:val="000000"/>
      <w:sz w:val="8"/>
      <w:szCs w:val="8"/>
    </w:rPr>
  </w:style>
  <w:style w:type="paragraph" w:customStyle="1" w:styleId="MDPI31text">
    <w:name w:val="MDPI_3.1_text"/>
    <w:qFormat/>
    <w:rsid w:val="00800C73"/>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Revision">
    <w:name w:val="Revision"/>
    <w:hidden/>
    <w:uiPriority w:val="99"/>
    <w:semiHidden/>
    <w:rsid w:val="00E65EB0"/>
    <w:pPr>
      <w:spacing w:after="0" w:line="240" w:lineRule="auto"/>
    </w:pPr>
  </w:style>
  <w:style w:type="paragraph" w:styleId="BalloonText">
    <w:name w:val="Balloon Text"/>
    <w:basedOn w:val="Normal"/>
    <w:link w:val="BalloonTextChar"/>
    <w:uiPriority w:val="99"/>
    <w:semiHidden/>
    <w:unhideWhenUsed/>
    <w:rsid w:val="00861D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DB4"/>
    <w:rPr>
      <w:rFonts w:ascii="Segoe UI" w:hAnsi="Segoe UI" w:cs="Segoe UI"/>
      <w:sz w:val="18"/>
      <w:szCs w:val="18"/>
    </w:rPr>
  </w:style>
  <w:style w:type="character" w:styleId="FollowedHyperlink">
    <w:name w:val="FollowedHyperlink"/>
    <w:basedOn w:val="DefaultParagraphFont"/>
    <w:uiPriority w:val="99"/>
    <w:semiHidden/>
    <w:unhideWhenUsed/>
    <w:rsid w:val="003330E3"/>
    <w:rPr>
      <w:color w:val="954F72" w:themeColor="followedHyperlink"/>
      <w:u w:val="single"/>
    </w:rPr>
  </w:style>
  <w:style w:type="character" w:styleId="SubtleEmphasis">
    <w:name w:val="Subtle Emphasis"/>
    <w:basedOn w:val="DefaultParagraphFont"/>
    <w:uiPriority w:val="19"/>
    <w:qFormat/>
    <w:rsid w:val="00016D57"/>
    <w:rPr>
      <w:i/>
      <w:iCs/>
      <w:color w:val="404040" w:themeColor="text1" w:themeTint="BF"/>
    </w:rPr>
  </w:style>
  <w:style w:type="paragraph" w:styleId="FootnoteText">
    <w:name w:val="footnote text"/>
    <w:basedOn w:val="Normal"/>
    <w:link w:val="FootnoteTextChar"/>
    <w:uiPriority w:val="99"/>
    <w:semiHidden/>
    <w:unhideWhenUsed/>
    <w:rsid w:val="009A0C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0C29"/>
    <w:rPr>
      <w:sz w:val="20"/>
      <w:szCs w:val="20"/>
    </w:rPr>
  </w:style>
  <w:style w:type="character" w:styleId="FootnoteReference">
    <w:name w:val="footnote reference"/>
    <w:basedOn w:val="DefaultParagraphFont"/>
    <w:uiPriority w:val="99"/>
    <w:semiHidden/>
    <w:unhideWhenUsed/>
    <w:rsid w:val="009A0C29"/>
    <w:rPr>
      <w:vertAlign w:val="superscript"/>
    </w:rPr>
  </w:style>
  <w:style w:type="character" w:styleId="PlaceholderText">
    <w:name w:val="Placeholder Text"/>
    <w:basedOn w:val="DefaultParagraphFont"/>
    <w:uiPriority w:val="99"/>
    <w:semiHidden/>
    <w:rsid w:val="00ED3B5D"/>
    <w:rPr>
      <w:color w:val="808080"/>
    </w:rPr>
  </w:style>
  <w:style w:type="character" w:styleId="CommentReference">
    <w:name w:val="annotation reference"/>
    <w:basedOn w:val="DefaultParagraphFont"/>
    <w:uiPriority w:val="99"/>
    <w:semiHidden/>
    <w:unhideWhenUsed/>
    <w:rsid w:val="0048558B"/>
    <w:rPr>
      <w:sz w:val="16"/>
      <w:szCs w:val="16"/>
    </w:rPr>
  </w:style>
  <w:style w:type="paragraph" w:styleId="CommentText">
    <w:name w:val="annotation text"/>
    <w:basedOn w:val="Normal"/>
    <w:link w:val="CommentTextChar"/>
    <w:uiPriority w:val="99"/>
    <w:semiHidden/>
    <w:unhideWhenUsed/>
    <w:rsid w:val="0048558B"/>
    <w:pPr>
      <w:spacing w:line="240" w:lineRule="auto"/>
    </w:pPr>
    <w:rPr>
      <w:sz w:val="20"/>
      <w:szCs w:val="20"/>
    </w:rPr>
  </w:style>
  <w:style w:type="character" w:customStyle="1" w:styleId="CommentTextChar">
    <w:name w:val="Comment Text Char"/>
    <w:basedOn w:val="DefaultParagraphFont"/>
    <w:link w:val="CommentText"/>
    <w:uiPriority w:val="99"/>
    <w:semiHidden/>
    <w:rsid w:val="0048558B"/>
    <w:rPr>
      <w:sz w:val="20"/>
      <w:szCs w:val="20"/>
    </w:rPr>
  </w:style>
  <w:style w:type="paragraph" w:styleId="CommentSubject">
    <w:name w:val="annotation subject"/>
    <w:basedOn w:val="CommentText"/>
    <w:next w:val="CommentText"/>
    <w:link w:val="CommentSubjectChar"/>
    <w:uiPriority w:val="99"/>
    <w:semiHidden/>
    <w:unhideWhenUsed/>
    <w:rsid w:val="0048558B"/>
    <w:rPr>
      <w:b/>
      <w:bCs/>
    </w:rPr>
  </w:style>
  <w:style w:type="character" w:customStyle="1" w:styleId="CommentSubjectChar">
    <w:name w:val="Comment Subject Char"/>
    <w:basedOn w:val="CommentTextChar"/>
    <w:link w:val="CommentSubject"/>
    <w:uiPriority w:val="99"/>
    <w:semiHidden/>
    <w:rsid w:val="0048558B"/>
    <w:rPr>
      <w:b/>
      <w:bCs/>
      <w:sz w:val="20"/>
      <w:szCs w:val="20"/>
    </w:rPr>
  </w:style>
  <w:style w:type="paragraph" w:styleId="TableofFigures">
    <w:name w:val="table of figures"/>
    <w:basedOn w:val="Normal"/>
    <w:next w:val="Normal"/>
    <w:uiPriority w:val="99"/>
    <w:unhideWhenUsed/>
    <w:rsid w:val="003928B6"/>
    <w:pPr>
      <w:spacing w:after="0"/>
    </w:pPr>
  </w:style>
  <w:style w:type="character" w:styleId="Emphasis">
    <w:name w:val="Emphasis"/>
    <w:basedOn w:val="DefaultParagraphFont"/>
    <w:uiPriority w:val="20"/>
    <w:qFormat/>
    <w:rsid w:val="009F7369"/>
    <w:rPr>
      <w:i/>
      <w:iCs/>
    </w:rPr>
  </w:style>
  <w:style w:type="character" w:styleId="UnresolvedMention">
    <w:name w:val="Unresolved Mention"/>
    <w:basedOn w:val="DefaultParagraphFont"/>
    <w:uiPriority w:val="99"/>
    <w:semiHidden/>
    <w:unhideWhenUsed/>
    <w:rsid w:val="007D2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8807">
      <w:bodyDiv w:val="1"/>
      <w:marLeft w:val="0"/>
      <w:marRight w:val="0"/>
      <w:marTop w:val="0"/>
      <w:marBottom w:val="0"/>
      <w:divBdr>
        <w:top w:val="none" w:sz="0" w:space="0" w:color="auto"/>
        <w:left w:val="none" w:sz="0" w:space="0" w:color="auto"/>
        <w:bottom w:val="none" w:sz="0" w:space="0" w:color="auto"/>
        <w:right w:val="none" w:sz="0" w:space="0" w:color="auto"/>
      </w:divBdr>
    </w:div>
    <w:div w:id="226039551">
      <w:bodyDiv w:val="1"/>
      <w:marLeft w:val="0"/>
      <w:marRight w:val="0"/>
      <w:marTop w:val="0"/>
      <w:marBottom w:val="0"/>
      <w:divBdr>
        <w:top w:val="none" w:sz="0" w:space="0" w:color="auto"/>
        <w:left w:val="none" w:sz="0" w:space="0" w:color="auto"/>
        <w:bottom w:val="none" w:sz="0" w:space="0" w:color="auto"/>
        <w:right w:val="none" w:sz="0" w:space="0" w:color="auto"/>
      </w:divBdr>
    </w:div>
    <w:div w:id="257254653">
      <w:bodyDiv w:val="1"/>
      <w:marLeft w:val="0"/>
      <w:marRight w:val="0"/>
      <w:marTop w:val="0"/>
      <w:marBottom w:val="0"/>
      <w:divBdr>
        <w:top w:val="none" w:sz="0" w:space="0" w:color="auto"/>
        <w:left w:val="none" w:sz="0" w:space="0" w:color="auto"/>
        <w:bottom w:val="none" w:sz="0" w:space="0" w:color="auto"/>
        <w:right w:val="none" w:sz="0" w:space="0" w:color="auto"/>
      </w:divBdr>
    </w:div>
    <w:div w:id="313341398">
      <w:bodyDiv w:val="1"/>
      <w:marLeft w:val="0"/>
      <w:marRight w:val="0"/>
      <w:marTop w:val="0"/>
      <w:marBottom w:val="0"/>
      <w:divBdr>
        <w:top w:val="none" w:sz="0" w:space="0" w:color="auto"/>
        <w:left w:val="none" w:sz="0" w:space="0" w:color="auto"/>
        <w:bottom w:val="none" w:sz="0" w:space="0" w:color="auto"/>
        <w:right w:val="none" w:sz="0" w:space="0" w:color="auto"/>
      </w:divBdr>
    </w:div>
    <w:div w:id="368995604">
      <w:bodyDiv w:val="1"/>
      <w:marLeft w:val="0"/>
      <w:marRight w:val="0"/>
      <w:marTop w:val="0"/>
      <w:marBottom w:val="0"/>
      <w:divBdr>
        <w:top w:val="none" w:sz="0" w:space="0" w:color="auto"/>
        <w:left w:val="none" w:sz="0" w:space="0" w:color="auto"/>
        <w:bottom w:val="none" w:sz="0" w:space="0" w:color="auto"/>
        <w:right w:val="none" w:sz="0" w:space="0" w:color="auto"/>
      </w:divBdr>
    </w:div>
    <w:div w:id="419715469">
      <w:bodyDiv w:val="1"/>
      <w:marLeft w:val="0"/>
      <w:marRight w:val="0"/>
      <w:marTop w:val="0"/>
      <w:marBottom w:val="0"/>
      <w:divBdr>
        <w:top w:val="none" w:sz="0" w:space="0" w:color="auto"/>
        <w:left w:val="none" w:sz="0" w:space="0" w:color="auto"/>
        <w:bottom w:val="none" w:sz="0" w:space="0" w:color="auto"/>
        <w:right w:val="none" w:sz="0" w:space="0" w:color="auto"/>
      </w:divBdr>
    </w:div>
    <w:div w:id="538013720">
      <w:bodyDiv w:val="1"/>
      <w:marLeft w:val="0"/>
      <w:marRight w:val="0"/>
      <w:marTop w:val="0"/>
      <w:marBottom w:val="0"/>
      <w:divBdr>
        <w:top w:val="none" w:sz="0" w:space="0" w:color="auto"/>
        <w:left w:val="none" w:sz="0" w:space="0" w:color="auto"/>
        <w:bottom w:val="none" w:sz="0" w:space="0" w:color="auto"/>
        <w:right w:val="none" w:sz="0" w:space="0" w:color="auto"/>
      </w:divBdr>
    </w:div>
    <w:div w:id="548885192">
      <w:bodyDiv w:val="1"/>
      <w:marLeft w:val="0"/>
      <w:marRight w:val="0"/>
      <w:marTop w:val="0"/>
      <w:marBottom w:val="0"/>
      <w:divBdr>
        <w:top w:val="none" w:sz="0" w:space="0" w:color="auto"/>
        <w:left w:val="none" w:sz="0" w:space="0" w:color="auto"/>
        <w:bottom w:val="none" w:sz="0" w:space="0" w:color="auto"/>
        <w:right w:val="none" w:sz="0" w:space="0" w:color="auto"/>
      </w:divBdr>
    </w:div>
    <w:div w:id="597249732">
      <w:bodyDiv w:val="1"/>
      <w:marLeft w:val="0"/>
      <w:marRight w:val="0"/>
      <w:marTop w:val="0"/>
      <w:marBottom w:val="0"/>
      <w:divBdr>
        <w:top w:val="none" w:sz="0" w:space="0" w:color="auto"/>
        <w:left w:val="none" w:sz="0" w:space="0" w:color="auto"/>
        <w:bottom w:val="none" w:sz="0" w:space="0" w:color="auto"/>
        <w:right w:val="none" w:sz="0" w:space="0" w:color="auto"/>
      </w:divBdr>
    </w:div>
    <w:div w:id="736168238">
      <w:bodyDiv w:val="1"/>
      <w:marLeft w:val="0"/>
      <w:marRight w:val="0"/>
      <w:marTop w:val="0"/>
      <w:marBottom w:val="0"/>
      <w:divBdr>
        <w:top w:val="none" w:sz="0" w:space="0" w:color="auto"/>
        <w:left w:val="none" w:sz="0" w:space="0" w:color="auto"/>
        <w:bottom w:val="none" w:sz="0" w:space="0" w:color="auto"/>
        <w:right w:val="none" w:sz="0" w:space="0" w:color="auto"/>
      </w:divBdr>
    </w:div>
    <w:div w:id="751314928">
      <w:bodyDiv w:val="1"/>
      <w:marLeft w:val="0"/>
      <w:marRight w:val="0"/>
      <w:marTop w:val="0"/>
      <w:marBottom w:val="0"/>
      <w:divBdr>
        <w:top w:val="none" w:sz="0" w:space="0" w:color="auto"/>
        <w:left w:val="none" w:sz="0" w:space="0" w:color="auto"/>
        <w:bottom w:val="none" w:sz="0" w:space="0" w:color="auto"/>
        <w:right w:val="none" w:sz="0" w:space="0" w:color="auto"/>
      </w:divBdr>
    </w:div>
    <w:div w:id="827015298">
      <w:bodyDiv w:val="1"/>
      <w:marLeft w:val="0"/>
      <w:marRight w:val="0"/>
      <w:marTop w:val="0"/>
      <w:marBottom w:val="0"/>
      <w:divBdr>
        <w:top w:val="none" w:sz="0" w:space="0" w:color="auto"/>
        <w:left w:val="none" w:sz="0" w:space="0" w:color="auto"/>
        <w:bottom w:val="none" w:sz="0" w:space="0" w:color="auto"/>
        <w:right w:val="none" w:sz="0" w:space="0" w:color="auto"/>
      </w:divBdr>
    </w:div>
    <w:div w:id="946501217">
      <w:bodyDiv w:val="1"/>
      <w:marLeft w:val="0"/>
      <w:marRight w:val="0"/>
      <w:marTop w:val="0"/>
      <w:marBottom w:val="0"/>
      <w:divBdr>
        <w:top w:val="none" w:sz="0" w:space="0" w:color="auto"/>
        <w:left w:val="none" w:sz="0" w:space="0" w:color="auto"/>
        <w:bottom w:val="none" w:sz="0" w:space="0" w:color="auto"/>
        <w:right w:val="none" w:sz="0" w:space="0" w:color="auto"/>
      </w:divBdr>
    </w:div>
    <w:div w:id="950405167">
      <w:bodyDiv w:val="1"/>
      <w:marLeft w:val="0"/>
      <w:marRight w:val="0"/>
      <w:marTop w:val="0"/>
      <w:marBottom w:val="0"/>
      <w:divBdr>
        <w:top w:val="none" w:sz="0" w:space="0" w:color="auto"/>
        <w:left w:val="none" w:sz="0" w:space="0" w:color="auto"/>
        <w:bottom w:val="none" w:sz="0" w:space="0" w:color="auto"/>
        <w:right w:val="none" w:sz="0" w:space="0" w:color="auto"/>
      </w:divBdr>
    </w:div>
    <w:div w:id="1003700963">
      <w:bodyDiv w:val="1"/>
      <w:marLeft w:val="0"/>
      <w:marRight w:val="0"/>
      <w:marTop w:val="0"/>
      <w:marBottom w:val="0"/>
      <w:divBdr>
        <w:top w:val="none" w:sz="0" w:space="0" w:color="auto"/>
        <w:left w:val="none" w:sz="0" w:space="0" w:color="auto"/>
        <w:bottom w:val="none" w:sz="0" w:space="0" w:color="auto"/>
        <w:right w:val="none" w:sz="0" w:space="0" w:color="auto"/>
      </w:divBdr>
    </w:div>
    <w:div w:id="1021008702">
      <w:bodyDiv w:val="1"/>
      <w:marLeft w:val="0"/>
      <w:marRight w:val="0"/>
      <w:marTop w:val="0"/>
      <w:marBottom w:val="0"/>
      <w:divBdr>
        <w:top w:val="none" w:sz="0" w:space="0" w:color="auto"/>
        <w:left w:val="none" w:sz="0" w:space="0" w:color="auto"/>
        <w:bottom w:val="none" w:sz="0" w:space="0" w:color="auto"/>
        <w:right w:val="none" w:sz="0" w:space="0" w:color="auto"/>
      </w:divBdr>
    </w:div>
    <w:div w:id="1055544589">
      <w:bodyDiv w:val="1"/>
      <w:marLeft w:val="0"/>
      <w:marRight w:val="0"/>
      <w:marTop w:val="0"/>
      <w:marBottom w:val="0"/>
      <w:divBdr>
        <w:top w:val="none" w:sz="0" w:space="0" w:color="auto"/>
        <w:left w:val="none" w:sz="0" w:space="0" w:color="auto"/>
        <w:bottom w:val="none" w:sz="0" w:space="0" w:color="auto"/>
        <w:right w:val="none" w:sz="0" w:space="0" w:color="auto"/>
      </w:divBdr>
    </w:div>
    <w:div w:id="1097478870">
      <w:bodyDiv w:val="1"/>
      <w:marLeft w:val="0"/>
      <w:marRight w:val="0"/>
      <w:marTop w:val="0"/>
      <w:marBottom w:val="0"/>
      <w:divBdr>
        <w:top w:val="none" w:sz="0" w:space="0" w:color="auto"/>
        <w:left w:val="none" w:sz="0" w:space="0" w:color="auto"/>
        <w:bottom w:val="none" w:sz="0" w:space="0" w:color="auto"/>
        <w:right w:val="none" w:sz="0" w:space="0" w:color="auto"/>
      </w:divBdr>
    </w:div>
    <w:div w:id="1152715682">
      <w:bodyDiv w:val="1"/>
      <w:marLeft w:val="0"/>
      <w:marRight w:val="0"/>
      <w:marTop w:val="0"/>
      <w:marBottom w:val="0"/>
      <w:divBdr>
        <w:top w:val="none" w:sz="0" w:space="0" w:color="auto"/>
        <w:left w:val="none" w:sz="0" w:space="0" w:color="auto"/>
        <w:bottom w:val="none" w:sz="0" w:space="0" w:color="auto"/>
        <w:right w:val="none" w:sz="0" w:space="0" w:color="auto"/>
      </w:divBdr>
    </w:div>
    <w:div w:id="1168405937">
      <w:bodyDiv w:val="1"/>
      <w:marLeft w:val="0"/>
      <w:marRight w:val="0"/>
      <w:marTop w:val="0"/>
      <w:marBottom w:val="0"/>
      <w:divBdr>
        <w:top w:val="none" w:sz="0" w:space="0" w:color="auto"/>
        <w:left w:val="none" w:sz="0" w:space="0" w:color="auto"/>
        <w:bottom w:val="none" w:sz="0" w:space="0" w:color="auto"/>
        <w:right w:val="none" w:sz="0" w:space="0" w:color="auto"/>
      </w:divBdr>
    </w:div>
    <w:div w:id="1233347621">
      <w:bodyDiv w:val="1"/>
      <w:marLeft w:val="0"/>
      <w:marRight w:val="0"/>
      <w:marTop w:val="0"/>
      <w:marBottom w:val="0"/>
      <w:divBdr>
        <w:top w:val="none" w:sz="0" w:space="0" w:color="auto"/>
        <w:left w:val="none" w:sz="0" w:space="0" w:color="auto"/>
        <w:bottom w:val="none" w:sz="0" w:space="0" w:color="auto"/>
        <w:right w:val="none" w:sz="0" w:space="0" w:color="auto"/>
      </w:divBdr>
    </w:div>
    <w:div w:id="1251502966">
      <w:bodyDiv w:val="1"/>
      <w:marLeft w:val="0"/>
      <w:marRight w:val="0"/>
      <w:marTop w:val="0"/>
      <w:marBottom w:val="0"/>
      <w:divBdr>
        <w:top w:val="none" w:sz="0" w:space="0" w:color="auto"/>
        <w:left w:val="none" w:sz="0" w:space="0" w:color="auto"/>
        <w:bottom w:val="none" w:sz="0" w:space="0" w:color="auto"/>
        <w:right w:val="none" w:sz="0" w:space="0" w:color="auto"/>
      </w:divBdr>
    </w:div>
    <w:div w:id="1301307136">
      <w:bodyDiv w:val="1"/>
      <w:marLeft w:val="0"/>
      <w:marRight w:val="0"/>
      <w:marTop w:val="0"/>
      <w:marBottom w:val="0"/>
      <w:divBdr>
        <w:top w:val="none" w:sz="0" w:space="0" w:color="auto"/>
        <w:left w:val="none" w:sz="0" w:space="0" w:color="auto"/>
        <w:bottom w:val="none" w:sz="0" w:space="0" w:color="auto"/>
        <w:right w:val="none" w:sz="0" w:space="0" w:color="auto"/>
      </w:divBdr>
    </w:div>
    <w:div w:id="1335570717">
      <w:bodyDiv w:val="1"/>
      <w:marLeft w:val="0"/>
      <w:marRight w:val="0"/>
      <w:marTop w:val="0"/>
      <w:marBottom w:val="0"/>
      <w:divBdr>
        <w:top w:val="none" w:sz="0" w:space="0" w:color="auto"/>
        <w:left w:val="none" w:sz="0" w:space="0" w:color="auto"/>
        <w:bottom w:val="none" w:sz="0" w:space="0" w:color="auto"/>
        <w:right w:val="none" w:sz="0" w:space="0" w:color="auto"/>
      </w:divBdr>
    </w:div>
    <w:div w:id="1350834448">
      <w:bodyDiv w:val="1"/>
      <w:marLeft w:val="0"/>
      <w:marRight w:val="0"/>
      <w:marTop w:val="0"/>
      <w:marBottom w:val="0"/>
      <w:divBdr>
        <w:top w:val="none" w:sz="0" w:space="0" w:color="auto"/>
        <w:left w:val="none" w:sz="0" w:space="0" w:color="auto"/>
        <w:bottom w:val="none" w:sz="0" w:space="0" w:color="auto"/>
        <w:right w:val="none" w:sz="0" w:space="0" w:color="auto"/>
      </w:divBdr>
    </w:div>
    <w:div w:id="1373460718">
      <w:bodyDiv w:val="1"/>
      <w:marLeft w:val="0"/>
      <w:marRight w:val="0"/>
      <w:marTop w:val="0"/>
      <w:marBottom w:val="0"/>
      <w:divBdr>
        <w:top w:val="none" w:sz="0" w:space="0" w:color="auto"/>
        <w:left w:val="none" w:sz="0" w:space="0" w:color="auto"/>
        <w:bottom w:val="none" w:sz="0" w:space="0" w:color="auto"/>
        <w:right w:val="none" w:sz="0" w:space="0" w:color="auto"/>
      </w:divBdr>
    </w:div>
    <w:div w:id="1394044135">
      <w:bodyDiv w:val="1"/>
      <w:marLeft w:val="0"/>
      <w:marRight w:val="0"/>
      <w:marTop w:val="0"/>
      <w:marBottom w:val="0"/>
      <w:divBdr>
        <w:top w:val="none" w:sz="0" w:space="0" w:color="auto"/>
        <w:left w:val="none" w:sz="0" w:space="0" w:color="auto"/>
        <w:bottom w:val="none" w:sz="0" w:space="0" w:color="auto"/>
        <w:right w:val="none" w:sz="0" w:space="0" w:color="auto"/>
      </w:divBdr>
    </w:div>
    <w:div w:id="1483889288">
      <w:bodyDiv w:val="1"/>
      <w:marLeft w:val="0"/>
      <w:marRight w:val="0"/>
      <w:marTop w:val="0"/>
      <w:marBottom w:val="0"/>
      <w:divBdr>
        <w:top w:val="none" w:sz="0" w:space="0" w:color="auto"/>
        <w:left w:val="none" w:sz="0" w:space="0" w:color="auto"/>
        <w:bottom w:val="none" w:sz="0" w:space="0" w:color="auto"/>
        <w:right w:val="none" w:sz="0" w:space="0" w:color="auto"/>
      </w:divBdr>
    </w:div>
    <w:div w:id="1488589193">
      <w:bodyDiv w:val="1"/>
      <w:marLeft w:val="0"/>
      <w:marRight w:val="0"/>
      <w:marTop w:val="0"/>
      <w:marBottom w:val="0"/>
      <w:divBdr>
        <w:top w:val="none" w:sz="0" w:space="0" w:color="auto"/>
        <w:left w:val="none" w:sz="0" w:space="0" w:color="auto"/>
        <w:bottom w:val="none" w:sz="0" w:space="0" w:color="auto"/>
        <w:right w:val="none" w:sz="0" w:space="0" w:color="auto"/>
      </w:divBdr>
    </w:div>
    <w:div w:id="1509979055">
      <w:bodyDiv w:val="1"/>
      <w:marLeft w:val="0"/>
      <w:marRight w:val="0"/>
      <w:marTop w:val="0"/>
      <w:marBottom w:val="0"/>
      <w:divBdr>
        <w:top w:val="none" w:sz="0" w:space="0" w:color="auto"/>
        <w:left w:val="none" w:sz="0" w:space="0" w:color="auto"/>
        <w:bottom w:val="none" w:sz="0" w:space="0" w:color="auto"/>
        <w:right w:val="none" w:sz="0" w:space="0" w:color="auto"/>
      </w:divBdr>
    </w:div>
    <w:div w:id="1535655731">
      <w:bodyDiv w:val="1"/>
      <w:marLeft w:val="0"/>
      <w:marRight w:val="0"/>
      <w:marTop w:val="0"/>
      <w:marBottom w:val="0"/>
      <w:divBdr>
        <w:top w:val="none" w:sz="0" w:space="0" w:color="auto"/>
        <w:left w:val="none" w:sz="0" w:space="0" w:color="auto"/>
        <w:bottom w:val="none" w:sz="0" w:space="0" w:color="auto"/>
        <w:right w:val="none" w:sz="0" w:space="0" w:color="auto"/>
      </w:divBdr>
    </w:div>
    <w:div w:id="1591311809">
      <w:bodyDiv w:val="1"/>
      <w:marLeft w:val="0"/>
      <w:marRight w:val="0"/>
      <w:marTop w:val="0"/>
      <w:marBottom w:val="0"/>
      <w:divBdr>
        <w:top w:val="none" w:sz="0" w:space="0" w:color="auto"/>
        <w:left w:val="none" w:sz="0" w:space="0" w:color="auto"/>
        <w:bottom w:val="none" w:sz="0" w:space="0" w:color="auto"/>
        <w:right w:val="none" w:sz="0" w:space="0" w:color="auto"/>
      </w:divBdr>
    </w:div>
    <w:div w:id="1658339381">
      <w:bodyDiv w:val="1"/>
      <w:marLeft w:val="0"/>
      <w:marRight w:val="0"/>
      <w:marTop w:val="0"/>
      <w:marBottom w:val="0"/>
      <w:divBdr>
        <w:top w:val="none" w:sz="0" w:space="0" w:color="auto"/>
        <w:left w:val="none" w:sz="0" w:space="0" w:color="auto"/>
        <w:bottom w:val="none" w:sz="0" w:space="0" w:color="auto"/>
        <w:right w:val="none" w:sz="0" w:space="0" w:color="auto"/>
      </w:divBdr>
    </w:div>
    <w:div w:id="1681002108">
      <w:bodyDiv w:val="1"/>
      <w:marLeft w:val="0"/>
      <w:marRight w:val="0"/>
      <w:marTop w:val="0"/>
      <w:marBottom w:val="0"/>
      <w:divBdr>
        <w:top w:val="none" w:sz="0" w:space="0" w:color="auto"/>
        <w:left w:val="none" w:sz="0" w:space="0" w:color="auto"/>
        <w:bottom w:val="none" w:sz="0" w:space="0" w:color="auto"/>
        <w:right w:val="none" w:sz="0" w:space="0" w:color="auto"/>
      </w:divBdr>
    </w:div>
    <w:div w:id="1740246641">
      <w:bodyDiv w:val="1"/>
      <w:marLeft w:val="0"/>
      <w:marRight w:val="0"/>
      <w:marTop w:val="0"/>
      <w:marBottom w:val="0"/>
      <w:divBdr>
        <w:top w:val="none" w:sz="0" w:space="0" w:color="auto"/>
        <w:left w:val="none" w:sz="0" w:space="0" w:color="auto"/>
        <w:bottom w:val="none" w:sz="0" w:space="0" w:color="auto"/>
        <w:right w:val="none" w:sz="0" w:space="0" w:color="auto"/>
      </w:divBdr>
    </w:div>
    <w:div w:id="1804927610">
      <w:bodyDiv w:val="1"/>
      <w:marLeft w:val="0"/>
      <w:marRight w:val="0"/>
      <w:marTop w:val="0"/>
      <w:marBottom w:val="0"/>
      <w:divBdr>
        <w:top w:val="none" w:sz="0" w:space="0" w:color="auto"/>
        <w:left w:val="none" w:sz="0" w:space="0" w:color="auto"/>
        <w:bottom w:val="none" w:sz="0" w:space="0" w:color="auto"/>
        <w:right w:val="none" w:sz="0" w:space="0" w:color="auto"/>
      </w:divBdr>
    </w:div>
    <w:div w:id="1884975570">
      <w:bodyDiv w:val="1"/>
      <w:marLeft w:val="0"/>
      <w:marRight w:val="0"/>
      <w:marTop w:val="0"/>
      <w:marBottom w:val="0"/>
      <w:divBdr>
        <w:top w:val="none" w:sz="0" w:space="0" w:color="auto"/>
        <w:left w:val="none" w:sz="0" w:space="0" w:color="auto"/>
        <w:bottom w:val="none" w:sz="0" w:space="0" w:color="auto"/>
        <w:right w:val="none" w:sz="0" w:space="0" w:color="auto"/>
      </w:divBdr>
    </w:div>
    <w:div w:id="1947499448">
      <w:bodyDiv w:val="1"/>
      <w:marLeft w:val="0"/>
      <w:marRight w:val="0"/>
      <w:marTop w:val="0"/>
      <w:marBottom w:val="0"/>
      <w:divBdr>
        <w:top w:val="none" w:sz="0" w:space="0" w:color="auto"/>
        <w:left w:val="none" w:sz="0" w:space="0" w:color="auto"/>
        <w:bottom w:val="none" w:sz="0" w:space="0" w:color="auto"/>
        <w:right w:val="none" w:sz="0" w:space="0" w:color="auto"/>
      </w:divBdr>
    </w:div>
    <w:div w:id="1949199509">
      <w:bodyDiv w:val="1"/>
      <w:marLeft w:val="0"/>
      <w:marRight w:val="0"/>
      <w:marTop w:val="0"/>
      <w:marBottom w:val="0"/>
      <w:divBdr>
        <w:top w:val="none" w:sz="0" w:space="0" w:color="auto"/>
        <w:left w:val="none" w:sz="0" w:space="0" w:color="auto"/>
        <w:bottom w:val="none" w:sz="0" w:space="0" w:color="auto"/>
        <w:right w:val="none" w:sz="0" w:space="0" w:color="auto"/>
      </w:divBdr>
    </w:div>
    <w:div w:id="2032023903">
      <w:bodyDiv w:val="1"/>
      <w:marLeft w:val="0"/>
      <w:marRight w:val="0"/>
      <w:marTop w:val="0"/>
      <w:marBottom w:val="0"/>
      <w:divBdr>
        <w:top w:val="none" w:sz="0" w:space="0" w:color="auto"/>
        <w:left w:val="none" w:sz="0" w:space="0" w:color="auto"/>
        <w:bottom w:val="none" w:sz="0" w:space="0" w:color="auto"/>
        <w:right w:val="none" w:sz="0" w:space="0" w:color="auto"/>
      </w:divBdr>
    </w:div>
    <w:div w:id="2042433921">
      <w:bodyDiv w:val="1"/>
      <w:marLeft w:val="0"/>
      <w:marRight w:val="0"/>
      <w:marTop w:val="0"/>
      <w:marBottom w:val="0"/>
      <w:divBdr>
        <w:top w:val="none" w:sz="0" w:space="0" w:color="auto"/>
        <w:left w:val="none" w:sz="0" w:space="0" w:color="auto"/>
        <w:bottom w:val="none" w:sz="0" w:space="0" w:color="auto"/>
        <w:right w:val="none" w:sz="0" w:space="0" w:color="auto"/>
      </w:divBdr>
    </w:div>
    <w:div w:id="2065593197">
      <w:bodyDiv w:val="1"/>
      <w:marLeft w:val="0"/>
      <w:marRight w:val="0"/>
      <w:marTop w:val="0"/>
      <w:marBottom w:val="0"/>
      <w:divBdr>
        <w:top w:val="none" w:sz="0" w:space="0" w:color="auto"/>
        <w:left w:val="none" w:sz="0" w:space="0" w:color="auto"/>
        <w:bottom w:val="none" w:sz="0" w:space="0" w:color="auto"/>
        <w:right w:val="none" w:sz="0" w:space="0" w:color="auto"/>
      </w:divBdr>
    </w:div>
    <w:div w:id="2141995772">
      <w:bodyDiv w:val="1"/>
      <w:marLeft w:val="0"/>
      <w:marRight w:val="0"/>
      <w:marTop w:val="0"/>
      <w:marBottom w:val="0"/>
      <w:divBdr>
        <w:top w:val="none" w:sz="0" w:space="0" w:color="auto"/>
        <w:left w:val="none" w:sz="0" w:space="0" w:color="auto"/>
        <w:bottom w:val="none" w:sz="0" w:space="0" w:color="auto"/>
        <w:right w:val="none" w:sz="0" w:space="0" w:color="auto"/>
      </w:divBdr>
    </w:div>
    <w:div w:id="214469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29.png"/><Relationship Id="rId47" Type="http://schemas.openxmlformats.org/officeDocument/2006/relationships/image" Target="media/image34.emf"/><Relationship Id="rId63" Type="http://schemas.openxmlformats.org/officeDocument/2006/relationships/image" Target="media/image47.emf"/><Relationship Id="rId68" Type="http://schemas.openxmlformats.org/officeDocument/2006/relationships/image" Target="media/image51.emf"/><Relationship Id="rId84" Type="http://schemas.openxmlformats.org/officeDocument/2006/relationships/image" Target="media/image62.png"/><Relationship Id="rId89" Type="http://schemas.openxmlformats.org/officeDocument/2006/relationships/image" Target="media/image65.emf"/><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emf"/><Relationship Id="rId37" Type="http://schemas.openxmlformats.org/officeDocument/2006/relationships/image" Target="media/image26.png"/><Relationship Id="rId53" Type="http://schemas.openxmlformats.org/officeDocument/2006/relationships/image" Target="media/image39.png"/><Relationship Id="rId58" Type="http://schemas.openxmlformats.org/officeDocument/2006/relationships/image" Target="media/image42.png"/><Relationship Id="rId74" Type="http://schemas.openxmlformats.org/officeDocument/2006/relationships/image" Target="media/image57.png"/><Relationship Id="rId79" Type="http://schemas.microsoft.com/office/2007/relationships/hdphoto" Target="media/hdphoto9.wdp"/><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66.emf"/><Relationship Id="rId95" Type="http://schemas.openxmlformats.org/officeDocument/2006/relationships/image" Target="media/image70.emf"/><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8.png"/><Relationship Id="rId69" Type="http://schemas.openxmlformats.org/officeDocument/2006/relationships/image" Target="media/image52.emf"/><Relationship Id="rId80" Type="http://schemas.openxmlformats.org/officeDocument/2006/relationships/image" Target="media/image60.png"/><Relationship Id="rId85" Type="http://schemas.microsoft.com/office/2007/relationships/hdphoto" Target="media/hdphoto12.wdp"/><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microsoft.com/office/2007/relationships/hdphoto" Target="media/hdphoto2.wdp"/><Relationship Id="rId46" Type="http://schemas.openxmlformats.org/officeDocument/2006/relationships/image" Target="media/image33.emf"/><Relationship Id="rId59" Type="http://schemas.openxmlformats.org/officeDocument/2006/relationships/image" Target="media/image43.emf"/><Relationship Id="rId67" Type="http://schemas.openxmlformats.org/officeDocument/2006/relationships/image" Target="media/image50.png"/><Relationship Id="rId103"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8.png"/><Relationship Id="rId54" Type="http://schemas.microsoft.com/office/2007/relationships/hdphoto" Target="media/hdphoto4.wdp"/><Relationship Id="rId62" Type="http://schemas.openxmlformats.org/officeDocument/2006/relationships/image" Target="media/image46.emf"/><Relationship Id="rId70" Type="http://schemas.openxmlformats.org/officeDocument/2006/relationships/image" Target="media/image53.emf"/><Relationship Id="rId75" Type="http://schemas.microsoft.com/office/2007/relationships/hdphoto" Target="media/hdphoto7.wdp"/><Relationship Id="rId83" Type="http://schemas.microsoft.com/office/2007/relationships/hdphoto" Target="media/hdphoto11.wdp"/><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image" Target="media/image71.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07/relationships/hdphoto" Target="media/hdphoto1.wdp"/><Relationship Id="rId49" Type="http://schemas.openxmlformats.org/officeDocument/2006/relationships/image" Target="media/image36.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21.emf"/><Relationship Id="rId44" Type="http://schemas.openxmlformats.org/officeDocument/2006/relationships/image" Target="media/image31.emf"/><Relationship Id="rId52" Type="http://schemas.microsoft.com/office/2007/relationships/hdphoto" Target="media/hdphoto3.wdp"/><Relationship Id="rId60" Type="http://schemas.openxmlformats.org/officeDocument/2006/relationships/image" Target="media/image44.emf"/><Relationship Id="rId65" Type="http://schemas.microsoft.com/office/2007/relationships/hdphoto" Target="media/hdphoto6.wdp"/><Relationship Id="rId73" Type="http://schemas.openxmlformats.org/officeDocument/2006/relationships/image" Target="media/image56.jpeg"/><Relationship Id="rId78" Type="http://schemas.openxmlformats.org/officeDocument/2006/relationships/image" Target="media/image59.png"/><Relationship Id="rId81" Type="http://schemas.microsoft.com/office/2007/relationships/hdphoto" Target="media/hdphoto10.wdp"/><Relationship Id="rId86" Type="http://schemas.openxmlformats.org/officeDocument/2006/relationships/image" Target="media/image63.png"/><Relationship Id="rId94" Type="http://schemas.openxmlformats.org/officeDocument/2006/relationships/image" Target="media/image69.emf"/><Relationship Id="rId99" Type="http://schemas.openxmlformats.org/officeDocument/2006/relationships/image" Target="media/image74.png"/><Relationship Id="rId10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7.emf"/><Relationship Id="rId34" Type="http://schemas.openxmlformats.org/officeDocument/2006/relationships/image" Target="media/image24.png"/><Relationship Id="rId50" Type="http://schemas.openxmlformats.org/officeDocument/2006/relationships/image" Target="media/image37.png"/><Relationship Id="rId55" Type="http://schemas.openxmlformats.org/officeDocument/2006/relationships/image" Target="media/image40.png"/><Relationship Id="rId76" Type="http://schemas.openxmlformats.org/officeDocument/2006/relationships/image" Target="media/image58.png"/><Relationship Id="rId97" Type="http://schemas.openxmlformats.org/officeDocument/2006/relationships/image" Target="media/image72.png"/><Relationship Id="rId7" Type="http://schemas.openxmlformats.org/officeDocument/2006/relationships/settings" Target="settings.xml"/><Relationship Id="rId71" Type="http://schemas.openxmlformats.org/officeDocument/2006/relationships/image" Target="media/image54.emf"/><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footer" Target="footer1.xml"/><Relationship Id="rId45" Type="http://schemas.openxmlformats.org/officeDocument/2006/relationships/image" Target="media/image32.png"/><Relationship Id="rId66" Type="http://schemas.openxmlformats.org/officeDocument/2006/relationships/image" Target="media/image49.png"/><Relationship Id="rId87" Type="http://schemas.microsoft.com/office/2007/relationships/hdphoto" Target="media/hdphoto13.wdp"/><Relationship Id="rId61" Type="http://schemas.openxmlformats.org/officeDocument/2006/relationships/image" Target="media/image45.png"/><Relationship Id="rId82" Type="http://schemas.openxmlformats.org/officeDocument/2006/relationships/image" Target="media/image61.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emf"/><Relationship Id="rId35" Type="http://schemas.openxmlformats.org/officeDocument/2006/relationships/image" Target="media/image25.png"/><Relationship Id="rId56" Type="http://schemas.microsoft.com/office/2007/relationships/hdphoto" Target="media/hdphoto5.wdp"/><Relationship Id="rId77" Type="http://schemas.microsoft.com/office/2007/relationships/hdphoto" Target="media/hdphoto8.wdp"/><Relationship Id="rId100"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5.jpeg"/><Relationship Id="rId93" Type="http://schemas.microsoft.com/office/2007/relationships/hdphoto" Target="media/hdphoto14.wdp"/><Relationship Id="rId98" Type="http://schemas.openxmlformats.org/officeDocument/2006/relationships/image" Target="media/image73.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oratorium xmlns="73165e3a-9e61-4c78-a24a-241d5dca446a">false</moratorium>
    <Degree xmlns="73165e3a-9e61-4c78-a24a-241d5dca446a">EngD</Degree>
    <Student xmlns="73165e3a-9e61-4c78-a24a-241d5dca446a">
      <UserInfo>
        <DisplayName>Bukola Attoye</DisplayName>
        <AccountId>163</AccountId>
        <AccountType/>
      </UserInfo>
    </Student>
    <InternalExaminer xmlns="73165e3a-9e61-4c78-a24a-241d5dca446a">
      <UserInfo>
        <DisplayName>Lynn Dennany</DisplayName>
        <AccountId>1223</AccountId>
        <AccountType/>
      </UserInfo>
    </InternalExaminer>
    <NomID xmlns="73165e3a-9e61-4c78-a24a-241d5dca446a">1391</NomID>
    <DigitalLicence xmlns="73165e3a-9e61-4c78-a24a-241d5dca446a">true</DigitalLicence>
    <DepartmentalAdministrator xmlns="73165e3a-9e61-4c78-a24a-241d5dca446a">
      <UserInfo>
        <DisplayName>Carol McInnes</DisplayName>
        <AccountId>841</AccountId>
        <AccountType/>
      </UserInfo>
    </DepartmentalAdministrator>
    <Supervisor xmlns="73165e3a-9e61-4c78-a24a-241d5dca446a">
      <UserInfo>
        <DisplayName>Damion Corrigan</DisplayName>
        <AccountId>893</AccountId>
        <AccountType/>
      </UserInfo>
    </Supervisor>
    <ThesisTitle xmlns="73165e3a-9e61-4c78-a24a-241d5dca446a">1391</ThesisTitle>
    <Thesis_x0020_Upload_x0020_Type xmlns="73165e3a-9e61-4c78-a24a-241d5dca446a">Final Thesis</Thesis_x0020_Upload_x0020_Type>
    <Convener xmlns="73165e3a-9e61-4c78-a24a-241d5dca446a">
      <UserInfo>
        <DisplayName>Mairi Sandison</DisplayName>
        <AccountId>1232</AccountId>
        <AccountType/>
      </UserInfo>
    </Convener>
    <RegistrationNumber xmlns="73165e3a-9e61-4c78-a24a-241d5dca446a">201692049</RegistrationNumber>
    <SharedWithUsers xmlns="73165e3a-9e61-4c78-a24a-241d5dca446a">
      <UserInfo>
        <DisplayName>Mairi Sandison</DisplayName>
        <AccountId>1232</AccountId>
        <AccountType/>
      </UserInfo>
      <UserInfo>
        <DisplayName>Lynn Dennany</DisplayName>
        <AccountId>1223</AccountId>
        <AccountType/>
      </UserInfo>
      <UserInfo>
        <DisplayName>Damion Corrigan</DisplayName>
        <AccountId>893</AccountId>
        <AccountType/>
      </UserInfo>
      <UserInfo>
        <DisplayName>Carol McInnes</DisplayName>
        <AccountId>841</AccountId>
        <AccountType/>
      </UserInfo>
      <UserInfo>
        <DisplayName>Bukola Attoye</DisplayName>
        <AccountId>163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Can17</b:Tag>
    <b:SourceType>InternetSite</b:SourceType>
    <b:Guid>{4A8AA2E7-D36B-42CB-89A5-DB14D0399A83}</b:Guid>
    <b:Author>
      <b:Author>
        <b:Corporate>Cancer Research UK</b:Corporate>
      </b:Author>
    </b:Author>
    <b:InternetSiteTitle>www.cancerresearchuk.org</b:InternetSiteTitle>
    <b:Year>2017</b:Year>
    <b:Month>12</b:Month>
    <b:Day>12</b:Day>
    <b:URL>http://www.cancerresearchuk.org/cancer-help/about-cancer/treatment/chemotherapy/about/how-chemotherapy-works</b:URL>
    <b:RefOrder>2</b:RefOrder>
  </b:Source>
  <b:Source>
    <b:Tag>Yan16</b:Tag>
    <b:SourceType>JournalArticle</b:SourceType>
    <b:Guid>{53A5CA56-36E0-4463-9F8D-9A0EB6FA817C}</b:Guid>
    <b:Title>Electrochemistry of Carbon Dioxide on Carbon Electrodes</b:Title>
    <b:Year>2016</b:Year>
    <b:Author>
      <b:Author>
        <b:NameList>
          <b:Person>
            <b:Last>Yang</b:Last>
            <b:First>Nianjun</b:First>
          </b:Person>
          <b:Person>
            <b:Last>Waldvogel</b:Last>
            <b:Middle>R</b:Middle>
            <b:First>Siegfried</b:First>
          </b:Person>
          <b:Person>
            <b:Last>Jiang</b:Last>
            <b:First>Xin</b:First>
          </b:Person>
        </b:NameList>
      </b:Author>
    </b:Author>
    <b:JournalName>Applied materials &amp; interfaces</b:JournalName>
    <b:Pages>28357-28371</b:Pages>
    <b:RefOrder>1</b:RefOrder>
  </b:Source>
  <b:Source>
    <b:Tag>Pet07</b:Tag>
    <b:SourceType>JournalArticle</b:SourceType>
    <b:Guid>{A2A5B866-6E97-4A29-AEEE-D1BB96447692}</b:Guid>
    <b:Author>
      <b:Author>
        <b:NameList>
          <b:Person>
            <b:Last>Petitjean</b:Last>
            <b:First>A</b:First>
          </b:Person>
          <b:Person>
            <b:Last>Achatz</b:Last>
            <b:First>M I W</b:First>
          </b:Person>
          <b:Person>
            <b:Last>Borresen-Dale</b:Last>
            <b:Middle>L</b:Middle>
            <b:First>A</b:First>
          </b:Person>
          <b:Person>
            <b:Last>Hainaut</b:Last>
            <b:First>P</b:First>
          </b:Person>
          <b:Person>
            <b:Last>Olivier</b:Last>
            <b:First>M</b:First>
          </b:Person>
        </b:NameList>
      </b:Author>
    </b:Author>
    <b:Title>TP53 mutations in human cancers: functional selection and impact on cancer prognosis and outcomes</b:Title>
    <b:JournalName>Oncogene</b:JournalName>
    <b:Year>2007</b:Year>
    <b:Pages>2157-2165</b:Pages>
    <b:RefOrder>4</b:RefOrder>
  </b:Source>
  <b:Source>
    <b:Tag>Wan14</b:Tag>
    <b:SourceType>JournalArticle</b:SourceType>
    <b:Guid>{182B5FF5-8020-42BF-B0BC-A66F4C2DD743}</b:Guid>
    <b:Author>
      <b:Author>
        <b:NameList>
          <b:Person>
            <b:Last>Wang</b:Last>
            <b:First>X</b:First>
          </b:Person>
          <b:Person>
            <b:Last>Chen</b:Last>
            <b:Middle>X</b:Middle>
            <b:First>J</b:First>
          </b:Person>
          <b:Person>
            <b:Last>Liu</b:Last>
            <b:Middle>P</b:Middle>
            <b:First>J</b:First>
          </b:Person>
          <b:Person>
            <b:Last>You</b:Last>
            <b:First>C</b:First>
          </b:Person>
          <b:Person>
            <b:Last>Liu</b:Last>
            <b:Middle>H</b:Middle>
            <b:First>Y</b:First>
          </b:Person>
          <b:Person>
            <b:Last>Mao</b:Last>
            <b:First>Q</b:First>
          </b:Person>
        </b:NameList>
      </b:Author>
    </b:Author>
    <b:Title>Gain of function of mutant TP53 in glioblastoma: prognosis and response to temozolomide</b:Title>
    <b:JournalName>Annals of surgical oncology</b:JournalName>
    <b:Year>2014</b:Year>
    <b:Pages>1337-1344</b:Pages>
    <b:RefOrder>5</b:RefOrder>
  </b:Source>
  <b:Source>
    <b:Tag>Bio17</b:Tag>
    <b:SourceType>DocumentFromInternetSite</b:SourceType>
    <b:Guid>{9B9E2AC6-ED9C-4F23-82B6-2F9CF55DF496}</b:Guid>
    <b:Title>bioline.com</b:Title>
    <b:Year>2017</b:Year>
    <b:Author>
      <b:Author>
        <b:Corporate>Bioline</b:Corporate>
      </b:Author>
    </b:Author>
    <b:InternetSiteTitle>www.bioline.com</b:InternetSiteTitle>
    <b:URL>http://www.bioline.com/au/downloads/dl/file/id/881/isolate_ii_plasmid_mini_kit_product_manual.pdf</b:URL>
    <b:RefOrder>6</b:RefOrder>
  </b:Source>
  <b:Source>
    <b:Tag>Kon70</b:Tag>
    <b:SourceType>JournalArticle</b:SourceType>
    <b:Guid>{D313C978-DBBA-4CD5-9F02-E069AE1DCFA3}</b:Guid>
    <b:Author>
      <b:Author>
        <b:NameList>
          <b:Person>
            <b:Last>Konopka</b:Last>
            <b:First>S.</b:First>
            <b:Middle>J.</b:Middle>
          </b:Person>
          <b:Person>
            <b:Last>McDuffie</b:Last>
            <b:First>Bruce</b:First>
          </b:Person>
        </b:NameList>
      </b:Author>
    </b:Author>
    <b:Title>Diffusion coefficients of ferri- and ferrocyanide ions in aqueous media, using twin-electrode thin-layer electrochemistry</b:Title>
    <b:JournalName>analytical chemistry</b:JournalName>
    <b:Year>1970</b:Year>
    <b:Pages>1741-1746</b:Pages>
    <b:RefOrder>3</b:RefOrder>
  </b:Source>
  <b:Source>
    <b:Tag>Rac15</b:Tag>
    <b:SourceType>JournalArticle</b:SourceType>
    <b:Guid>{C9A190C2-F5C4-4D28-B528-A820F7F82F43}</b:Guid>
    <b:Author>
      <b:Author>
        <b:NameList>
          <b:Person>
            <b:Last>Rackus</b:Last>
            <b:First>Darius</b:First>
            <b:Middle>G.</b:Middle>
          </b:Person>
          <b:Person>
            <b:Last>Shamsi</b:Last>
            <b:First>Mohtashim</b:First>
          </b:Person>
          <b:Person>
            <b:Last>Wheeler</b:Last>
            <b:Middle>R</b:Middle>
            <b:First>Aaron</b:First>
          </b:Person>
        </b:NameList>
      </b:Author>
    </b:Author>
    <b:Title>Electrochemistry, biosensors and microfluidics:a convergence of fields</b:Title>
    <b:JournalName>Chem Soc Rev</b:JournalName>
    <b:Year>2015</b:Year>
    <b:Pages>1-21</b:Pages>
    <b:RefOrder>7</b:RefOrder>
  </b:Source>
  <b:Source>
    <b:Tag>Sei15</b:Tag>
    <b:SourceType>JournalArticle</b:SourceType>
    <b:Guid>{A13FF779-D8E9-4482-BF47-A49A7B185BB2}</b:Guid>
    <b:Title>Isolation and culture of primary glioblastoma cells from human tumor specimens</b:Title>
    <b:Year>2015</b:Year>
    <b:Author>
      <b:Author>
        <b:NameList>
          <b:Person>
            <b:Last>Seidel</b:Last>
            <b:First>S</b:First>
          </b:Person>
          <b:Person>
            <b:Last>Garvalov</b:Last>
            <b:Middle>K</b:Middle>
            <b:First>B</b:First>
          </b:Person>
          <b:Person>
            <b:Last>Acker</b:Last>
            <b:First>T</b:First>
          </b:Person>
        </b:NameList>
      </b:Author>
    </b:Author>
    <b:JournalName>Methods in Molecular Biology</b:JournalName>
    <b:Pages>263-275</b:Pages>
    <b:RefOrder>8</b:RefOrder>
  </b:Source>
  <b:Source>
    <b:Tag>Fis09</b:Tag>
    <b:SourceType>JournalArticle</b:SourceType>
    <b:Guid>{4C9B83D0-0787-47D1-B1D1-3EEECBA962D1}</b:Guid>
    <b:Title>Gold cleaning methods for electrochemical detection applications</b:Title>
    <b:Year>2009</b:Year>
    <b:Author>
      <b:Author>
        <b:NameList>
          <b:Person>
            <b:Last>Fischer</b:Last>
            <b:First>Lee</b:First>
            <b:Middle>M.</b:Middle>
          </b:Person>
          <b:Person>
            <b:Last>Tenje</b:Last>
            <b:First>Maria</b:First>
          </b:Person>
          <b:Person>
            <b:Last>Heiskanen</b:Last>
            <b:First>Arto</b:First>
          </b:Person>
          <b:Person>
            <b:Last>Masuda</b:Last>
            <b:First>Noriyuki</b:First>
          </b:Person>
          <b:Person>
            <b:Last>Castillo</b:Last>
            <b:First>Jaime</b:First>
          </b:Person>
          <b:Person>
            <b:Last>Bentien</b:Last>
            <b:First>Anders</b:First>
          </b:Person>
          <b:Person>
            <b:Last>Emneus</b:Last>
            <b:First>Jenny</b:First>
          </b:Person>
          <b:Person>
            <b:Last>Jakobsen</b:Last>
            <b:First>Mogens</b:First>
          </b:Person>
          <b:Person>
            <b:Last>Boisen</b:Last>
            <b:First>Anja</b:First>
          </b:Person>
        </b:NameList>
      </b:Author>
    </b:Author>
    <b:JournalName>Microelectronic Engineering</b:JournalName>
    <b:Pages>1282-1285</b:Pages>
    <b:RefOrder>9</b:RefOrder>
  </b:Source>
  <b:Source>
    <b:Tag>Olo10</b:Tag>
    <b:SourceType>JournalArticle</b:SourceType>
    <b:Guid>{98BBE52A-1661-4E98-8FFC-F1DFA047A93E}</b:Guid>
    <b:Author>
      <b:Author>
        <b:NameList>
          <b:Person>
            <b:Last>Olowu</b:Last>
            <b:First>Rasaq</b:First>
            <b:Middle>A.</b:Middle>
          </b:Person>
          <b:Person>
            <b:Last>Arotiba</b:Last>
            <b:First>Omotayo</b:First>
          </b:Person>
          <b:Person>
            <b:Last>Mailu</b:Last>
            <b:Middle>N</b:Middle>
            <b:First>Stephen</b:First>
          </b:Person>
          <b:Person>
            <b:Last>Waryo</b:Last>
            <b:Middle>T</b:Middle>
            <b:First>Tesfaye</b:First>
          </b:Person>
          <b:Person>
            <b:Last>Baker</b:Last>
            <b:First>Priscilla</b:First>
          </b:Person>
          <b:Person>
            <b:Last>Iwuoha</b:Last>
            <b:First>Emmanuel</b:First>
          </b:Person>
        </b:NameList>
      </b:Author>
    </b:Author>
    <b:Title>Electrochemical Aptasensor for Endocrine Disrupting 17β-Estradiol Based on a Poly(3,4-ethylenedioxylthiopene)-Gold Nanocomposite Platform</b:Title>
    <b:JournalName>Sensors (Basel)</b:JournalName>
    <b:Year>2010</b:Year>
    <b:Pages>9872-9890</b:Pages>
    <b:RefOrder>10</b:RefOrder>
  </b:Source>
  <b:Source>
    <b:Tag>Cor17</b:Tag>
    <b:SourceType>JournalArticle</b:SourceType>
    <b:Guid>{0C127ECB-1D71-45BD-A831-9AFAC58310D2}</b:Guid>
    <b:Author>
      <b:Author>
        <b:NameList>
          <b:Person>
            <b:Last>Corrigan</b:Last>
            <b:First>D</b:First>
            <b:Middle>K</b:Middle>
          </b:Person>
          <b:Person>
            <b:Last>Schulze</b:Last>
            <b:First>H</b:First>
          </b:Person>
          <b:Person>
            <b:Last>Ciani</b:Last>
            <b:First>I</b:First>
          </b:Person>
          <b:Person>
            <b:Last>Henihan</b:Last>
            <b:First>G</b:First>
          </b:Person>
          <b:Person>
            <b:Last>Mount</b:Last>
            <b:Middle>R</b:Middle>
            <b:First>A</b:First>
          </b:Person>
          <b:Person>
            <b:Last>Bachmann</b:Last>
            <b:Middle>T</b:Middle>
            <b:First>T</b:First>
          </b:Person>
        </b:NameList>
      </b:Author>
    </b:Author>
    <b:Title>Improving performance of a rapid electrochemical MRSA assay: Optimisation of assay conditions to achieve enhanced discrimination of clinically important DNA sequences under ambient conditions</b:Title>
    <b:JournalName>Journal of Electroanalytical Chemistry</b:JournalName>
    <b:Year>2017</b:Year>
    <b:Pages>58-62</b:Pages>
    <b:RefOrder>11</b:RefOrder>
  </b:Source>
  <b:Source>
    <b:Tag>LuJ16</b:Tag>
    <b:SourceType>JournalArticle</b:SourceType>
    <b:Guid>{5E045A25-14C7-480E-B053-1241999BF4ED}</b:Guid>
    <b:Author>
      <b:Author>
        <b:NameList>
          <b:Person>
            <b:Last>Lu</b:Last>
            <b:First>Jun</b:First>
          </b:Person>
          <b:Person>
            <b:Last>Jiang</b:Last>
            <b:First>Feng</b:First>
          </b:Person>
          <b:Person>
            <b:Last>Lu</b:Last>
            <b:First>Aiping</b:First>
          </b:Person>
          <b:Person>
            <b:Last>Zhang</b:Last>
            <b:First>Ge</b:First>
          </b:Person>
        </b:NameList>
      </b:Author>
    </b:Author>
    <b:Title>Linkers Having a Crucial Role in Antibody–Drug Conjugates</b:Title>
    <b:JournalName>International Journal of Molecular Sciences</b:JournalName>
    <b:Year>2016</b:Year>
    <b:RefOrder>12</b:RefOrder>
  </b:Source>
  <b:Source>
    <b:Tag>Gri08</b:Tag>
    <b:SourceType>JournalArticle</b:SourceType>
    <b:Guid>{9A805103-CE1D-4DF0-BC03-39E20C34734E}</b:Guid>
    <b:Title>Electrochemical Biosensors - Sensor Principles and Architectures</b:Title>
    <b:Year>2008</b:Year>
    <b:Author>
      <b:Author>
        <b:NameList>
          <b:Person>
            <b:Last>Grieshaber</b:Last>
            <b:First>Dorothee</b:First>
          </b:Person>
          <b:Person>
            <b:Last>MacKenzie</b:Last>
            <b:First>Robert</b:First>
          </b:Person>
          <b:Person>
            <b:Last>Voros</b:Last>
            <b:First>Janos</b:First>
          </b:Person>
          <b:Person>
            <b:Last>Reimhult</b:Last>
            <b:First>Erik</b:First>
          </b:Person>
        </b:NameList>
      </b:Author>
    </b:Author>
    <b:JournalName>Sensors (Basel)</b:JournalName>
    <b:Pages>1400-1458</b:Pages>
    <b:RefOrder>13</b:RefOrder>
  </b:Source>
  <b:Source>
    <b:Tag>Pan12</b:Tag>
    <b:SourceType>JournalArticle</b:SourceType>
    <b:Guid>{FEABD59E-449D-4123-B57D-C4496879F223}</b:Guid>
    <b:Author>
      <b:Author>
        <b:NameList>
          <b:Person>
            <b:Last>Pantel</b:Last>
            <b:First>Klaus</b:First>
          </b:Person>
          <b:Person>
            <b:Last>Alix-Panabieres</b:Last>
            <b:First>Catherine</b:First>
          </b:Person>
        </b:NameList>
      </b:Author>
    </b:Author>
    <b:Title>Detection methods of circulating tumor cells</b:Title>
    <b:JournalName>Journal of Thoracic Disease</b:JournalName>
    <b:Year>2012</b:Year>
    <b:Pages>446-447</b:Pages>
    <b:RefOrder>14</b:RefOrder>
  </b:Source>
  <b:Source>
    <b:Tag>Hua16</b:Tag>
    <b:SourceType>JournalArticle</b:SourceType>
    <b:Guid>{D1A6B7D8-97C0-4DCA-8CD3-C105B49D3483}</b:Guid>
    <b:Author>
      <b:Author>
        <b:NameList>
          <b:Person>
            <b:Last>Huang</b:Last>
            <b:First>Ao</b:First>
          </b:Person>
          <b:Person>
            <b:Last>Zhang</b:Last>
            <b:First>Xin</b:First>
          </b:Person>
          <b:Person>
            <b:Last>Zhou</b:Last>
            <b:First>Shao-Lai</b:First>
          </b:Person>
          <b:Person>
            <b:Last>Cao</b:Last>
            <b:First>Ya</b:First>
          </b:Person>
          <b:Person>
            <b:Last>Huang</b:Last>
            <b:First>Xiao-Wu</b:First>
          </b:Person>
          <b:Person>
            <b:Last>Fan</b:Last>
            <b:First>Jia</b:First>
          </b:Person>
          <b:Person>
            <b:Last>Yang</b:Last>
            <b:First>Xin-Rong</b:First>
          </b:Person>
          <b:Person>
            <b:Last>Zhou</b:Last>
            <b:First>Jian</b:First>
          </b:Person>
        </b:NameList>
      </b:Author>
    </b:Author>
    <b:Title>Detecting Circulating Tumor DNA in Hepatocellular Carcinoma Patients Using Droplet Digital PCR Is Feasible and Reflects Intratumoral Heterogeneity</b:Title>
    <b:JournalName>Journal of Cancer</b:JournalName>
    <b:Year>2016</b:Year>
    <b:Pages>1907-1914</b:Pages>
    <b:RefOrder>15</b:RefOrder>
  </b:Source>
  <b:Source>
    <b:Tag>Cru16</b:Tag>
    <b:SourceType>JournalArticle</b:SourceType>
    <b:Guid>{B59B8346-73C8-4E5B-8796-163D2275648D}</b:Guid>
    <b:Author>
      <b:Author>
        <b:NameList>
          <b:Person>
            <b:Last>Crutchfield</b:Last>
            <b:First>Christopher</b:First>
            <b:Middle>A.</b:Middle>
          </b:Person>
          <b:Person>
            <b:Last>Thomas</b:Last>
            <b:Middle>N</b:Middle>
            <b:First>Stefani</b:First>
          </b:Person>
          <b:Person>
            <b:Last>Sokoll</b:Last>
            <b:Middle>J</b:Middle>
            <b:First>Lori</b:First>
          </b:Person>
          <b:Person>
            <b:Last>Chan</b:Last>
            <b:Middle>W</b:Middle>
            <b:First>Daniel</b:First>
          </b:Person>
        </b:NameList>
      </b:Author>
    </b:Author>
    <b:Title>Advances in mass spectrometry-based clinical biomarker discovery</b:Title>
    <b:JournalName>Clinical Proteomics</b:JournalName>
    <b:Year>2016</b:Year>
    <b:Pages>1-12</b:Pages>
    <b:RefOrder>16</b:RefOrder>
  </b:Source>
  <b:Source>
    <b:Tag>Wil17</b:Tag>
    <b:SourceType>JournalArticle</b:SourceType>
    <b:Guid>{B9D8126D-8952-4148-B296-A1C19F5FEED3}</b:Guid>
    <b:Author>
      <b:Author>
        <b:NameList>
          <b:Person>
            <b:Last>Willems</b:Last>
            <b:First>Hanny</b:First>
          </b:Person>
          <b:Person>
            <b:Last>Jacobs</b:Last>
            <b:First>An</b:First>
          </b:Person>
          <b:Person>
            <b:Last> Hadiwikarta</b:Last>
            <b:First>Wahyu Wijaya </b:First>
          </b:Person>
          <b:Person>
            <b:Last>Venken</b:Last>
            <b:First>Tom </b:First>
          </b:Person>
          <b:Person>
            <b:Last>Valkenborg</b:Last>
            <b:First>Dirk </b:First>
          </b:Person>
          <b:Person>
            <b:Last> Roy</b:Last>
            <b:First>Nadine Van </b:First>
          </b:Person>
          <b:Person>
            <b:Last>Vandesompele</b:Last>
            <b:First>Jo </b:First>
          </b:Person>
          <b:Person>
            <b:Last>Hooyberghs</b:Last>
            <b:First>Jef </b:First>
          </b:Person>
        </b:NameList>
      </b:Author>
    </b:Author>
    <b:Title>Thermodynamic framework to assess low abundance DNA mutation detection by hybridization</b:Title>
    <b:JournalName>PLOS One</b:JournalName>
    <b:Year>2017</b:Year>
    <b:RefOrder>17</b:RefOrder>
  </b:Source>
  <b:Source>
    <b:Tag>Wei12</b:Tag>
    <b:SourceType>JournalArticle</b:SourceType>
    <b:Guid>{4E415C36-9D99-4ED4-8667-C12F478840CF}</b:Guid>
    <b:Author>
      <b:Author>
        <b:NameList>
          <b:Person>
            <b:Last>Weissenstein</b:Last>
            <b:First>Ulrike</b:First>
          </b:Person>
          <b:Person>
            <b:Last>Schumann</b:Last>
            <b:First>Agnes </b:First>
          </b:Person>
          <b:Person>
            <b:Last>Reif</b:Last>
            <b:First>Marcus</b:First>
          </b:Person>
          <b:Person>
            <b:Last>Link</b:Last>
            <b:First>Susanne</b:First>
          </b:Person>
          <b:Person>
            <b:Last>Toffol-Schmidt</b:Last>
            <b:First>Ulrike D </b:First>
          </b:Person>
          <b:Person>
            <b:Last>Heusser</b:Last>
            <b:First>Peter</b:First>
          </b:Person>
        </b:NameList>
      </b:Author>
    </b:Author>
    <b:Title>Detection of circulating tumor cells in blood of metastatic breast cancer patients using a combination of cytokeratin and EpCAM antibodies</b:Title>
    <b:JournalName>BioMed Central Cancer</b:JournalName>
    <b:Year>2012</b:Year>
    <b:Pages>1-8</b:Pages>
    <b:RefOrder>18</b:RefOrder>
  </b:Source>
  <b:Source>
    <b:Tag>Kan15</b:Tag>
    <b:SourceType>JournalArticle</b:SourceType>
    <b:Guid>{083F72D0-44FC-4CBD-BA8B-8955839E792D}</b:Guid>
    <b:Author>
      <b:Author>
        <b:NameList>
          <b:Person>
            <b:Last>Kantara</b:Last>
            <b:First>Carla</b:First>
          </b:Person>
          <b:Person>
            <b:Last>Ravae O'Connell</b:Last>
            <b:First>Malaney</b:First>
          </b:Person>
          <b:Person>
            <b:Last>Luthra</b:Last>
            <b:First>Gurinder</b:First>
          </b:Person>
          <b:Person>
            <b:Last>Gajjar</b:Last>
            <b:First>Aakash</b:First>
          </b:Person>
          <b:Person>
            <b:Last>Sarka</b:Last>
            <b:First>Shubhashish</b:First>
          </b:Person>
          <b:Person>
            <b:Last>Ullrich</b:Last>
            <b:First>Robert</b:First>
          </b:Person>
          <b:Person>
            <b:Last>Singh</b:Last>
            <b:First>Pomila</b:First>
          </b:Person>
        </b:NameList>
      </b:Author>
    </b:Author>
    <b:Title>Methods for detecting circulating cancer stem cells (CCSCs) as a novel approach for diagnosis of colon cancer relapse/metastasis</b:Title>
    <b:JournalName>Laboratory Investigation</b:JournalName>
    <b:Year>2015</b:Year>
    <b:Pages>100-112</b:Pages>
    <b:RefOrder>19</b:RefOrder>
  </b:Source>
  <b:Source>
    <b:Tag>Kis15</b:Tag>
    <b:SourceType>JournalArticle</b:SourceType>
    <b:Guid>{C985A840-2281-464E-8C4D-FD1967417C12}</b:Guid>
    <b:Author>
      <b:Author>
        <b:NameList>
          <b:Person>
            <b:Last>Kishikawa</b:Last>
            <b:First>Takahiro</b:First>
          </b:Person>
          <b:Person>
            <b:Last>Otsuka</b:Last>
            <b:First>Motoyuki</b:First>
          </b:Person>
          <b:Person>
            <b:Last>Ohno</b:Last>
            <b:First>Motoko</b:First>
          </b:Person>
          <b:Person>
            <b:Last>Yoshikawa</b:Last>
            <b:First>Takeshi</b:First>
          </b:Person>
          <b:Person>
            <b:Last>Takata</b:Last>
            <b:First>Akemi</b:First>
          </b:Person>
          <b:Person>
            <b:Last>Koike</b:Last>
            <b:First>Kazuhiko</b:First>
          </b:Person>
        </b:NameList>
      </b:Author>
    </b:Author>
    <b:Title>Circulating RNAs as new biomarkers for detecting pancreatic cancer</b:Title>
    <b:JournalName>World of Journal Gastroenterology</b:JournalName>
    <b:Year>2015</b:Year>
    <b:Pages>8527-8540</b:Pages>
    <b:RefOrder>20</b:RefOrder>
  </b:Source>
  <b:Source>
    <b:Tag>Lin15</b:Tag>
    <b:SourceType>JournalArticle</b:SourceType>
    <b:Guid>{ABA6E622-FDCD-43FA-AE8E-B167C9C9A007}</b:Guid>
    <b:Author>
      <b:Author>
        <b:NameList>
          <b:Person>
            <b:Last>Lin</b:Last>
            <b:First>Jin</b:First>
          </b:Person>
          <b:Person>
            <b:Last>Li</b:Last>
            <b:First>Jing</b:First>
          </b:Person>
          <b:Person>
            <b:Last>Huang</b:Last>
            <b:First>Bo</b:First>
          </b:Person>
          <b:Person>
            <b:Last>Liu</b:Last>
            <b:First>Jing</b:First>
          </b:Person>
          <b:Person>
            <b:Last>Chen</b:Last>
            <b:First>Xin</b:First>
          </b:Person>
          <b:Person>
            <b:Last>Chen</b:Last>
            <b:First>Xi-Min</b:First>
          </b:Person>
          <b:Person>
            <b:Last>Xu</b:Last>
            <b:First>Yan-Mei</b:First>
          </b:Person>
          <b:Person>
            <b:Last>Huang</b:Last>
            <b:First>Lin-Feng</b:First>
          </b:Person>
          <b:Person>
            <b:Last>Wang</b:Last>
            <b:First>Xiao-Zhong</b:First>
          </b:Person>
        </b:NameList>
      </b:Author>
    </b:Author>
    <b:Title>Exosomes: Novel Biomarkers for Clinical Diagnosis</b:Title>
    <b:JournalName>The Scientific World Journal</b:JournalName>
    <b:Year>2015</b:Year>
    <b:Pages>1-8</b:Pages>
    <b:RefOrder>21</b:RefOrder>
  </b:Source>
  <b:Source>
    <b:Tag>Yoo10</b:Tag>
    <b:SourceType>JournalArticle</b:SourceType>
    <b:Guid>{9A08AF1F-564F-44A3-9DEA-ECCEF1F4EAD1}</b:Guid>
    <b:Author>
      <b:Author>
        <b:NameList>
          <b:Person>
            <b:Last>Yoo</b:Last>
            <b:First>Eun-Hyung</b:First>
          </b:Person>
          <b:Person>
            <b:Last>Lee</b:Last>
            <b:First>Soo-Youn</b:First>
          </b:Person>
        </b:NameList>
      </b:Author>
    </b:Author>
    <b:Title>Glucose Biosensors: An Overview of Use in Clinical Practice</b:Title>
    <b:JournalName>Sensors (Basel)</b:JournalName>
    <b:Year>2010</b:Year>
    <b:Pages>4558-4576</b:Pages>
    <b:RefOrder>22</b:RefOrder>
  </b:Source>
  <b:Source>
    <b:Tag>The20</b:Tag>
    <b:SourceType>InternetSite</b:SourceType>
    <b:Guid>{8D5D5646-2E18-400B-AE85-03FC89E31E9A}</b:Guid>
    <b:Author>
      <b:Author>
        <b:Corporate>Thermo Fisher</b:Corporate>
      </b:Author>
    </b:Author>
    <b:ProductionCompany>ThermoFisher Scientific</b:ProductionCompany>
    <b:YearAccessed>2020</b:YearAccessed>
    <b:MonthAccessed>10</b:MonthAccessed>
    <b:DayAccessed>14</b:DayAccessed>
    <b:URL>https://www.thermofisher.com/uk/en/home/industrial/spectroscopy-elemental-isotope-analysis/molecular-spectroscopy/fluorometers/qubit/qubit-fluorometer.html</b:URL>
    <b:Year>2020</b:Year>
    <b:RefOrder>23</b:RefOrder>
  </b:Source>
</b:Sources>
</file>

<file path=customXml/item4.xml><?xml version="1.0" encoding="utf-8"?>
<ct:contentTypeSchema xmlns:ct="http://schemas.microsoft.com/office/2006/metadata/contentType" xmlns:ma="http://schemas.microsoft.com/office/2006/metadata/properties/metaAttributes" ct:_="" ma:_="" ma:contentTypeName="Thesis" ma:contentTypeID="0x0101008C1C1F0F36A36D4AAC91F0E071E26EF000458C35AB864E704FA2DC53A8E757DECD" ma:contentTypeVersion="22" ma:contentTypeDescription="thesis upload" ma:contentTypeScope="" ma:versionID="8731daca777e3f4a83894e043887e4f4">
  <xsd:schema xmlns:xsd="http://www.w3.org/2001/XMLSchema" xmlns:xs="http://www.w3.org/2001/XMLSchema" xmlns:p="http://schemas.microsoft.com/office/2006/metadata/properties" xmlns:ns2="73165e3a-9e61-4c78-a24a-241d5dca446a" xmlns:ns3="e8f5fa4b-0e46-41d2-9836-9a15747fa901" targetNamespace="http://schemas.microsoft.com/office/2006/metadata/properties" ma:root="true" ma:fieldsID="b1408447dcb59b688012f59592595e73" ns2:_="" ns3:_="">
    <xsd:import namespace="73165e3a-9e61-4c78-a24a-241d5dca446a"/>
    <xsd:import namespace="e8f5fa4b-0e46-41d2-9836-9a15747fa901"/>
    <xsd:element name="properties">
      <xsd:complexType>
        <xsd:sequence>
          <xsd:element name="documentManagement">
            <xsd:complexType>
              <xsd:all>
                <xsd:element ref="ns2:ThesisTitle"/>
                <xsd:element ref="ns2:Thesis_x0020_Upload_x0020_Type"/>
                <xsd:element ref="ns2:moratorium" minOccurs="0"/>
                <xsd:element ref="ns2:DigitalLicence" minOccurs="0"/>
                <xsd:element ref="ns2:Degree" minOccurs="0"/>
                <xsd:element ref="ns2:Student" minOccurs="0"/>
                <xsd:element ref="ns2:DepartmentalAdministrator" minOccurs="0"/>
                <xsd:element ref="ns2:Supervisor" minOccurs="0"/>
                <xsd:element ref="ns2:Convener" minOccurs="0"/>
                <xsd:element ref="ns2:InternalExaminer" minOccurs="0"/>
                <xsd:element ref="ns2:RegistrationNumber" minOccurs="0"/>
                <xsd:element ref="ns2:Nom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65e3a-9e61-4c78-a24a-241d5dca446a" elementFormDefault="qualified">
    <xsd:import namespace="http://schemas.microsoft.com/office/2006/documentManagement/types"/>
    <xsd:import namespace="http://schemas.microsoft.com/office/infopath/2007/PartnerControls"/>
    <xsd:element name="ThesisTitle" ma:index="1" ma:displayName="Thesis Title" ma:list="{00ff25a6-e2aa-4c44-a0fb-5b83ccc6f89e}" ma:internalName="ThesisTitle" ma:readOnly="false" ma:showField="Title" ma:web="73165e3a-9e61-4c78-a24a-241d5dca446a">
      <xsd:simpleType>
        <xsd:restriction base="dms:Lookup"/>
      </xsd:simpleType>
    </xsd:element>
    <xsd:element name="Thesis_x0020_Upload_x0020_Type" ma:index="2" ma:displayName="Thesis Upload Type" ma:default="Thesis for Viva Examination" ma:format="Dropdown" ma:internalName="Thesis_x0020_Upload_x0020_Type" ma:readOnly="false">
      <xsd:simpleType>
        <xsd:restriction base="dms:Choice">
          <xsd:enumeration value="Thesis for Viva Examination"/>
          <xsd:enumeration value="Thesis re-submission"/>
          <xsd:enumeration value="Final Thesis"/>
        </xsd:restriction>
      </xsd:simpleType>
    </xsd:element>
    <xsd:element name="moratorium" ma:index="3" nillable="true" ma:displayName="Moratorium requested?" ma:default="0" ma:internalName="moratorium" ma:readOnly="false">
      <xsd:simpleType>
        <xsd:restriction base="dms:Boolean"/>
      </xsd:simpleType>
    </xsd:element>
    <xsd:element name="DigitalLicence" ma:index="4" nillable="true" ma:displayName="Digital Licence Agreement Completed?" ma:default="0" ma:internalName="DigitalLicence" ma:readOnly="false">
      <xsd:simpleType>
        <xsd:restriction base="dms:Boolean"/>
      </xsd:simpleType>
    </xsd:element>
    <xsd:element name="Degree" ma:index="9" nillable="true" ma:displayName="Degree" ma:hidden="true" ma:internalName="Degree" ma:readOnly="false">
      <xsd:simpleType>
        <xsd:restriction base="dms:Text">
          <xsd:maxLength value="255"/>
        </xsd:restriction>
      </xsd:simpleType>
    </xsd:element>
    <xsd:element name="Student" ma:index="11" nillable="true" ma:displayName="Student" ma:hidden="true" ma:list="UserInfo" ma:SharePointGroup="0" ma:internalName="Stud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artmentalAdministrator" ma:index="13" nillable="true" ma:displayName="Departmental Administrator" ma:hidden="true" ma:list="UserInfo" ma:SearchPeopleOnly="false" ma:SharePointGroup="0" ma:internalName="DepartmentalAdministr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ervisor" ma:index="15" nillable="true" ma:displayName="Supervisor" ma:hidden="true" ma:list="UserInfo" ma:SharePointGroup="0" ma:internalName="Supervi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vener" ma:index="16" nillable="true" ma:displayName="Convener" ma:hidden="true" ma:list="UserInfo" ma:SharePointGroup="0" ma:internalName="Conve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ternalExaminer" ma:index="17" nillable="true" ma:displayName="Internal Examiner" ma:hidden="true" ma:list="UserInfo" ma:SharePointGroup="0" ma:internalName="InternalExami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istrationNumber" ma:index="18" nillable="true" ma:displayName="Registration Number" ma:decimals="0" ma:hidden="true" ma:internalName="RegistrationNumber" ma:readOnly="false" ma:percentage="FALSE">
      <xsd:simpleType>
        <xsd:restriction base="dms:Number"/>
      </xsd:simpleType>
    </xsd:element>
    <xsd:element name="NomID" ma:index="19" nillable="true" ma:displayName="Nomination ID" ma:decimals="0" ma:hidden="true" ma:internalName="NomID" ma:readOnly="false" ma:percentage="FALSE">
      <xsd:simpleType>
        <xsd:restriction base="dms:Number"/>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5fa4b-0e46-41d2-9836-9a15747fa90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30F56-2010-44EF-940B-746F03EEF516}">
  <ds:schemaRefs>
    <ds:schemaRef ds:uri="http://schemas.microsoft.com/sharepoint/v3/contenttype/forms"/>
  </ds:schemaRefs>
</ds:datastoreItem>
</file>

<file path=customXml/itemProps2.xml><?xml version="1.0" encoding="utf-8"?>
<ds:datastoreItem xmlns:ds="http://schemas.openxmlformats.org/officeDocument/2006/customXml" ds:itemID="{1498B6BE-8246-41F7-8875-B48D863B37F4}">
  <ds:schemaRefs>
    <ds:schemaRef ds:uri="http://schemas.microsoft.com/office/2006/metadata/properties"/>
    <ds:schemaRef ds:uri="http://schemas.microsoft.com/office/infopath/2007/PartnerControls"/>
    <ds:schemaRef ds:uri="73165e3a-9e61-4c78-a24a-241d5dca446a"/>
  </ds:schemaRefs>
</ds:datastoreItem>
</file>

<file path=customXml/itemProps3.xml><?xml version="1.0" encoding="utf-8"?>
<ds:datastoreItem xmlns:ds="http://schemas.openxmlformats.org/officeDocument/2006/customXml" ds:itemID="{09D22263-88BF-40C9-8570-0D62FA1A5C66}">
  <ds:schemaRefs>
    <ds:schemaRef ds:uri="http://schemas.openxmlformats.org/officeDocument/2006/bibliography"/>
  </ds:schemaRefs>
</ds:datastoreItem>
</file>

<file path=customXml/itemProps4.xml><?xml version="1.0" encoding="utf-8"?>
<ds:datastoreItem xmlns:ds="http://schemas.openxmlformats.org/officeDocument/2006/customXml" ds:itemID="{78E32A8A-596F-47DF-9A58-DEAE9BD59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65e3a-9e61-4c78-a24a-241d5dca446a"/>
    <ds:schemaRef ds:uri="e8f5fa4b-0e46-41d2-9836-9a15747fa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Pages>
  <Words>178856</Words>
  <Characters>1019483</Characters>
  <Application>Microsoft Office Word</Application>
  <DocSecurity>0</DocSecurity>
  <Lines>8495</Lines>
  <Paragraphs>2391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Bukola Attoye</dc:creator>
  <cp:keywords/>
  <dc:description/>
  <cp:lastModifiedBy>Kim McBride</cp:lastModifiedBy>
  <cp:revision>10</cp:revision>
  <cp:lastPrinted>2021-07-01T13:29:00Z</cp:lastPrinted>
  <dcterms:created xsi:type="dcterms:W3CDTF">2021-10-07T16:23:00Z</dcterms:created>
  <dcterms:modified xsi:type="dcterms:W3CDTF">2021-10-20T14:40:00Z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http://www.zotero.org/styles/biosensors-and-bioelectronics</vt:lpwstr>
  </property>
  <property fmtid="{D5CDD505-2E9C-101B-9397-08002B2CF9AE}" pid="9" name="Mendeley Recent Style Name 3_1">
    <vt:lpwstr>Biosensors and Bioelectronics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b2c5e8b8-b3e2-3967-a56a-2a40186390b4</vt:lpwstr>
  </property>
  <property fmtid="{D5CDD505-2E9C-101B-9397-08002B2CF9AE}" pid="24" name="Mendeley Citation Style_1">
    <vt:lpwstr>http://www.zotero.org/styles/ieee</vt:lpwstr>
  </property>
  <property fmtid="{D5CDD505-2E9C-101B-9397-08002B2CF9AE}" pid="25" name="ContentTypeId">
    <vt:lpwstr>0x0101008C1C1F0F36A36D4AAC91F0E071E26EF000458C35AB864E704FA2DC53A8E757DECD</vt:lpwstr>
  </property>
  <property fmtid="{D5CDD505-2E9C-101B-9397-08002B2CF9AE}" pid="26" name="Order">
    <vt:r8>370100</vt:r8>
  </property>
  <property fmtid="{D5CDD505-2E9C-101B-9397-08002B2CF9AE}" pid="27" name="xd_Signature">
    <vt:bool>false</vt:bool>
  </property>
  <property fmtid="{D5CDD505-2E9C-101B-9397-08002B2CF9AE}" pid="28" name="xd_ProgID">
    <vt:lpwstr/>
  </property>
  <property fmtid="{D5CDD505-2E9C-101B-9397-08002B2CF9AE}" pid="29" name="ComplianceAssetId">
    <vt:lpwstr/>
  </property>
  <property fmtid="{D5CDD505-2E9C-101B-9397-08002B2CF9AE}" pid="30" name="TemplateUrl">
    <vt:lpwstr/>
  </property>
  <property fmtid="{D5CDD505-2E9C-101B-9397-08002B2CF9AE}" pid="31" name="TriggerFlowInfo">
    <vt:lpwstr/>
  </property>
</Properties>
</file>